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6B487" w14:textId="46CF2D2C" w:rsidR="008E17F3" w:rsidRPr="00084999" w:rsidRDefault="001500AB" w:rsidP="005126F8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Hlk184368027"/>
      <w:r w:rsidRPr="0008499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Judging size and complexity </w:t>
      </w:r>
      <w:r w:rsidR="00A74685" w:rsidRPr="00084999">
        <w:rPr>
          <w:rFonts w:ascii="Times New Roman" w:hAnsi="Times New Roman" w:cs="Times New Roman"/>
          <w:b/>
          <w:bCs/>
          <w:color w:val="auto"/>
          <w:sz w:val="36"/>
          <w:szCs w:val="36"/>
        </w:rPr>
        <w:t>of</w:t>
      </w:r>
      <w:r w:rsidRPr="00084999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Bill</w:t>
      </w:r>
      <w:r w:rsidR="00EC4AB7" w:rsidRPr="00084999">
        <w:rPr>
          <w:rFonts w:ascii="Times New Roman" w:hAnsi="Times New Roman" w:cs="Times New Roman"/>
          <w:b/>
          <w:bCs/>
          <w:color w:val="auto"/>
          <w:sz w:val="36"/>
          <w:szCs w:val="36"/>
        </w:rPr>
        <w:t>s</w:t>
      </w:r>
    </w:p>
    <w:p w14:paraId="62259A46" w14:textId="31520DA3" w:rsidR="001500AB" w:rsidRPr="00084999" w:rsidRDefault="001500AB" w:rsidP="009333A4">
      <w:pPr>
        <w:pStyle w:val="BodyText"/>
        <w:spacing w:before="240"/>
        <w:rPr>
          <w:rFonts w:cs="Times New Roman"/>
        </w:rPr>
      </w:pPr>
      <w:r w:rsidRPr="00084999">
        <w:rPr>
          <w:rFonts w:cs="Times New Roman"/>
        </w:rPr>
        <w:t xml:space="preserve">The purpose of this document is to assist agencies in judging the anticipated size and complexity of </w:t>
      </w:r>
      <w:r w:rsidR="00B07C80" w:rsidRPr="00084999">
        <w:rPr>
          <w:rFonts w:cs="Times New Roman"/>
        </w:rPr>
        <w:t xml:space="preserve">a </w:t>
      </w:r>
      <w:r w:rsidRPr="00084999">
        <w:rPr>
          <w:rFonts w:cs="Times New Roman"/>
        </w:rPr>
        <w:t>Bill</w:t>
      </w:r>
      <w:r w:rsidR="0075718A" w:rsidRPr="00084999">
        <w:rPr>
          <w:rFonts w:cs="Times New Roman"/>
        </w:rPr>
        <w:t xml:space="preserve"> </w:t>
      </w:r>
      <w:r w:rsidRPr="00084999">
        <w:rPr>
          <w:rFonts w:cs="Times New Roman"/>
        </w:rPr>
        <w:t>when preparing drafting instructions</w:t>
      </w:r>
      <w:r w:rsidR="007E68BF" w:rsidRPr="00084999">
        <w:rPr>
          <w:rFonts w:cs="Times New Roman"/>
        </w:rPr>
        <w:t>.</w:t>
      </w:r>
      <w:r w:rsidR="0075718A" w:rsidRPr="00084999">
        <w:rPr>
          <w:rFonts w:cs="Times New Roman"/>
        </w:rPr>
        <w:t xml:space="preserve"> It can </w:t>
      </w:r>
      <w:r w:rsidR="001C779B" w:rsidRPr="00084999">
        <w:rPr>
          <w:rFonts w:cs="Times New Roman"/>
        </w:rPr>
        <w:t>also be used</w:t>
      </w:r>
      <w:r w:rsidR="0075718A" w:rsidRPr="00084999">
        <w:rPr>
          <w:rFonts w:cs="Times New Roman"/>
        </w:rPr>
        <w:t xml:space="preserve"> to judge the anticipated size and complexity of </w:t>
      </w:r>
      <w:r w:rsidR="001C779B" w:rsidRPr="00084999">
        <w:rPr>
          <w:rFonts w:cs="Times New Roman"/>
        </w:rPr>
        <w:t>each</w:t>
      </w:r>
      <w:r w:rsidR="0075718A" w:rsidRPr="00084999">
        <w:rPr>
          <w:rFonts w:cs="Times New Roman"/>
        </w:rPr>
        <w:t xml:space="preserve"> discrete measure to be included in a Bill that will include multiple measures</w:t>
      </w:r>
      <w:r w:rsidR="001C779B" w:rsidRPr="00084999">
        <w:rPr>
          <w:rFonts w:cs="Times New Roman"/>
        </w:rPr>
        <w:t>.</w:t>
      </w:r>
    </w:p>
    <w:bookmarkEnd w:id="0"/>
    <w:p w14:paraId="11C1BE26" w14:textId="013B52B5" w:rsidR="003C0B76" w:rsidRPr="007724F9" w:rsidRDefault="00B07C80" w:rsidP="004A218C">
      <w:pPr>
        <w:pStyle w:val="Head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/>
          <w:sz w:val="24"/>
          <w:szCs w:val="24"/>
        </w:rPr>
      </w:pPr>
      <w:r w:rsidRPr="007724F9">
        <w:rPr>
          <w:rFonts w:ascii="Times New Roman" w:hAnsi="Times New Roman"/>
          <w:sz w:val="24"/>
          <w:szCs w:val="24"/>
        </w:rPr>
        <w:t>Size</w:t>
      </w:r>
    </w:p>
    <w:p w14:paraId="440B1FFE" w14:textId="77777777" w:rsidR="009521F2" w:rsidRPr="00084999" w:rsidRDefault="009521F2" w:rsidP="004A218C">
      <w:pPr>
        <w:pStyle w:val="BodyNum"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ectPr w:rsidR="009521F2" w:rsidRPr="00084999" w:rsidSect="009521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134" w:right="1077" w:bottom="1134" w:left="1077" w:header="720" w:footer="720" w:gutter="0"/>
          <w:cols w:space="708"/>
          <w:docGrid w:linePitch="360"/>
        </w:sectPr>
      </w:pPr>
    </w:p>
    <w:p w14:paraId="7F0CFEE1" w14:textId="6B690ECA" w:rsidR="002C5881" w:rsidRPr="00084999" w:rsidRDefault="007E68BF" w:rsidP="004A218C">
      <w:pPr>
        <w:pStyle w:val="BodyNum"/>
        <w:numPr>
          <w:ilvl w:val="0"/>
          <w:numId w:val="0"/>
        </w:numPr>
        <w:spacing w:before="120"/>
        <w:rPr>
          <w:sz w:val="20"/>
        </w:rPr>
      </w:pPr>
      <w:r w:rsidRPr="00084999">
        <w:rPr>
          <w:sz w:val="20"/>
        </w:rPr>
        <w:t>The following table sets out what the size categories cover.</w:t>
      </w:r>
    </w:p>
    <w:p w14:paraId="3A5918EE" w14:textId="77777777" w:rsidR="004A218C" w:rsidRPr="00084999" w:rsidRDefault="004A218C" w:rsidP="004A218C">
      <w:pPr>
        <w:pStyle w:val="BodyNum"/>
        <w:numPr>
          <w:ilvl w:val="0"/>
          <w:numId w:val="0"/>
        </w:numPr>
        <w:spacing w:before="0"/>
        <w:rPr>
          <w:sz w:val="16"/>
          <w:szCs w:val="16"/>
        </w:rPr>
      </w:pPr>
    </w:p>
    <w:tbl>
      <w:tblPr>
        <w:tblW w:w="4815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402"/>
      </w:tblGrid>
      <w:tr w:rsidR="008347C8" w:rsidRPr="00084999" w14:paraId="0BACB4D3" w14:textId="77777777" w:rsidTr="00814AB3">
        <w:trPr>
          <w:tblHeader/>
        </w:trPr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AE20A5" w14:textId="4371DF53" w:rsidR="008347C8" w:rsidRPr="00084999" w:rsidRDefault="008347C8" w:rsidP="00D8597B">
            <w:pPr>
              <w:pStyle w:val="TableHeading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Size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2731C2" w14:textId="77777777" w:rsidR="008347C8" w:rsidRPr="00084999" w:rsidRDefault="008347C8" w:rsidP="00D8597B">
            <w:pPr>
              <w:pStyle w:val="TableHeading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Anticipated number of pages</w:t>
            </w:r>
          </w:p>
        </w:tc>
      </w:tr>
      <w:tr w:rsidR="008347C8" w:rsidRPr="00084999" w14:paraId="03D79690" w14:textId="77777777" w:rsidTr="00814AB3">
        <w:tc>
          <w:tcPr>
            <w:tcW w:w="1413" w:type="dxa"/>
            <w:tcBorders>
              <w:top w:val="single" w:sz="12" w:space="0" w:color="auto"/>
            </w:tcBorders>
            <w:shd w:val="clear" w:color="auto" w:fill="67AB9A"/>
          </w:tcPr>
          <w:p w14:paraId="05310909" w14:textId="77777777" w:rsidR="008347C8" w:rsidRPr="00084999" w:rsidRDefault="008347C8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Small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67AB9A"/>
          </w:tcPr>
          <w:p w14:paraId="45345617" w14:textId="288A212C" w:rsidR="008347C8" w:rsidRPr="00084999" w:rsidRDefault="008347C8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up to 10</w:t>
            </w:r>
          </w:p>
        </w:tc>
      </w:tr>
      <w:tr w:rsidR="008347C8" w:rsidRPr="00084999" w14:paraId="50D11AE7" w14:textId="77777777" w:rsidTr="00814AB3">
        <w:tc>
          <w:tcPr>
            <w:tcW w:w="1413" w:type="dxa"/>
            <w:tcBorders>
              <w:bottom w:val="single" w:sz="2" w:space="0" w:color="auto"/>
            </w:tcBorders>
            <w:shd w:val="clear" w:color="auto" w:fill="A9D9DB"/>
          </w:tcPr>
          <w:p w14:paraId="23C73818" w14:textId="77777777" w:rsidR="008347C8" w:rsidRPr="00084999" w:rsidRDefault="008347C8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Medium</w:t>
            </w:r>
          </w:p>
        </w:tc>
        <w:tc>
          <w:tcPr>
            <w:tcW w:w="3402" w:type="dxa"/>
            <w:tcBorders>
              <w:bottom w:val="single" w:sz="2" w:space="0" w:color="auto"/>
            </w:tcBorders>
            <w:shd w:val="clear" w:color="auto" w:fill="A9D9DB"/>
          </w:tcPr>
          <w:p w14:paraId="2CBFB009" w14:textId="1F8335AA" w:rsidR="008347C8" w:rsidRPr="00084999" w:rsidRDefault="00D134BF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from 11</w:t>
            </w:r>
            <w:r w:rsidR="008347C8" w:rsidRPr="00084999">
              <w:rPr>
                <w:sz w:val="22"/>
                <w:szCs w:val="22"/>
              </w:rPr>
              <w:t xml:space="preserve"> to 100</w:t>
            </w:r>
          </w:p>
        </w:tc>
      </w:tr>
      <w:tr w:rsidR="008347C8" w:rsidRPr="00084999" w14:paraId="33095E10" w14:textId="77777777" w:rsidTr="00814AB3">
        <w:tc>
          <w:tcPr>
            <w:tcW w:w="1413" w:type="dxa"/>
            <w:tcBorders>
              <w:top w:val="single" w:sz="2" w:space="0" w:color="auto"/>
              <w:bottom w:val="single" w:sz="12" w:space="0" w:color="auto"/>
            </w:tcBorders>
            <w:shd w:val="clear" w:color="auto" w:fill="D1505F"/>
          </w:tcPr>
          <w:p w14:paraId="43BA7EDE" w14:textId="77777777" w:rsidR="008347C8" w:rsidRPr="00084999" w:rsidRDefault="008347C8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Large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12" w:space="0" w:color="auto"/>
            </w:tcBorders>
            <w:shd w:val="clear" w:color="auto" w:fill="D1505F"/>
          </w:tcPr>
          <w:p w14:paraId="64A1ECE1" w14:textId="771CA177" w:rsidR="008347C8" w:rsidRPr="00084999" w:rsidRDefault="008347C8" w:rsidP="00D8597B">
            <w:pPr>
              <w:pStyle w:val="Tabletext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more than 100</w:t>
            </w:r>
          </w:p>
        </w:tc>
      </w:tr>
    </w:tbl>
    <w:p w14:paraId="534783A1" w14:textId="14425760" w:rsidR="009521F2" w:rsidRPr="00084999" w:rsidRDefault="003C0B76" w:rsidP="004A218C">
      <w:pPr>
        <w:pStyle w:val="BodyNum"/>
        <w:numPr>
          <w:ilvl w:val="0"/>
          <w:numId w:val="0"/>
        </w:numPr>
        <w:spacing w:before="120" w:after="120"/>
        <w:rPr>
          <w:sz w:val="20"/>
        </w:rPr>
      </w:pPr>
      <w:r w:rsidRPr="00084999">
        <w:rPr>
          <w:sz w:val="20"/>
        </w:rPr>
        <w:t>Some factors that may affect size are:</w:t>
      </w:r>
    </w:p>
    <w:p w14:paraId="7AD096EB" w14:textId="1DD9E69E" w:rsidR="003C0B76" w:rsidRPr="00084999" w:rsidRDefault="003C0B76" w:rsidP="00A604BC">
      <w:pPr>
        <w:pStyle w:val="ListBullet"/>
        <w:numPr>
          <w:ilvl w:val="0"/>
          <w:numId w:val="4"/>
        </w:numPr>
        <w:rPr>
          <w:rFonts w:cs="Times New Roman"/>
          <w:sz w:val="20"/>
        </w:rPr>
      </w:pPr>
      <w:r w:rsidRPr="00084999">
        <w:rPr>
          <w:rFonts w:cs="Times New Roman"/>
          <w:sz w:val="20"/>
        </w:rPr>
        <w:t xml:space="preserve">the number of provisions to be drafted or </w:t>
      </w:r>
      <w:r w:rsidR="009521F2" w:rsidRPr="00084999">
        <w:rPr>
          <w:rFonts w:cs="Times New Roman"/>
          <w:sz w:val="20"/>
        </w:rPr>
        <w:t>amended</w:t>
      </w:r>
      <w:r w:rsidR="004A218C" w:rsidRPr="00084999">
        <w:rPr>
          <w:rFonts w:cs="Times New Roman"/>
          <w:sz w:val="20"/>
        </w:rPr>
        <w:t>;</w:t>
      </w:r>
    </w:p>
    <w:p w14:paraId="262030E8" w14:textId="412673C9" w:rsidR="009521F2" w:rsidRPr="00084999" w:rsidRDefault="009521F2" w:rsidP="00A604BC">
      <w:pPr>
        <w:pStyle w:val="ListBullet"/>
        <w:numPr>
          <w:ilvl w:val="0"/>
          <w:numId w:val="4"/>
        </w:numPr>
        <w:rPr>
          <w:rFonts w:cs="Times New Roman"/>
          <w:sz w:val="20"/>
        </w:rPr>
      </w:pPr>
      <w:r w:rsidRPr="00084999">
        <w:rPr>
          <w:rFonts w:cs="Times New Roman"/>
          <w:sz w:val="20"/>
        </w:rPr>
        <w:t>the number of consequential amendments required;</w:t>
      </w:r>
    </w:p>
    <w:p w14:paraId="0276855B" w14:textId="77777777" w:rsidR="00E90226" w:rsidRPr="00084999" w:rsidRDefault="009521F2" w:rsidP="00A604BC">
      <w:pPr>
        <w:pStyle w:val="ListBullet"/>
        <w:numPr>
          <w:ilvl w:val="0"/>
          <w:numId w:val="4"/>
        </w:numPr>
        <w:rPr>
          <w:rFonts w:cs="Times New Roman"/>
          <w:sz w:val="20"/>
        </w:rPr>
        <w:sectPr w:rsidR="00E90226" w:rsidRPr="00084999" w:rsidSect="00E90226">
          <w:type w:val="continuous"/>
          <w:pgSz w:w="11907" w:h="16839"/>
          <w:pgMar w:top="1440" w:right="1080" w:bottom="1440" w:left="1080" w:header="720" w:footer="720" w:gutter="0"/>
          <w:cols w:num="2" w:space="708"/>
          <w:docGrid w:linePitch="360"/>
        </w:sectPr>
      </w:pPr>
      <w:r w:rsidRPr="00084999">
        <w:rPr>
          <w:rFonts w:cs="Times New Roman"/>
          <w:sz w:val="20"/>
        </w:rPr>
        <w:t>the number of transitional, application or saving provisions required.</w:t>
      </w:r>
    </w:p>
    <w:p w14:paraId="1F9028B8" w14:textId="0A0733FA" w:rsidR="008347C8" w:rsidRPr="007724F9" w:rsidRDefault="008347C8" w:rsidP="002707CB">
      <w:pPr>
        <w:pStyle w:val="Head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/>
          <w:sz w:val="24"/>
          <w:szCs w:val="24"/>
        </w:rPr>
      </w:pPr>
      <w:r w:rsidRPr="007724F9">
        <w:rPr>
          <w:rFonts w:ascii="Times New Roman" w:hAnsi="Times New Roman"/>
          <w:sz w:val="24"/>
          <w:szCs w:val="24"/>
        </w:rPr>
        <w:t>Complexity</w:t>
      </w:r>
    </w:p>
    <w:p w14:paraId="1CB566ED" w14:textId="77777777" w:rsidR="004A218C" w:rsidRPr="00084999" w:rsidRDefault="004A218C" w:rsidP="002707CB">
      <w:pPr>
        <w:pStyle w:val="BodyText"/>
        <w:shd w:val="clear" w:color="auto" w:fill="D9D9D9" w:themeFill="background1" w:themeFillShade="D9"/>
        <w:spacing w:before="120" w:after="0"/>
        <w:rPr>
          <w:rFonts w:cs="Times New Roman"/>
          <w:sz w:val="20"/>
        </w:rPr>
        <w:sectPr w:rsidR="004A218C" w:rsidRPr="00084999" w:rsidSect="009521F2">
          <w:type w:val="continuous"/>
          <w:pgSz w:w="11907" w:h="16839"/>
          <w:pgMar w:top="1440" w:right="1080" w:bottom="1440" w:left="1080" w:header="720" w:footer="720" w:gutter="0"/>
          <w:cols w:space="708"/>
          <w:docGrid w:linePitch="360"/>
        </w:sectPr>
      </w:pPr>
    </w:p>
    <w:p w14:paraId="35AC4243" w14:textId="7084660B" w:rsidR="004A218C" w:rsidRPr="00084999" w:rsidRDefault="007E68BF" w:rsidP="004A218C">
      <w:pPr>
        <w:pStyle w:val="BodyText"/>
        <w:spacing w:before="120" w:after="0"/>
        <w:rPr>
          <w:rFonts w:cs="Times New Roman"/>
          <w:sz w:val="20"/>
        </w:rPr>
      </w:pPr>
      <w:r w:rsidRPr="00084999">
        <w:rPr>
          <w:rFonts w:cs="Times New Roman"/>
          <w:sz w:val="20"/>
        </w:rPr>
        <w:t xml:space="preserve">The following table sets out the </w:t>
      </w:r>
      <w:r w:rsidR="009B2845" w:rsidRPr="00084999">
        <w:rPr>
          <w:rFonts w:cs="Times New Roman"/>
          <w:sz w:val="20"/>
        </w:rPr>
        <w:t>elements</w:t>
      </w:r>
      <w:r w:rsidR="00B64450" w:rsidRPr="00084999">
        <w:rPr>
          <w:rFonts w:cs="Times New Roman"/>
          <w:sz w:val="20"/>
        </w:rPr>
        <w:t xml:space="preserve"> that </w:t>
      </w:r>
      <w:r w:rsidR="009B2845" w:rsidRPr="00084999">
        <w:rPr>
          <w:rFonts w:cs="Times New Roman"/>
          <w:sz w:val="20"/>
        </w:rPr>
        <w:t>determine wh</w:t>
      </w:r>
      <w:r w:rsidR="004F4AAB" w:rsidRPr="00084999">
        <w:rPr>
          <w:rFonts w:cs="Times New Roman"/>
          <w:sz w:val="20"/>
        </w:rPr>
        <w:t>ich</w:t>
      </w:r>
      <w:r w:rsidR="009B2845" w:rsidRPr="00084999">
        <w:rPr>
          <w:rFonts w:cs="Times New Roman"/>
          <w:sz w:val="20"/>
        </w:rPr>
        <w:t xml:space="preserve"> complexity category </w:t>
      </w:r>
      <w:r w:rsidR="009B1B40" w:rsidRPr="00084999">
        <w:rPr>
          <w:rFonts w:cs="Times New Roman"/>
          <w:sz w:val="20"/>
        </w:rPr>
        <w:t>applies</w:t>
      </w:r>
      <w:r w:rsidR="001C779B" w:rsidRPr="00084999">
        <w:rPr>
          <w:rFonts w:cs="Times New Roman"/>
          <w:sz w:val="20"/>
        </w:rPr>
        <w:t xml:space="preserve"> to a Bill (or to a </w:t>
      </w:r>
      <w:r w:rsidR="009333A4" w:rsidRPr="00084999">
        <w:rPr>
          <w:rFonts w:cs="Times New Roman"/>
          <w:sz w:val="20"/>
        </w:rPr>
        <w:t xml:space="preserve">discrete </w:t>
      </w:r>
      <w:r w:rsidR="001C779B" w:rsidRPr="00084999">
        <w:rPr>
          <w:rFonts w:cs="Times New Roman"/>
          <w:sz w:val="20"/>
        </w:rPr>
        <w:t>measure to be included in a Bill).</w:t>
      </w:r>
    </w:p>
    <w:p w14:paraId="490AD4A0" w14:textId="051BC17D" w:rsidR="000A07FC" w:rsidRPr="00084999" w:rsidRDefault="00B64450" w:rsidP="004A218C">
      <w:pPr>
        <w:pStyle w:val="BodyText"/>
        <w:spacing w:before="120" w:after="0"/>
        <w:rPr>
          <w:rFonts w:cs="Times New Roman"/>
          <w:sz w:val="20"/>
        </w:rPr>
      </w:pPr>
      <w:r w:rsidRPr="00084999">
        <w:rPr>
          <w:rFonts w:cs="Times New Roman"/>
          <w:sz w:val="20"/>
        </w:rPr>
        <w:t xml:space="preserve">If </w:t>
      </w:r>
      <w:r w:rsidR="001C779B" w:rsidRPr="00084999">
        <w:rPr>
          <w:rFonts w:cs="Times New Roman"/>
          <w:sz w:val="20"/>
        </w:rPr>
        <w:t>the</w:t>
      </w:r>
      <w:r w:rsidRPr="00084999">
        <w:rPr>
          <w:rFonts w:cs="Times New Roman"/>
          <w:sz w:val="20"/>
        </w:rPr>
        <w:t xml:space="preserve"> Bill</w:t>
      </w:r>
      <w:r w:rsidR="001C779B" w:rsidRPr="00084999">
        <w:rPr>
          <w:rFonts w:cs="Times New Roman"/>
          <w:sz w:val="20"/>
        </w:rPr>
        <w:t xml:space="preserve"> (or the measure to be included in the Bill)</w:t>
      </w:r>
      <w:r w:rsidR="009B2845" w:rsidRPr="00084999">
        <w:rPr>
          <w:rFonts w:cs="Times New Roman"/>
          <w:sz w:val="20"/>
        </w:rPr>
        <w:t xml:space="preserve"> has elements</w:t>
      </w:r>
      <w:r w:rsidRPr="00084999">
        <w:rPr>
          <w:rFonts w:cs="Times New Roman"/>
          <w:sz w:val="20"/>
        </w:rPr>
        <w:t xml:space="preserve"> from more than one complexity category, the</w:t>
      </w:r>
      <w:r w:rsidR="009B2845" w:rsidRPr="00084999">
        <w:rPr>
          <w:rFonts w:cs="Times New Roman"/>
          <w:sz w:val="20"/>
        </w:rPr>
        <w:t xml:space="preserve"> </w:t>
      </w:r>
      <w:r w:rsidRPr="00084999">
        <w:rPr>
          <w:rFonts w:cs="Times New Roman"/>
          <w:sz w:val="20"/>
        </w:rPr>
        <w:t>highest of those categories</w:t>
      </w:r>
      <w:r w:rsidR="003C7ABE" w:rsidRPr="00084999">
        <w:rPr>
          <w:rFonts w:cs="Times New Roman"/>
          <w:sz w:val="20"/>
        </w:rPr>
        <w:t xml:space="preserve"> will apply</w:t>
      </w:r>
      <w:r w:rsidR="001C779B" w:rsidRPr="00084999">
        <w:rPr>
          <w:rFonts w:cs="Times New Roman"/>
          <w:sz w:val="20"/>
        </w:rPr>
        <w:t xml:space="preserve"> to the Bill (or </w:t>
      </w:r>
      <w:r w:rsidR="009333A4" w:rsidRPr="00084999">
        <w:rPr>
          <w:rFonts w:cs="Times New Roman"/>
          <w:sz w:val="20"/>
        </w:rPr>
        <w:t xml:space="preserve">to the </w:t>
      </w:r>
      <w:r w:rsidR="001C779B" w:rsidRPr="00084999">
        <w:rPr>
          <w:rFonts w:cs="Times New Roman"/>
          <w:sz w:val="20"/>
        </w:rPr>
        <w:t>measure)</w:t>
      </w:r>
      <w:r w:rsidRPr="00084999">
        <w:rPr>
          <w:rFonts w:cs="Times New Roman"/>
          <w:sz w:val="20"/>
        </w:rPr>
        <w:t>.</w:t>
      </w:r>
    </w:p>
    <w:p w14:paraId="0811B267" w14:textId="72FCDB59" w:rsidR="000A07FC" w:rsidRPr="00084999" w:rsidRDefault="004A218C" w:rsidP="004A218C">
      <w:pPr>
        <w:pStyle w:val="BodyText"/>
        <w:spacing w:before="120" w:after="0"/>
        <w:rPr>
          <w:rFonts w:cs="Times New Roman"/>
          <w:sz w:val="20"/>
        </w:rPr>
        <w:sectPr w:rsidR="000A07FC" w:rsidRPr="00084999" w:rsidSect="000A07FC">
          <w:type w:val="continuous"/>
          <w:pgSz w:w="11907" w:h="16839"/>
          <w:pgMar w:top="1440" w:right="1080" w:bottom="1440" w:left="1080" w:header="720" w:footer="720" w:gutter="0"/>
          <w:cols w:num="3" w:space="708"/>
          <w:docGrid w:linePitch="360"/>
        </w:sectPr>
      </w:pPr>
      <w:r w:rsidRPr="00084999">
        <w:rPr>
          <w:rFonts w:cs="Times New Roman"/>
          <w:i/>
          <w:iCs/>
          <w:sz w:val="20"/>
        </w:rPr>
        <w:t>Example</w:t>
      </w:r>
      <w:r w:rsidRPr="00084999">
        <w:rPr>
          <w:rFonts w:cs="Times New Roman"/>
          <w:sz w:val="20"/>
        </w:rPr>
        <w:t xml:space="preserve">: </w:t>
      </w:r>
      <w:r w:rsidR="009821AE" w:rsidRPr="00084999">
        <w:rPr>
          <w:rFonts w:cs="Times New Roman"/>
          <w:sz w:val="20"/>
        </w:rPr>
        <w:t>I</w:t>
      </w:r>
      <w:r w:rsidR="000A07FC" w:rsidRPr="00084999">
        <w:rPr>
          <w:rFonts w:cs="Times New Roman"/>
          <w:sz w:val="20"/>
        </w:rPr>
        <w:t xml:space="preserve">f </w:t>
      </w:r>
      <w:r w:rsidR="009B2845" w:rsidRPr="00084999">
        <w:rPr>
          <w:rFonts w:cs="Times New Roman"/>
          <w:sz w:val="20"/>
        </w:rPr>
        <w:t xml:space="preserve">a Bill requires a small number of provisions to be drafted (low complexity) but </w:t>
      </w:r>
      <w:r w:rsidR="000A07FC" w:rsidRPr="00084999">
        <w:rPr>
          <w:rFonts w:cs="Times New Roman"/>
          <w:sz w:val="20"/>
        </w:rPr>
        <w:t>raises</w:t>
      </w:r>
      <w:r w:rsidR="009B2845" w:rsidRPr="00084999">
        <w:rPr>
          <w:rFonts w:cs="Times New Roman"/>
          <w:sz w:val="20"/>
        </w:rPr>
        <w:t xml:space="preserve"> significant </w:t>
      </w:r>
      <w:r w:rsidR="003C7ABE" w:rsidRPr="00084999">
        <w:rPr>
          <w:rFonts w:cs="Times New Roman"/>
          <w:sz w:val="20"/>
        </w:rPr>
        <w:t>legal</w:t>
      </w:r>
      <w:r w:rsidR="009B2845" w:rsidRPr="00084999">
        <w:rPr>
          <w:rFonts w:cs="Times New Roman"/>
          <w:sz w:val="20"/>
        </w:rPr>
        <w:t xml:space="preserve"> issues (</w:t>
      </w:r>
      <w:r w:rsidR="009B1B40" w:rsidRPr="00084999">
        <w:rPr>
          <w:rFonts w:cs="Times New Roman"/>
          <w:sz w:val="20"/>
        </w:rPr>
        <w:t>high complexity</w:t>
      </w:r>
      <w:r w:rsidR="009B2845" w:rsidRPr="00084999">
        <w:rPr>
          <w:rFonts w:cs="Times New Roman"/>
          <w:sz w:val="20"/>
        </w:rPr>
        <w:t xml:space="preserve">), the </w:t>
      </w:r>
      <w:r w:rsidR="009B1B40" w:rsidRPr="00084999">
        <w:rPr>
          <w:rFonts w:cs="Times New Roman"/>
          <w:sz w:val="20"/>
        </w:rPr>
        <w:t>high complexity category will appl</w:t>
      </w:r>
      <w:r w:rsidR="000A07FC" w:rsidRPr="00084999">
        <w:rPr>
          <w:rFonts w:cs="Times New Roman"/>
          <w:sz w:val="20"/>
        </w:rPr>
        <w:t>y</w:t>
      </w:r>
      <w:r w:rsidR="001C779B" w:rsidRPr="00084999">
        <w:rPr>
          <w:rFonts w:cs="Times New Roman"/>
          <w:sz w:val="20"/>
        </w:rPr>
        <w:t xml:space="preserve"> to the Bill</w:t>
      </w:r>
    </w:p>
    <w:p w14:paraId="39C0DE04" w14:textId="32391A44" w:rsidR="001500AB" w:rsidRPr="00084999" w:rsidRDefault="001500AB" w:rsidP="00422AB6">
      <w:pPr>
        <w:pStyle w:val="Tabletext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283"/>
        <w:gridCol w:w="3284"/>
      </w:tblGrid>
      <w:tr w:rsidR="0041683C" w:rsidRPr="00084999" w14:paraId="7216002A" w14:textId="77777777" w:rsidTr="0023294D">
        <w:trPr>
          <w:tblHeader/>
        </w:trPr>
        <w:tc>
          <w:tcPr>
            <w:tcW w:w="3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AB9A"/>
          </w:tcPr>
          <w:p w14:paraId="540233F2" w14:textId="7A7EC869" w:rsidR="0041683C" w:rsidRPr="007724F9" w:rsidRDefault="0041683C" w:rsidP="008347C8">
            <w:pPr>
              <w:pStyle w:val="TableHeading"/>
            </w:pPr>
            <w:r w:rsidRPr="007724F9">
              <w:t>Low</w:t>
            </w:r>
          </w:p>
        </w:tc>
        <w:tc>
          <w:tcPr>
            <w:tcW w:w="32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9D9DB"/>
          </w:tcPr>
          <w:p w14:paraId="738FBCF4" w14:textId="33A422AD" w:rsidR="0041683C" w:rsidRPr="007724F9" w:rsidRDefault="0041683C" w:rsidP="008347C8">
            <w:pPr>
              <w:pStyle w:val="TableHeading"/>
            </w:pPr>
            <w:r w:rsidRPr="007724F9">
              <w:t>Moderate</w:t>
            </w:r>
          </w:p>
        </w:tc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1505F"/>
          </w:tcPr>
          <w:p w14:paraId="6C50C803" w14:textId="66FAE791" w:rsidR="0041683C" w:rsidRPr="007724F9" w:rsidRDefault="009B1B40" w:rsidP="008347C8">
            <w:pPr>
              <w:pStyle w:val="TableHeading"/>
            </w:pPr>
            <w:r w:rsidRPr="007724F9">
              <w:t>High</w:t>
            </w:r>
          </w:p>
        </w:tc>
      </w:tr>
      <w:tr w:rsidR="0041683C" w:rsidRPr="00084999" w14:paraId="525DF272" w14:textId="77777777" w:rsidTr="009E02A8">
        <w:trPr>
          <w:trHeight w:val="2405"/>
        </w:trPr>
        <w:tc>
          <w:tcPr>
            <w:tcW w:w="3283" w:type="dxa"/>
            <w:tcBorders>
              <w:top w:val="single" w:sz="12" w:space="0" w:color="auto"/>
            </w:tcBorders>
            <w:shd w:val="clear" w:color="auto" w:fill="CCE2DC"/>
          </w:tcPr>
          <w:p w14:paraId="6B3AB3DB" w14:textId="38ED2D56" w:rsidR="0041683C" w:rsidRPr="00084999" w:rsidRDefault="0041683C" w:rsidP="008347C8">
            <w:pPr>
              <w:pStyle w:val="Tabletext"/>
            </w:pPr>
            <w:r w:rsidRPr="00084999">
              <w:t>requires a small number of provisions to be drafted/amended</w:t>
            </w:r>
          </w:p>
          <w:p w14:paraId="51114CCF" w14:textId="28302056" w:rsidR="0041683C" w:rsidRPr="00084999" w:rsidRDefault="0041683C" w:rsidP="008347C8">
            <w:pPr>
              <w:pStyle w:val="Tabletext"/>
            </w:pPr>
          </w:p>
        </w:tc>
        <w:tc>
          <w:tcPr>
            <w:tcW w:w="3283" w:type="dxa"/>
            <w:tcBorders>
              <w:top w:val="single" w:sz="12" w:space="0" w:color="auto"/>
            </w:tcBorders>
            <w:shd w:val="clear" w:color="auto" w:fill="E7F4F5"/>
          </w:tcPr>
          <w:p w14:paraId="5DD6D3CA" w14:textId="1D12697B" w:rsidR="0041683C" w:rsidRPr="00084999" w:rsidRDefault="0041683C" w:rsidP="008347C8">
            <w:pPr>
              <w:pStyle w:val="Tabletext"/>
            </w:pPr>
            <w:r w:rsidRPr="00084999">
              <w:t>requires a reasonable number of provisions to be drafted/amended or a smaller number of complex provisions to be drafted/amended</w:t>
            </w:r>
          </w:p>
          <w:p w14:paraId="1FBC7D4A" w14:textId="781AC7B9" w:rsidR="0041683C" w:rsidRPr="00084999" w:rsidRDefault="0041683C" w:rsidP="008347C8">
            <w:pPr>
              <w:pStyle w:val="Tabletext"/>
            </w:pPr>
          </w:p>
        </w:tc>
        <w:tc>
          <w:tcPr>
            <w:tcW w:w="3284" w:type="dxa"/>
            <w:tcBorders>
              <w:top w:val="single" w:sz="12" w:space="0" w:color="auto"/>
            </w:tcBorders>
            <w:shd w:val="clear" w:color="auto" w:fill="F4D4D8"/>
          </w:tcPr>
          <w:p w14:paraId="789F9D01" w14:textId="61EB9C74" w:rsidR="0041683C" w:rsidRPr="00084999" w:rsidRDefault="0041683C" w:rsidP="008347C8">
            <w:pPr>
              <w:pStyle w:val="Tabletext"/>
            </w:pPr>
            <w:r w:rsidRPr="00084999">
              <w:t>requires a large number of provisions to be drafted/amended or a smaller number of highly complex provisions to be drafted/amended</w:t>
            </w:r>
          </w:p>
          <w:p w14:paraId="6F291966" w14:textId="548FE29D" w:rsidR="0041683C" w:rsidRPr="00084999" w:rsidRDefault="00C13976" w:rsidP="0041683C">
            <w:pPr>
              <w:pStyle w:val="Tabletext"/>
            </w:pPr>
            <w:r w:rsidRPr="00084999">
              <w:t>or</w:t>
            </w:r>
          </w:p>
          <w:p w14:paraId="1D1F3C6D" w14:textId="5E0EB5CB" w:rsidR="00C13976" w:rsidRPr="00084999" w:rsidRDefault="00C13976" w:rsidP="0041683C">
            <w:pPr>
              <w:pStyle w:val="Tabletext"/>
            </w:pPr>
            <w:r w:rsidRPr="00084999">
              <w:t>is replacing, or requires amendment of, an Act that is long, detailed or complex</w:t>
            </w:r>
          </w:p>
        </w:tc>
      </w:tr>
      <w:tr w:rsidR="0041683C" w:rsidRPr="00084999" w14:paraId="7FD8F9E1" w14:textId="77777777" w:rsidTr="0023294D">
        <w:tc>
          <w:tcPr>
            <w:tcW w:w="3283" w:type="dxa"/>
            <w:shd w:val="clear" w:color="auto" w:fill="CCE2DC"/>
          </w:tcPr>
          <w:p w14:paraId="5DA52E70" w14:textId="5A35F219" w:rsidR="0041683C" w:rsidRPr="00084999" w:rsidRDefault="0041683C" w:rsidP="00D8597B">
            <w:pPr>
              <w:pStyle w:val="Tabletext"/>
            </w:pPr>
            <w:r w:rsidRPr="00084999">
              <w:t>easy to identify what provisions/amendments are needed</w:t>
            </w:r>
            <w:r w:rsidR="00EB255B" w:rsidRPr="00084999">
              <w:t xml:space="preserve"> (some analysis or research may be required)</w:t>
            </w:r>
          </w:p>
        </w:tc>
        <w:tc>
          <w:tcPr>
            <w:tcW w:w="3283" w:type="dxa"/>
            <w:shd w:val="clear" w:color="auto" w:fill="E7F4F5"/>
          </w:tcPr>
          <w:p w14:paraId="24F35468" w14:textId="312C6F51" w:rsidR="0041683C" w:rsidRPr="00084999" w:rsidRDefault="00E7723B" w:rsidP="00D8597B">
            <w:pPr>
              <w:pStyle w:val="Tabletext"/>
            </w:pPr>
            <w:r w:rsidRPr="00084999">
              <w:t xml:space="preserve">requires a </w:t>
            </w:r>
            <w:r w:rsidR="0041683C" w:rsidRPr="00084999">
              <w:t>reasonable amount of analysis or research to identify what provisions/amendments are needed</w:t>
            </w:r>
          </w:p>
        </w:tc>
        <w:tc>
          <w:tcPr>
            <w:tcW w:w="3284" w:type="dxa"/>
            <w:shd w:val="clear" w:color="auto" w:fill="F4D4D8"/>
          </w:tcPr>
          <w:p w14:paraId="25F9EBD4" w14:textId="74989C9D" w:rsidR="0041683C" w:rsidRPr="00084999" w:rsidRDefault="00D14D60" w:rsidP="00D8597B">
            <w:pPr>
              <w:pStyle w:val="Tabletext"/>
            </w:pPr>
            <w:r w:rsidRPr="00084999">
              <w:t xml:space="preserve">requires a </w:t>
            </w:r>
            <w:r w:rsidR="0041683C" w:rsidRPr="00084999">
              <w:t>significant amount of analysis or research to identify appropriate legislative solution</w:t>
            </w:r>
          </w:p>
        </w:tc>
      </w:tr>
      <w:tr w:rsidR="0041683C" w:rsidRPr="00084999" w14:paraId="21AF6007" w14:textId="77777777" w:rsidTr="0023294D">
        <w:tc>
          <w:tcPr>
            <w:tcW w:w="3283" w:type="dxa"/>
            <w:shd w:val="clear" w:color="auto" w:fill="CCE2DC"/>
          </w:tcPr>
          <w:p w14:paraId="3FA642EA" w14:textId="515CDA23" w:rsidR="0041683C" w:rsidRPr="00084999" w:rsidRDefault="00CA2145" w:rsidP="00D8597B">
            <w:pPr>
              <w:pStyle w:val="Tabletext"/>
            </w:pPr>
            <w:r w:rsidRPr="00084999">
              <w:t>involves applying well</w:t>
            </w:r>
            <w:r w:rsidR="00C20F82" w:rsidRPr="00084999">
              <w:noBreakHyphen/>
            </w:r>
            <w:r w:rsidRPr="00084999">
              <w:t>established</w:t>
            </w:r>
            <w:r w:rsidR="000A07FC" w:rsidRPr="00084999">
              <w:t xml:space="preserve"> or often used</w:t>
            </w:r>
            <w:r w:rsidRPr="00084999">
              <w:t xml:space="preserve"> drafting precedents or practices</w:t>
            </w:r>
          </w:p>
        </w:tc>
        <w:tc>
          <w:tcPr>
            <w:tcW w:w="3283" w:type="dxa"/>
            <w:shd w:val="clear" w:color="auto" w:fill="E7F4F5"/>
          </w:tcPr>
          <w:p w14:paraId="6861D1D0" w14:textId="7F7CC564" w:rsidR="0041683C" w:rsidRPr="00084999" w:rsidRDefault="00C13976" w:rsidP="00D8597B">
            <w:pPr>
              <w:pStyle w:val="Tabletext"/>
            </w:pPr>
            <w:r w:rsidRPr="00084999">
              <w:t>involves a degree of original or novel drafting or the careful application of drafting precedents and practices</w:t>
            </w:r>
          </w:p>
        </w:tc>
        <w:tc>
          <w:tcPr>
            <w:tcW w:w="3284" w:type="dxa"/>
            <w:shd w:val="clear" w:color="auto" w:fill="F4D4D8"/>
          </w:tcPr>
          <w:p w14:paraId="0BBB0B5B" w14:textId="3974C7A2" w:rsidR="0041683C" w:rsidRPr="00084999" w:rsidRDefault="00C13976" w:rsidP="00D8597B">
            <w:pPr>
              <w:pStyle w:val="Tabletext"/>
            </w:pPr>
            <w:r w:rsidRPr="00084999">
              <w:t>involves a high degree of original or novel drafting or the careful application of drafting precedents and practices</w:t>
            </w:r>
          </w:p>
        </w:tc>
      </w:tr>
      <w:tr w:rsidR="0041683C" w:rsidRPr="00084999" w14:paraId="6FFA2F36" w14:textId="77777777" w:rsidTr="0023294D">
        <w:tc>
          <w:tcPr>
            <w:tcW w:w="3283" w:type="dxa"/>
            <w:shd w:val="clear" w:color="auto" w:fill="CCE2DC"/>
          </w:tcPr>
          <w:p w14:paraId="2811A382" w14:textId="48D149ED" w:rsidR="0041683C" w:rsidRPr="00084999" w:rsidRDefault="002C5881" w:rsidP="00D8597B">
            <w:pPr>
              <w:pStyle w:val="Tabletext"/>
            </w:pPr>
            <w:r w:rsidRPr="00084999">
              <w:t>raises no constitutional or legal issues and no political or other sensitivities</w:t>
            </w:r>
          </w:p>
        </w:tc>
        <w:tc>
          <w:tcPr>
            <w:tcW w:w="3283" w:type="dxa"/>
            <w:shd w:val="clear" w:color="auto" w:fill="E7F4F5"/>
          </w:tcPr>
          <w:p w14:paraId="47BA78E2" w14:textId="4893BA8E" w:rsidR="0041683C" w:rsidRPr="00084999" w:rsidRDefault="0041683C" w:rsidP="00D8597B">
            <w:pPr>
              <w:pStyle w:val="Tabletext"/>
            </w:pPr>
            <w:r w:rsidRPr="00084999">
              <w:t>raises some constitutional or legal issues and/or some political or other sensitivities</w:t>
            </w:r>
          </w:p>
        </w:tc>
        <w:tc>
          <w:tcPr>
            <w:tcW w:w="3284" w:type="dxa"/>
            <w:shd w:val="clear" w:color="auto" w:fill="F4D4D8"/>
          </w:tcPr>
          <w:p w14:paraId="57BC5AF4" w14:textId="78E24074" w:rsidR="0041683C" w:rsidRPr="00084999" w:rsidRDefault="0041683C" w:rsidP="00D8597B">
            <w:pPr>
              <w:pStyle w:val="Tabletext"/>
            </w:pPr>
            <w:r w:rsidRPr="00084999">
              <w:t>raises significant constitutional or legal issues and/or significant political or other sensitivities</w:t>
            </w:r>
          </w:p>
        </w:tc>
      </w:tr>
      <w:tr w:rsidR="0041683C" w:rsidRPr="00084999" w14:paraId="2F896BE8" w14:textId="77777777" w:rsidTr="0023294D">
        <w:tc>
          <w:tcPr>
            <w:tcW w:w="3283" w:type="dxa"/>
            <w:tcBorders>
              <w:bottom w:val="single" w:sz="2" w:space="0" w:color="auto"/>
            </w:tcBorders>
            <w:shd w:val="clear" w:color="auto" w:fill="CCE2DC"/>
          </w:tcPr>
          <w:p w14:paraId="6D906760" w14:textId="4FE3B55C" w:rsidR="0041683C" w:rsidRPr="00084999" w:rsidRDefault="00C13976" w:rsidP="00D8597B">
            <w:pPr>
              <w:pStyle w:val="Tabletext"/>
            </w:pPr>
            <w:r w:rsidRPr="00084999">
              <w:t>requires no, or only a small number of simple, consequential amendments</w:t>
            </w:r>
          </w:p>
        </w:tc>
        <w:tc>
          <w:tcPr>
            <w:tcW w:w="3283" w:type="dxa"/>
            <w:tcBorders>
              <w:bottom w:val="single" w:sz="2" w:space="0" w:color="auto"/>
            </w:tcBorders>
            <w:shd w:val="clear" w:color="auto" w:fill="E7F4F5"/>
          </w:tcPr>
          <w:p w14:paraId="57DAB726" w14:textId="3A9DB6B5" w:rsidR="0041683C" w:rsidRPr="00084999" w:rsidRDefault="00C13976" w:rsidP="00D8597B">
            <w:pPr>
              <w:pStyle w:val="Tabletext"/>
            </w:pPr>
            <w:r w:rsidRPr="00084999">
              <w:t xml:space="preserve">requires no, or only a reasonable number of, </w:t>
            </w:r>
            <w:r w:rsidR="00A360C4" w:rsidRPr="00084999">
              <w:t xml:space="preserve">consequential amendments </w:t>
            </w:r>
          </w:p>
        </w:tc>
        <w:tc>
          <w:tcPr>
            <w:tcW w:w="3284" w:type="dxa"/>
            <w:tcBorders>
              <w:bottom w:val="single" w:sz="2" w:space="0" w:color="auto"/>
            </w:tcBorders>
            <w:shd w:val="clear" w:color="auto" w:fill="F4D4D8"/>
          </w:tcPr>
          <w:p w14:paraId="7CB10E95" w14:textId="349D44E2" w:rsidR="0041683C" w:rsidRPr="00084999" w:rsidRDefault="00435E72" w:rsidP="00D8597B">
            <w:pPr>
              <w:pStyle w:val="Tabletext"/>
            </w:pPr>
            <w:r w:rsidRPr="00084999">
              <w:t>requires a substantial number of consequential amendments</w:t>
            </w:r>
          </w:p>
        </w:tc>
      </w:tr>
      <w:tr w:rsidR="0041683C" w:rsidRPr="00084999" w14:paraId="075A35A4" w14:textId="77777777" w:rsidTr="0023294D">
        <w:tc>
          <w:tcPr>
            <w:tcW w:w="32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E2DC"/>
          </w:tcPr>
          <w:p w14:paraId="14D34EBC" w14:textId="5C589F12" w:rsidR="0041683C" w:rsidRPr="00084999" w:rsidRDefault="00C13976" w:rsidP="00D8597B">
            <w:pPr>
              <w:pStyle w:val="Tabletext"/>
            </w:pPr>
            <w:r w:rsidRPr="00084999">
              <w:t>requires no, or only a small number of simple, transitional, application and saving provisions</w:t>
            </w:r>
          </w:p>
        </w:tc>
        <w:tc>
          <w:tcPr>
            <w:tcW w:w="3283" w:type="dxa"/>
            <w:tcBorders>
              <w:top w:val="single" w:sz="2" w:space="0" w:color="auto"/>
              <w:bottom w:val="single" w:sz="12" w:space="0" w:color="auto"/>
            </w:tcBorders>
            <w:shd w:val="clear" w:color="auto" w:fill="E7F4F5"/>
          </w:tcPr>
          <w:p w14:paraId="09803DCB" w14:textId="58E0257D" w:rsidR="0041683C" w:rsidRPr="00084999" w:rsidRDefault="00C13976" w:rsidP="00D8597B">
            <w:pPr>
              <w:pStyle w:val="Tabletext"/>
            </w:pPr>
            <w:r w:rsidRPr="00084999">
              <w:t xml:space="preserve">requires no, or only a reasonable number of, </w:t>
            </w:r>
            <w:r w:rsidR="00A360C4" w:rsidRPr="00084999">
              <w:t>transitional, application and saving provisions</w:t>
            </w:r>
          </w:p>
        </w:tc>
        <w:tc>
          <w:tcPr>
            <w:tcW w:w="32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F4D4D8"/>
          </w:tcPr>
          <w:p w14:paraId="17CF50C4" w14:textId="072C6DD5" w:rsidR="0041683C" w:rsidRPr="00084999" w:rsidRDefault="00435E72" w:rsidP="00D8597B">
            <w:pPr>
              <w:pStyle w:val="Tabletext"/>
            </w:pPr>
            <w:r w:rsidRPr="00084999">
              <w:t xml:space="preserve">requires </w:t>
            </w:r>
            <w:r w:rsidR="00C13976" w:rsidRPr="00084999">
              <w:t xml:space="preserve">a </w:t>
            </w:r>
            <w:r w:rsidRPr="00084999">
              <w:t xml:space="preserve">substantial </w:t>
            </w:r>
            <w:r w:rsidR="00C13976" w:rsidRPr="00084999">
              <w:t xml:space="preserve">number </w:t>
            </w:r>
            <w:r w:rsidR="009821AE" w:rsidRPr="00084999">
              <w:t xml:space="preserve">of </w:t>
            </w:r>
            <w:r w:rsidRPr="00084999">
              <w:t>transitional, application and saving provisions</w:t>
            </w:r>
          </w:p>
        </w:tc>
      </w:tr>
    </w:tbl>
    <w:p w14:paraId="38009DE0" w14:textId="77777777" w:rsidR="00C85193" w:rsidRPr="00084999" w:rsidRDefault="00C85193" w:rsidP="00C85193">
      <w:pPr>
        <w:pStyle w:val="Tabletext"/>
      </w:pPr>
    </w:p>
    <w:p w14:paraId="7A1A6197" w14:textId="0AB56E99" w:rsidR="00C13976" w:rsidRPr="007724F9" w:rsidRDefault="00C13976" w:rsidP="000A07FC">
      <w:pPr>
        <w:pStyle w:val="Head2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Times New Roman" w:hAnsi="Times New Roman"/>
          <w:sz w:val="24"/>
          <w:szCs w:val="24"/>
        </w:rPr>
      </w:pPr>
      <w:r w:rsidRPr="007724F9">
        <w:rPr>
          <w:rFonts w:ascii="Times New Roman" w:hAnsi="Times New Roman"/>
          <w:sz w:val="24"/>
          <w:szCs w:val="24"/>
        </w:rPr>
        <w:lastRenderedPageBreak/>
        <w:t>Examples</w:t>
      </w:r>
    </w:p>
    <w:p w14:paraId="58C2FB69" w14:textId="6278F5BF" w:rsidR="00C13976" w:rsidRPr="00084999" w:rsidRDefault="000A07FC" w:rsidP="002707CB">
      <w:pPr>
        <w:pStyle w:val="BodyText"/>
        <w:spacing w:before="120" w:after="0"/>
        <w:rPr>
          <w:rFonts w:cs="Times New Roman"/>
          <w:sz w:val="20"/>
        </w:rPr>
      </w:pPr>
      <w:r w:rsidRPr="00084999">
        <w:rPr>
          <w:rFonts w:cs="Times New Roman"/>
          <w:sz w:val="20"/>
        </w:rPr>
        <w:t xml:space="preserve">The following table sets out some examples of Acts </w:t>
      </w:r>
      <w:r w:rsidR="00A604BC" w:rsidRPr="00084999">
        <w:rPr>
          <w:rFonts w:cs="Times New Roman"/>
          <w:sz w:val="20"/>
        </w:rPr>
        <w:t>that fall within the differen</w:t>
      </w:r>
      <w:r w:rsidR="005126F8" w:rsidRPr="00084999">
        <w:rPr>
          <w:rFonts w:cs="Times New Roman"/>
          <w:sz w:val="20"/>
        </w:rPr>
        <w:t>t</w:t>
      </w:r>
      <w:r w:rsidR="00A604BC" w:rsidRPr="00084999">
        <w:rPr>
          <w:rFonts w:cs="Times New Roman"/>
          <w:sz w:val="20"/>
        </w:rPr>
        <w:t xml:space="preserve"> size and complexity categories.</w:t>
      </w:r>
    </w:p>
    <w:p w14:paraId="4583EE3B" w14:textId="77777777" w:rsidR="000A07FC" w:rsidRPr="00084999" w:rsidRDefault="000A07FC" w:rsidP="00A604BC">
      <w:pPr>
        <w:pStyle w:val="Tabletext"/>
        <w:spacing w:before="0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1560"/>
        <w:gridCol w:w="1984"/>
      </w:tblGrid>
      <w:tr w:rsidR="00A604BC" w:rsidRPr="00084999" w14:paraId="54E8EFF6" w14:textId="1BBD00FA" w:rsidTr="005126F8">
        <w:trPr>
          <w:tblHeader/>
        </w:trPr>
        <w:tc>
          <w:tcPr>
            <w:tcW w:w="62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FDD618" w14:textId="1A87B8AD" w:rsidR="00A604BC" w:rsidRPr="00084999" w:rsidRDefault="00A604BC" w:rsidP="00203260">
            <w:pPr>
              <w:pStyle w:val="TableHeading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Act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0B1129" w14:textId="6118ECAC" w:rsidR="00A604BC" w:rsidRPr="00084999" w:rsidRDefault="00A604BC" w:rsidP="00203260">
            <w:pPr>
              <w:pStyle w:val="TableHeading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Size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9E45CE" w14:textId="3F77A9EE" w:rsidR="00A604BC" w:rsidRPr="00084999" w:rsidRDefault="00A604BC" w:rsidP="00203260">
            <w:pPr>
              <w:pStyle w:val="TableHeading"/>
              <w:rPr>
                <w:sz w:val="22"/>
                <w:szCs w:val="22"/>
              </w:rPr>
            </w:pPr>
            <w:r w:rsidRPr="00084999">
              <w:rPr>
                <w:sz w:val="22"/>
                <w:szCs w:val="22"/>
              </w:rPr>
              <w:t>Complexity</w:t>
            </w:r>
          </w:p>
        </w:tc>
      </w:tr>
      <w:tr w:rsidR="00A604BC" w:rsidRPr="00084999" w14:paraId="1AB3757F" w14:textId="3FEF6BE7" w:rsidTr="0023294D">
        <w:tc>
          <w:tcPr>
            <w:tcW w:w="6232" w:type="dxa"/>
            <w:tcBorders>
              <w:top w:val="single" w:sz="12" w:space="0" w:color="auto"/>
            </w:tcBorders>
            <w:shd w:val="clear" w:color="auto" w:fill="auto"/>
          </w:tcPr>
          <w:p w14:paraId="074AA170" w14:textId="18A21871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Administrative Review Tribunal Act 2024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D1505F"/>
          </w:tcPr>
          <w:p w14:paraId="551FFCD5" w14:textId="75D54360" w:rsidR="00A604BC" w:rsidRPr="00084999" w:rsidRDefault="00A604BC" w:rsidP="00203260">
            <w:pPr>
              <w:pStyle w:val="Tabletext"/>
            </w:pPr>
            <w:r w:rsidRPr="00084999">
              <w:t>Large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D1505F"/>
          </w:tcPr>
          <w:p w14:paraId="47336B98" w14:textId="50CF36AB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  <w:tr w:rsidR="00A604BC" w:rsidRPr="00084999" w14:paraId="05F374DC" w14:textId="4E6000ED" w:rsidTr="0023294D">
        <w:tc>
          <w:tcPr>
            <w:tcW w:w="6232" w:type="dxa"/>
            <w:shd w:val="clear" w:color="auto" w:fill="auto"/>
          </w:tcPr>
          <w:p w14:paraId="0C4A3702" w14:textId="3B6324B9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Anti</w:t>
            </w:r>
            <w:r w:rsidR="00C20F82" w:rsidRPr="00084999">
              <w:rPr>
                <w:i/>
                <w:iCs/>
              </w:rPr>
              <w:noBreakHyphen/>
            </w:r>
            <w:r w:rsidRPr="00084999">
              <w:rPr>
                <w:i/>
                <w:iCs/>
              </w:rPr>
              <w:t>Money Laundering and Counter</w:t>
            </w:r>
            <w:r w:rsidR="00C20F82" w:rsidRPr="00084999">
              <w:rPr>
                <w:i/>
                <w:iCs/>
              </w:rPr>
              <w:noBreakHyphen/>
            </w:r>
            <w:r w:rsidRPr="00084999">
              <w:rPr>
                <w:i/>
                <w:iCs/>
              </w:rPr>
              <w:t>Terrorism Financing Amendment Act 2024</w:t>
            </w:r>
          </w:p>
        </w:tc>
        <w:tc>
          <w:tcPr>
            <w:tcW w:w="1560" w:type="dxa"/>
            <w:shd w:val="clear" w:color="auto" w:fill="D1505F"/>
          </w:tcPr>
          <w:p w14:paraId="162CF85C" w14:textId="3C5AD0BD" w:rsidR="00A604BC" w:rsidRPr="00084999" w:rsidRDefault="00A604BC" w:rsidP="00203260">
            <w:pPr>
              <w:pStyle w:val="Tabletext"/>
            </w:pPr>
            <w:r w:rsidRPr="00084999">
              <w:t>Large</w:t>
            </w:r>
          </w:p>
        </w:tc>
        <w:tc>
          <w:tcPr>
            <w:tcW w:w="1984" w:type="dxa"/>
            <w:shd w:val="clear" w:color="auto" w:fill="D1505F"/>
          </w:tcPr>
          <w:p w14:paraId="5640907A" w14:textId="24897B0F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  <w:tr w:rsidR="00A604BC" w:rsidRPr="00084999" w14:paraId="702F44FD" w14:textId="1620ED22" w:rsidTr="0023294D">
        <w:tc>
          <w:tcPr>
            <w:tcW w:w="6232" w:type="dxa"/>
            <w:shd w:val="clear" w:color="auto" w:fill="auto"/>
          </w:tcPr>
          <w:p w14:paraId="71AF435A" w14:textId="4574FC78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Australian Human Rights Commission Amendment (Costs Protection) Act 2024</w:t>
            </w:r>
          </w:p>
        </w:tc>
        <w:tc>
          <w:tcPr>
            <w:tcW w:w="1560" w:type="dxa"/>
            <w:shd w:val="clear" w:color="auto" w:fill="67AB9A"/>
          </w:tcPr>
          <w:p w14:paraId="6BB7D911" w14:textId="7A8D4836" w:rsidR="00A604BC" w:rsidRPr="00084999" w:rsidRDefault="00A604BC" w:rsidP="00203260">
            <w:pPr>
              <w:pStyle w:val="Tabletext"/>
            </w:pPr>
            <w:r w:rsidRPr="00084999">
              <w:t>Small</w:t>
            </w:r>
          </w:p>
        </w:tc>
        <w:tc>
          <w:tcPr>
            <w:tcW w:w="1984" w:type="dxa"/>
            <w:shd w:val="clear" w:color="auto" w:fill="A9D9DB"/>
          </w:tcPr>
          <w:p w14:paraId="070F474F" w14:textId="3DEFDBFF" w:rsidR="00A604BC" w:rsidRPr="00084999" w:rsidRDefault="00A604BC" w:rsidP="00203260">
            <w:pPr>
              <w:pStyle w:val="Tabletext"/>
            </w:pPr>
            <w:r w:rsidRPr="00084999">
              <w:t>Moderate</w:t>
            </w:r>
          </w:p>
        </w:tc>
      </w:tr>
      <w:tr w:rsidR="00A604BC" w:rsidRPr="00084999" w14:paraId="41441F69" w14:textId="195B8AE0" w:rsidTr="0023294D">
        <w:tc>
          <w:tcPr>
            <w:tcW w:w="6232" w:type="dxa"/>
            <w:shd w:val="clear" w:color="auto" w:fill="auto"/>
          </w:tcPr>
          <w:p w14:paraId="53B2DD1A" w14:textId="0BA13C1A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 xml:space="preserve">Commonwealth Entities (Payment Surcharges) </w:t>
            </w:r>
            <w:r w:rsidR="00CC53AE" w:rsidRPr="00084999">
              <w:rPr>
                <w:i/>
                <w:iCs/>
              </w:rPr>
              <w:t>(Consequential Provisions and Other Matters) Act</w:t>
            </w:r>
            <w:r w:rsidRPr="00084999">
              <w:rPr>
                <w:i/>
                <w:iCs/>
              </w:rPr>
              <w:t xml:space="preserve"> 2024</w:t>
            </w:r>
          </w:p>
        </w:tc>
        <w:tc>
          <w:tcPr>
            <w:tcW w:w="1560" w:type="dxa"/>
            <w:shd w:val="clear" w:color="auto" w:fill="A9D9DB"/>
          </w:tcPr>
          <w:p w14:paraId="0FD90823" w14:textId="053E9C67" w:rsidR="00A604BC" w:rsidRPr="00084999" w:rsidRDefault="00CC53AE" w:rsidP="00203260">
            <w:pPr>
              <w:pStyle w:val="Tabletext"/>
            </w:pPr>
            <w:r w:rsidRPr="00084999">
              <w:t>Medium</w:t>
            </w:r>
          </w:p>
        </w:tc>
        <w:tc>
          <w:tcPr>
            <w:tcW w:w="1984" w:type="dxa"/>
            <w:shd w:val="clear" w:color="auto" w:fill="D1505F"/>
          </w:tcPr>
          <w:p w14:paraId="1419EA74" w14:textId="1A33E5E5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  <w:tr w:rsidR="00DA5AA4" w:rsidRPr="00084999" w14:paraId="2A6CF058" w14:textId="77777777" w:rsidTr="0023294D">
        <w:tc>
          <w:tcPr>
            <w:tcW w:w="6232" w:type="dxa"/>
            <w:shd w:val="clear" w:color="auto" w:fill="auto"/>
          </w:tcPr>
          <w:p w14:paraId="657F75EA" w14:textId="23174308" w:rsidR="00DA5AA4" w:rsidRPr="00084999" w:rsidRDefault="00DA5AA4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Crown References Amendment Act 2024</w:t>
            </w:r>
          </w:p>
        </w:tc>
        <w:tc>
          <w:tcPr>
            <w:tcW w:w="1560" w:type="dxa"/>
            <w:shd w:val="clear" w:color="auto" w:fill="67AB9A"/>
          </w:tcPr>
          <w:p w14:paraId="65DB8266" w14:textId="6A91F0C6" w:rsidR="00DA5AA4" w:rsidRPr="00084999" w:rsidRDefault="00DA5AA4" w:rsidP="00203260">
            <w:pPr>
              <w:pStyle w:val="Tabletext"/>
            </w:pPr>
            <w:r w:rsidRPr="00084999">
              <w:t>Small</w:t>
            </w:r>
          </w:p>
        </w:tc>
        <w:tc>
          <w:tcPr>
            <w:tcW w:w="1984" w:type="dxa"/>
            <w:shd w:val="clear" w:color="auto" w:fill="67AB9A"/>
          </w:tcPr>
          <w:p w14:paraId="31266E94" w14:textId="33B6F6D5" w:rsidR="00DA5AA4" w:rsidRPr="00084999" w:rsidRDefault="00DA5AA4" w:rsidP="00203260">
            <w:pPr>
              <w:pStyle w:val="Tabletext"/>
            </w:pPr>
            <w:r w:rsidRPr="00084999">
              <w:t>Low</w:t>
            </w:r>
          </w:p>
        </w:tc>
      </w:tr>
      <w:tr w:rsidR="00A604BC" w:rsidRPr="00084999" w14:paraId="7B350F83" w14:textId="5011659F" w:rsidTr="0023294D">
        <w:tc>
          <w:tcPr>
            <w:tcW w:w="6232" w:type="dxa"/>
            <w:shd w:val="clear" w:color="auto" w:fill="auto"/>
          </w:tcPr>
          <w:p w14:paraId="60768CF4" w14:textId="0AE602E1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Fair Work Legislation Amendment (Secure Jobs, Better Pay) Act 2022</w:t>
            </w:r>
          </w:p>
        </w:tc>
        <w:tc>
          <w:tcPr>
            <w:tcW w:w="1560" w:type="dxa"/>
            <w:shd w:val="clear" w:color="auto" w:fill="D1505F"/>
          </w:tcPr>
          <w:p w14:paraId="3F0A4DF9" w14:textId="0E2747FB" w:rsidR="00A604BC" w:rsidRPr="00084999" w:rsidRDefault="00A604BC" w:rsidP="00203260">
            <w:pPr>
              <w:pStyle w:val="Tabletext"/>
            </w:pPr>
            <w:r w:rsidRPr="00084999">
              <w:t>Large</w:t>
            </w:r>
          </w:p>
        </w:tc>
        <w:tc>
          <w:tcPr>
            <w:tcW w:w="1984" w:type="dxa"/>
            <w:shd w:val="clear" w:color="auto" w:fill="D1505F"/>
          </w:tcPr>
          <w:p w14:paraId="095E216D" w14:textId="22BE00FE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  <w:tr w:rsidR="00671F5D" w:rsidRPr="00084999" w14:paraId="3034AC45" w14:textId="77777777" w:rsidTr="0023294D">
        <w:tc>
          <w:tcPr>
            <w:tcW w:w="6232" w:type="dxa"/>
            <w:shd w:val="clear" w:color="auto" w:fill="auto"/>
          </w:tcPr>
          <w:p w14:paraId="0E47BEAE" w14:textId="7169D09A" w:rsidR="00671F5D" w:rsidRPr="00084999" w:rsidRDefault="00671F5D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Jobs and Skills Australia Amendment Act 2023</w:t>
            </w:r>
          </w:p>
        </w:tc>
        <w:tc>
          <w:tcPr>
            <w:tcW w:w="1560" w:type="dxa"/>
            <w:shd w:val="clear" w:color="auto" w:fill="A9D9DB"/>
          </w:tcPr>
          <w:p w14:paraId="716AC0FF" w14:textId="36B2F7F0" w:rsidR="00671F5D" w:rsidRPr="00084999" w:rsidRDefault="00671F5D" w:rsidP="00203260">
            <w:pPr>
              <w:pStyle w:val="Tabletext"/>
            </w:pPr>
            <w:r w:rsidRPr="00084999">
              <w:t>Medium</w:t>
            </w:r>
          </w:p>
        </w:tc>
        <w:tc>
          <w:tcPr>
            <w:tcW w:w="1984" w:type="dxa"/>
            <w:shd w:val="clear" w:color="auto" w:fill="A9D9DB"/>
          </w:tcPr>
          <w:p w14:paraId="277AE1C9" w14:textId="10CA6920" w:rsidR="00671F5D" w:rsidRPr="00084999" w:rsidRDefault="007959F8" w:rsidP="00203260">
            <w:pPr>
              <w:pStyle w:val="Tabletext"/>
            </w:pPr>
            <w:r w:rsidRPr="00084999">
              <w:t>Moderate</w:t>
            </w:r>
          </w:p>
        </w:tc>
      </w:tr>
      <w:tr w:rsidR="00A604BC" w:rsidRPr="00084999" w14:paraId="6D5B8C5B" w14:textId="79A8C840" w:rsidTr="0023294D">
        <w:tc>
          <w:tcPr>
            <w:tcW w:w="6232" w:type="dxa"/>
            <w:shd w:val="clear" w:color="auto" w:fill="auto"/>
          </w:tcPr>
          <w:p w14:paraId="5222148F" w14:textId="0482232F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Migration Amendment (Australia’s Engagement in the Pacific and Other Measures) Act 2023</w:t>
            </w:r>
          </w:p>
        </w:tc>
        <w:tc>
          <w:tcPr>
            <w:tcW w:w="1560" w:type="dxa"/>
            <w:shd w:val="clear" w:color="auto" w:fill="67AB9A"/>
          </w:tcPr>
          <w:p w14:paraId="007B9994" w14:textId="233899AD" w:rsidR="00A604BC" w:rsidRPr="00084999" w:rsidRDefault="00A604BC" w:rsidP="00203260">
            <w:pPr>
              <w:pStyle w:val="Tabletext"/>
            </w:pPr>
            <w:r w:rsidRPr="00084999">
              <w:t>Small</w:t>
            </w:r>
          </w:p>
        </w:tc>
        <w:tc>
          <w:tcPr>
            <w:tcW w:w="1984" w:type="dxa"/>
            <w:shd w:val="clear" w:color="auto" w:fill="D1505F"/>
          </w:tcPr>
          <w:p w14:paraId="20BF7E43" w14:textId="68A9E7D6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  <w:tr w:rsidR="00A604BC" w:rsidRPr="00084999" w14:paraId="2A252419" w14:textId="270989F5" w:rsidTr="0023294D">
        <w:tc>
          <w:tcPr>
            <w:tcW w:w="6232" w:type="dxa"/>
            <w:tcBorders>
              <w:bottom w:val="single" w:sz="2" w:space="0" w:color="auto"/>
            </w:tcBorders>
            <w:shd w:val="clear" w:color="auto" w:fill="auto"/>
          </w:tcPr>
          <w:p w14:paraId="6E9DEE46" w14:textId="2E7EF838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Modern Slavery Amendment (Australian Anti</w:t>
            </w:r>
            <w:r w:rsidR="00C20F82" w:rsidRPr="00084999">
              <w:rPr>
                <w:i/>
                <w:iCs/>
              </w:rPr>
              <w:noBreakHyphen/>
            </w:r>
            <w:r w:rsidRPr="00084999">
              <w:rPr>
                <w:i/>
                <w:iCs/>
              </w:rPr>
              <w:t>Slavery Commissioner) Act 2024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shd w:val="clear" w:color="auto" w:fill="A9D9DB"/>
          </w:tcPr>
          <w:p w14:paraId="3BCADA15" w14:textId="4B2121AD" w:rsidR="00A604BC" w:rsidRPr="00084999" w:rsidRDefault="00A604BC" w:rsidP="00203260">
            <w:pPr>
              <w:pStyle w:val="Tabletext"/>
            </w:pPr>
            <w:r w:rsidRPr="00084999">
              <w:t>Medium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auto" w:fill="A9D9DB"/>
          </w:tcPr>
          <w:p w14:paraId="701D2BC5" w14:textId="7C665C8E" w:rsidR="00A604BC" w:rsidRPr="00084999" w:rsidRDefault="00A604BC" w:rsidP="00203260">
            <w:pPr>
              <w:pStyle w:val="Tabletext"/>
            </w:pPr>
            <w:r w:rsidRPr="00084999">
              <w:t>Moderate</w:t>
            </w:r>
          </w:p>
        </w:tc>
      </w:tr>
      <w:tr w:rsidR="00A604BC" w:rsidRPr="00084999" w14:paraId="6319E9B4" w14:textId="27E5DD69" w:rsidTr="0023294D">
        <w:tc>
          <w:tcPr>
            <w:tcW w:w="62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DA10848" w14:textId="272402DD" w:rsidR="00A604BC" w:rsidRPr="00084999" w:rsidRDefault="00A604BC" w:rsidP="00203260">
            <w:pPr>
              <w:pStyle w:val="Tabletext"/>
              <w:rPr>
                <w:i/>
                <w:iCs/>
              </w:rPr>
            </w:pPr>
            <w:r w:rsidRPr="00084999">
              <w:rPr>
                <w:i/>
                <w:iCs/>
              </w:rPr>
              <w:t>Security of Critical Infrastructure and Other Legislation Amendment (Enhanced Response and Prevention) Act 2024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9D9DB"/>
          </w:tcPr>
          <w:p w14:paraId="65C77703" w14:textId="025D2369" w:rsidR="00A604BC" w:rsidRPr="00084999" w:rsidRDefault="00A604BC" w:rsidP="00203260">
            <w:pPr>
              <w:pStyle w:val="Tabletext"/>
            </w:pPr>
            <w:r w:rsidRPr="00084999">
              <w:t>Medium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D1505F"/>
          </w:tcPr>
          <w:p w14:paraId="302DAB85" w14:textId="674F0864" w:rsidR="00A604BC" w:rsidRPr="00084999" w:rsidRDefault="00A604BC" w:rsidP="00203260">
            <w:pPr>
              <w:pStyle w:val="Tabletext"/>
            </w:pPr>
            <w:r w:rsidRPr="00084999">
              <w:t>High</w:t>
            </w:r>
          </w:p>
        </w:tc>
      </w:tr>
    </w:tbl>
    <w:p w14:paraId="50750AC8" w14:textId="77777777" w:rsidR="00203260" w:rsidRPr="00084999" w:rsidRDefault="00203260" w:rsidP="00203260">
      <w:pPr>
        <w:pStyle w:val="Tabletext"/>
      </w:pPr>
    </w:p>
    <w:sectPr w:rsidR="00203260" w:rsidRPr="00084999" w:rsidSect="009521F2">
      <w:type w:val="continuous"/>
      <w:pgSz w:w="11907" w:h="1683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8CB2" w14:textId="77777777" w:rsidR="001500AB" w:rsidRDefault="001500AB" w:rsidP="008E17F3">
      <w:pPr>
        <w:spacing w:line="240" w:lineRule="auto"/>
      </w:pPr>
      <w:r>
        <w:separator/>
      </w:r>
    </w:p>
  </w:endnote>
  <w:endnote w:type="continuationSeparator" w:id="0">
    <w:p w14:paraId="63D0B1FE" w14:textId="77777777" w:rsidR="001500AB" w:rsidRDefault="001500AB" w:rsidP="008E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5A4C0" w14:textId="6296B890" w:rsidR="008E17F3" w:rsidRDefault="006E2E9F" w:rsidP="008E17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E17F3">
      <w:rPr>
        <w:rStyle w:val="PageNumber"/>
      </w:rPr>
      <w:instrText xml:space="preserve">PAGE  </w:instrText>
    </w:r>
    <w:r w:rsidR="00142843">
      <w:rPr>
        <w:rStyle w:val="PageNumber"/>
      </w:rPr>
      <w:fldChar w:fldCharType="separate"/>
    </w:r>
    <w:r w:rsidR="001428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AE0E34" w14:textId="77777777" w:rsidR="008E17F3" w:rsidRDefault="008E17F3" w:rsidP="008E17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21FE" w14:textId="5E8AB6F0" w:rsidR="008E17F3" w:rsidRDefault="008E17F3" w:rsidP="008E17F3">
    <w:pPr>
      <w:pStyle w:val="Footer"/>
      <w:tabs>
        <w:tab w:val="clear" w:pos="4153"/>
        <w:tab w:val="clear" w:pos="8306"/>
        <w:tab w:val="left" w:pos="7680"/>
      </w:tabs>
      <w:ind w:right="27"/>
      <w:rPr>
        <w:sz w:val="16"/>
      </w:rPr>
    </w:pPr>
    <w:r>
      <w:rPr>
        <w:sz w:val="16"/>
      </w:rPr>
      <w:tab/>
    </w:r>
    <w:r>
      <w:rPr>
        <w:sz w:val="16"/>
      </w:rPr>
      <w:tab/>
    </w:r>
    <w:r>
      <w:t xml:space="preserve">Page  </w:t>
    </w:r>
    <w:r w:rsidR="005327A0">
      <w:fldChar w:fldCharType="begin"/>
    </w:r>
    <w:r w:rsidR="005327A0">
      <w:instrText xml:space="preserve"> PAGE  \* MERGEFORMAT </w:instrText>
    </w:r>
    <w:r w:rsidR="005327A0">
      <w:fldChar w:fldCharType="separate"/>
    </w:r>
    <w:r w:rsidR="00174846">
      <w:rPr>
        <w:noProof/>
      </w:rPr>
      <w:t>1</w:t>
    </w:r>
    <w:r w:rsidR="005327A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6E1C" w14:textId="77777777" w:rsidR="00454DFD" w:rsidRDefault="00454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DFBC" w14:textId="77777777" w:rsidR="001500AB" w:rsidRDefault="001500AB" w:rsidP="008E17F3">
      <w:pPr>
        <w:spacing w:line="240" w:lineRule="auto"/>
      </w:pPr>
      <w:r>
        <w:separator/>
      </w:r>
    </w:p>
  </w:footnote>
  <w:footnote w:type="continuationSeparator" w:id="0">
    <w:p w14:paraId="05F78F80" w14:textId="77777777" w:rsidR="001500AB" w:rsidRDefault="001500AB" w:rsidP="008E17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30B3" w14:textId="77777777" w:rsidR="00454DFD" w:rsidRDefault="00454D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0383" w14:textId="7DDEAE7B" w:rsidR="00B07C80" w:rsidRDefault="00B07C80">
    <w:pPr>
      <w:pStyle w:val="Header"/>
    </w:pPr>
    <w:r w:rsidRPr="009D3F97">
      <w:rPr>
        <w:rFonts w:ascii="EB Garamond" w:hAnsi="EB Garamond" w:cs="EB Garamond"/>
        <w:b/>
        <w:noProof/>
        <w:color w:val="084D5E"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2D8A39C" wp14:editId="34CE4C5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0"/>
              <wp:wrapNone/>
              <wp:docPr id="107" name="Text Box 340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E0389" w14:textId="29C6D77D" w:rsidR="00B07C80" w:rsidRPr="00324EB0" w:rsidRDefault="00B07C80" w:rsidP="00B07C8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8A39C" id="_x0000_t202" coordsize="21600,21600" o:spt="202" path="m,l,21600r21600,l21600,xe">
              <v:stroke joinstyle="miter"/>
              <v:path gradientshapeok="t" o:connecttype="rect"/>
            </v:shapetype>
            <v:shape id="Text Box 340" o:spid="_x0000_s1026" type="#_x0000_t202" alt="Sec-Headerprimary" style="position:absolute;margin-left:0;margin-top:-25pt;width:454.55pt;height:31.15pt;z-index: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" stroked="f" strokeweight=".5pt">
              <v:fill opacity="0"/>
              <v:textbox>
                <w:txbxContent>
                  <w:p w14:paraId="741E0389" w14:textId="29C6D77D" w:rsidR="00B07C80" w:rsidRPr="00324EB0" w:rsidRDefault="00B07C80" w:rsidP="00B07C80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9F8C" w14:textId="77777777" w:rsidR="00454DFD" w:rsidRDefault="00454D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E627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9AA6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AE73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0F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02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66D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5A6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48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18F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74D6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EEF1BF3"/>
    <w:multiLevelType w:val="hybridMultilevel"/>
    <w:tmpl w:val="42422D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1180734">
    <w:abstractNumId w:val="11"/>
  </w:num>
  <w:num w:numId="2" w16cid:durableId="311637310">
    <w:abstractNumId w:val="10"/>
  </w:num>
  <w:num w:numId="3" w16cid:durableId="1801536395">
    <w:abstractNumId w:val="9"/>
  </w:num>
  <w:num w:numId="4" w16cid:durableId="1923906160">
    <w:abstractNumId w:val="12"/>
  </w:num>
  <w:num w:numId="5" w16cid:durableId="1288782429">
    <w:abstractNumId w:val="7"/>
  </w:num>
  <w:num w:numId="6" w16cid:durableId="481701321">
    <w:abstractNumId w:val="6"/>
  </w:num>
  <w:num w:numId="7" w16cid:durableId="1699429537">
    <w:abstractNumId w:val="5"/>
  </w:num>
  <w:num w:numId="8" w16cid:durableId="115637864">
    <w:abstractNumId w:val="4"/>
  </w:num>
  <w:num w:numId="9" w16cid:durableId="674190044">
    <w:abstractNumId w:val="8"/>
  </w:num>
  <w:num w:numId="10" w16cid:durableId="1308124454">
    <w:abstractNumId w:val="3"/>
  </w:num>
  <w:num w:numId="11" w16cid:durableId="712774572">
    <w:abstractNumId w:val="2"/>
  </w:num>
  <w:num w:numId="12" w16cid:durableId="552349252">
    <w:abstractNumId w:val="1"/>
  </w:num>
  <w:num w:numId="13" w16cid:durableId="496262859">
    <w:abstractNumId w:val="0"/>
  </w:num>
  <w:num w:numId="14" w16cid:durableId="1633517010">
    <w:abstractNumId w:val="8"/>
  </w:num>
  <w:num w:numId="15" w16cid:durableId="1775054816">
    <w:abstractNumId w:val="3"/>
  </w:num>
  <w:num w:numId="16" w16cid:durableId="1467505338">
    <w:abstractNumId w:val="2"/>
  </w:num>
  <w:num w:numId="17" w16cid:durableId="2092506505">
    <w:abstractNumId w:val="1"/>
  </w:num>
  <w:num w:numId="18" w16cid:durableId="1154375007">
    <w:abstractNumId w:val="0"/>
  </w:num>
  <w:num w:numId="19" w16cid:durableId="176964024">
    <w:abstractNumId w:val="8"/>
  </w:num>
  <w:num w:numId="20" w16cid:durableId="1997152092">
    <w:abstractNumId w:val="3"/>
  </w:num>
  <w:num w:numId="21" w16cid:durableId="656224932">
    <w:abstractNumId w:val="2"/>
  </w:num>
  <w:num w:numId="22" w16cid:durableId="285048445">
    <w:abstractNumId w:val="1"/>
  </w:num>
  <w:num w:numId="23" w16cid:durableId="1507984590">
    <w:abstractNumId w:val="0"/>
  </w:num>
  <w:num w:numId="24" w16cid:durableId="1084761727">
    <w:abstractNumId w:val="8"/>
  </w:num>
  <w:num w:numId="25" w16cid:durableId="123037177">
    <w:abstractNumId w:val="3"/>
  </w:num>
  <w:num w:numId="26" w16cid:durableId="705329659">
    <w:abstractNumId w:val="2"/>
  </w:num>
  <w:num w:numId="27" w16cid:durableId="1019356432">
    <w:abstractNumId w:val="1"/>
  </w:num>
  <w:num w:numId="28" w16cid:durableId="1784575554">
    <w:abstractNumId w:val="0"/>
  </w:num>
  <w:num w:numId="29" w16cid:durableId="907030675">
    <w:abstractNumId w:val="8"/>
  </w:num>
  <w:num w:numId="30" w16cid:durableId="778525540">
    <w:abstractNumId w:val="3"/>
  </w:num>
  <w:num w:numId="31" w16cid:durableId="1914319623">
    <w:abstractNumId w:val="2"/>
  </w:num>
  <w:num w:numId="32" w16cid:durableId="1395665855">
    <w:abstractNumId w:val="1"/>
  </w:num>
  <w:num w:numId="33" w16cid:durableId="1205484861">
    <w:abstractNumId w:val="0"/>
  </w:num>
  <w:num w:numId="34" w16cid:durableId="1605190920">
    <w:abstractNumId w:val="8"/>
  </w:num>
  <w:num w:numId="35" w16cid:durableId="1695577424">
    <w:abstractNumId w:val="3"/>
  </w:num>
  <w:num w:numId="36" w16cid:durableId="1331132308">
    <w:abstractNumId w:val="2"/>
  </w:num>
  <w:num w:numId="37" w16cid:durableId="2005431957">
    <w:abstractNumId w:val="1"/>
  </w:num>
  <w:num w:numId="38" w16cid:durableId="191115052">
    <w:abstractNumId w:val="0"/>
  </w:num>
  <w:num w:numId="39" w16cid:durableId="1059599639">
    <w:abstractNumId w:val="8"/>
  </w:num>
  <w:num w:numId="40" w16cid:durableId="1177884205">
    <w:abstractNumId w:val="3"/>
  </w:num>
  <w:num w:numId="41" w16cid:durableId="937099499">
    <w:abstractNumId w:val="2"/>
  </w:num>
  <w:num w:numId="42" w16cid:durableId="1725907249">
    <w:abstractNumId w:val="1"/>
  </w:num>
  <w:num w:numId="43" w16cid:durableId="2095784501">
    <w:abstractNumId w:val="0"/>
  </w:num>
  <w:num w:numId="44" w16cid:durableId="131605947">
    <w:abstractNumId w:val="8"/>
  </w:num>
  <w:num w:numId="45" w16cid:durableId="662243663">
    <w:abstractNumId w:val="3"/>
  </w:num>
  <w:num w:numId="46" w16cid:durableId="938294629">
    <w:abstractNumId w:val="2"/>
  </w:num>
  <w:num w:numId="47" w16cid:durableId="1718358468">
    <w:abstractNumId w:val="1"/>
  </w:num>
  <w:num w:numId="48" w16cid:durableId="9020644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AB"/>
    <w:rsid w:val="00000132"/>
    <w:rsid w:val="000136AF"/>
    <w:rsid w:val="00020E85"/>
    <w:rsid w:val="00022B7E"/>
    <w:rsid w:val="00036B0B"/>
    <w:rsid w:val="000530DC"/>
    <w:rsid w:val="00056743"/>
    <w:rsid w:val="000614BF"/>
    <w:rsid w:val="00084999"/>
    <w:rsid w:val="00086F03"/>
    <w:rsid w:val="000A07FC"/>
    <w:rsid w:val="000A1733"/>
    <w:rsid w:val="000B4B14"/>
    <w:rsid w:val="000C029D"/>
    <w:rsid w:val="000C604C"/>
    <w:rsid w:val="000C725E"/>
    <w:rsid w:val="000D05EF"/>
    <w:rsid w:val="000F4E72"/>
    <w:rsid w:val="000F759F"/>
    <w:rsid w:val="0010745C"/>
    <w:rsid w:val="001232FB"/>
    <w:rsid w:val="0014085E"/>
    <w:rsid w:val="00142843"/>
    <w:rsid w:val="00144CA5"/>
    <w:rsid w:val="001500AB"/>
    <w:rsid w:val="00163267"/>
    <w:rsid w:val="00163C52"/>
    <w:rsid w:val="00166C2F"/>
    <w:rsid w:val="00174846"/>
    <w:rsid w:val="001939E1"/>
    <w:rsid w:val="00195382"/>
    <w:rsid w:val="001B5624"/>
    <w:rsid w:val="001B7FD3"/>
    <w:rsid w:val="001C69C4"/>
    <w:rsid w:val="001C779B"/>
    <w:rsid w:val="001E0AB1"/>
    <w:rsid w:val="001E3590"/>
    <w:rsid w:val="001E7407"/>
    <w:rsid w:val="00203260"/>
    <w:rsid w:val="0023294D"/>
    <w:rsid w:val="002373D3"/>
    <w:rsid w:val="00252AD8"/>
    <w:rsid w:val="00253D1B"/>
    <w:rsid w:val="002707CB"/>
    <w:rsid w:val="002717A5"/>
    <w:rsid w:val="002817EE"/>
    <w:rsid w:val="00287B9E"/>
    <w:rsid w:val="00295FBA"/>
    <w:rsid w:val="002970D7"/>
    <w:rsid w:val="00297ECB"/>
    <w:rsid w:val="002C5881"/>
    <w:rsid w:val="002D043A"/>
    <w:rsid w:val="002D6A8E"/>
    <w:rsid w:val="002F1348"/>
    <w:rsid w:val="00311448"/>
    <w:rsid w:val="00352B0F"/>
    <w:rsid w:val="00357F0A"/>
    <w:rsid w:val="00360FB0"/>
    <w:rsid w:val="00367E4E"/>
    <w:rsid w:val="0039097D"/>
    <w:rsid w:val="003B5735"/>
    <w:rsid w:val="003C0B76"/>
    <w:rsid w:val="003C7ABE"/>
    <w:rsid w:val="003D0BFE"/>
    <w:rsid w:val="003D5700"/>
    <w:rsid w:val="003D6F8A"/>
    <w:rsid w:val="003E4160"/>
    <w:rsid w:val="003E6916"/>
    <w:rsid w:val="004116CD"/>
    <w:rsid w:val="0041683C"/>
    <w:rsid w:val="004225C1"/>
    <w:rsid w:val="00422AB6"/>
    <w:rsid w:val="00424CA9"/>
    <w:rsid w:val="00432426"/>
    <w:rsid w:val="00435E72"/>
    <w:rsid w:val="0044291A"/>
    <w:rsid w:val="00450A86"/>
    <w:rsid w:val="00454DFD"/>
    <w:rsid w:val="004560FB"/>
    <w:rsid w:val="004653F8"/>
    <w:rsid w:val="00496F97"/>
    <w:rsid w:val="004A218C"/>
    <w:rsid w:val="004A2CAC"/>
    <w:rsid w:val="004A4D23"/>
    <w:rsid w:val="004A5EB9"/>
    <w:rsid w:val="004D7199"/>
    <w:rsid w:val="004E3E6C"/>
    <w:rsid w:val="004F4AAB"/>
    <w:rsid w:val="00501093"/>
    <w:rsid w:val="005126F8"/>
    <w:rsid w:val="00516B8D"/>
    <w:rsid w:val="005327A0"/>
    <w:rsid w:val="00537FBC"/>
    <w:rsid w:val="0054008E"/>
    <w:rsid w:val="0058205E"/>
    <w:rsid w:val="00584811"/>
    <w:rsid w:val="00594161"/>
    <w:rsid w:val="00594749"/>
    <w:rsid w:val="00600219"/>
    <w:rsid w:val="006207A3"/>
    <w:rsid w:val="00624524"/>
    <w:rsid w:val="00626102"/>
    <w:rsid w:val="006279B8"/>
    <w:rsid w:val="0063398D"/>
    <w:rsid w:val="00636A66"/>
    <w:rsid w:val="0063771B"/>
    <w:rsid w:val="00671F5D"/>
    <w:rsid w:val="00677CC2"/>
    <w:rsid w:val="00680F77"/>
    <w:rsid w:val="0069207B"/>
    <w:rsid w:val="006B6A61"/>
    <w:rsid w:val="006C42AE"/>
    <w:rsid w:val="006C5D8E"/>
    <w:rsid w:val="006C7F8C"/>
    <w:rsid w:val="006D77BA"/>
    <w:rsid w:val="006E2E9F"/>
    <w:rsid w:val="006E45BC"/>
    <w:rsid w:val="00704A73"/>
    <w:rsid w:val="0072255E"/>
    <w:rsid w:val="007276BC"/>
    <w:rsid w:val="00731E00"/>
    <w:rsid w:val="00733990"/>
    <w:rsid w:val="0075718A"/>
    <w:rsid w:val="00766393"/>
    <w:rsid w:val="007715C9"/>
    <w:rsid w:val="007724F9"/>
    <w:rsid w:val="00774EDD"/>
    <w:rsid w:val="00775577"/>
    <w:rsid w:val="007757EC"/>
    <w:rsid w:val="00790555"/>
    <w:rsid w:val="007959F8"/>
    <w:rsid w:val="007E68BF"/>
    <w:rsid w:val="007F421C"/>
    <w:rsid w:val="008006B2"/>
    <w:rsid w:val="00814AB3"/>
    <w:rsid w:val="008347C8"/>
    <w:rsid w:val="008362CE"/>
    <w:rsid w:val="00856A31"/>
    <w:rsid w:val="008754D0"/>
    <w:rsid w:val="00886E2F"/>
    <w:rsid w:val="008A4C68"/>
    <w:rsid w:val="008A509B"/>
    <w:rsid w:val="008E17F3"/>
    <w:rsid w:val="008E3B8C"/>
    <w:rsid w:val="009222F1"/>
    <w:rsid w:val="009333A4"/>
    <w:rsid w:val="0094622F"/>
    <w:rsid w:val="009521F2"/>
    <w:rsid w:val="00972ED0"/>
    <w:rsid w:val="009821AE"/>
    <w:rsid w:val="0098638B"/>
    <w:rsid w:val="009A2E23"/>
    <w:rsid w:val="009B1B40"/>
    <w:rsid w:val="009B2845"/>
    <w:rsid w:val="009E02A8"/>
    <w:rsid w:val="009F492E"/>
    <w:rsid w:val="00A01F0B"/>
    <w:rsid w:val="00A146AE"/>
    <w:rsid w:val="00A231E2"/>
    <w:rsid w:val="00A360C4"/>
    <w:rsid w:val="00A42FAB"/>
    <w:rsid w:val="00A6019F"/>
    <w:rsid w:val="00A604BC"/>
    <w:rsid w:val="00A64912"/>
    <w:rsid w:val="00A70A74"/>
    <w:rsid w:val="00A72456"/>
    <w:rsid w:val="00A74685"/>
    <w:rsid w:val="00A7740B"/>
    <w:rsid w:val="00A91B5C"/>
    <w:rsid w:val="00AA3554"/>
    <w:rsid w:val="00AD5641"/>
    <w:rsid w:val="00B07C80"/>
    <w:rsid w:val="00B33B3C"/>
    <w:rsid w:val="00B467E7"/>
    <w:rsid w:val="00B64450"/>
    <w:rsid w:val="00B73158"/>
    <w:rsid w:val="00B8022B"/>
    <w:rsid w:val="00B81576"/>
    <w:rsid w:val="00BE4166"/>
    <w:rsid w:val="00BE719A"/>
    <w:rsid w:val="00BE720A"/>
    <w:rsid w:val="00C13976"/>
    <w:rsid w:val="00C20F82"/>
    <w:rsid w:val="00C42268"/>
    <w:rsid w:val="00C42BF8"/>
    <w:rsid w:val="00C50043"/>
    <w:rsid w:val="00C61CDD"/>
    <w:rsid w:val="00C7573B"/>
    <w:rsid w:val="00C77FCB"/>
    <w:rsid w:val="00C83868"/>
    <w:rsid w:val="00C85193"/>
    <w:rsid w:val="00CA2145"/>
    <w:rsid w:val="00CB1320"/>
    <w:rsid w:val="00CB3D6B"/>
    <w:rsid w:val="00CB48D8"/>
    <w:rsid w:val="00CC53AE"/>
    <w:rsid w:val="00CD42B3"/>
    <w:rsid w:val="00CF0BB2"/>
    <w:rsid w:val="00D06678"/>
    <w:rsid w:val="00D13441"/>
    <w:rsid w:val="00D134BF"/>
    <w:rsid w:val="00D1353A"/>
    <w:rsid w:val="00D14D60"/>
    <w:rsid w:val="00D67422"/>
    <w:rsid w:val="00D70DFB"/>
    <w:rsid w:val="00D766DF"/>
    <w:rsid w:val="00D84EBA"/>
    <w:rsid w:val="00D8631A"/>
    <w:rsid w:val="00DA5AA4"/>
    <w:rsid w:val="00DB19B3"/>
    <w:rsid w:val="00DB3CFE"/>
    <w:rsid w:val="00DE7073"/>
    <w:rsid w:val="00E74DC7"/>
    <w:rsid w:val="00E7723B"/>
    <w:rsid w:val="00E90226"/>
    <w:rsid w:val="00EA3982"/>
    <w:rsid w:val="00EA671F"/>
    <w:rsid w:val="00EB255B"/>
    <w:rsid w:val="00EC1CFB"/>
    <w:rsid w:val="00EC4AB7"/>
    <w:rsid w:val="00ED0C49"/>
    <w:rsid w:val="00EE2660"/>
    <w:rsid w:val="00EF2E3A"/>
    <w:rsid w:val="00F0097E"/>
    <w:rsid w:val="00F04811"/>
    <w:rsid w:val="00F078DC"/>
    <w:rsid w:val="00F23E5F"/>
    <w:rsid w:val="00F2778B"/>
    <w:rsid w:val="00F51269"/>
    <w:rsid w:val="00F61D83"/>
    <w:rsid w:val="00FA327C"/>
    <w:rsid w:val="00FD456C"/>
    <w:rsid w:val="00F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1417F151"/>
  <w15:docId w15:val="{E359948F-B5F8-44F8-93A2-5D785CBA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07C8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B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B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A91B5C"/>
    <w:pPr>
      <w:spacing w:line="240" w:lineRule="auto"/>
    </w:pPr>
    <w:rPr>
      <w:sz w:val="24"/>
    </w:rPr>
  </w:style>
  <w:style w:type="paragraph" w:styleId="TOC2">
    <w:name w:val="toc 2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238"/>
    </w:pPr>
    <w:rPr>
      <w:b/>
      <w:noProof/>
      <w:sz w:val="24"/>
    </w:rPr>
  </w:style>
  <w:style w:type="paragraph" w:styleId="TOC3">
    <w:name w:val="toc 3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482"/>
    </w:pPr>
    <w:rPr>
      <w:noProof/>
      <w:sz w:val="24"/>
    </w:rPr>
  </w:style>
  <w:style w:type="paragraph" w:styleId="TOC4">
    <w:name w:val="toc 4"/>
    <w:basedOn w:val="OPCParaBase"/>
    <w:next w:val="Normal"/>
    <w:uiPriority w:val="39"/>
    <w:unhideWhenUsed/>
    <w:rsid w:val="00A91B5C"/>
    <w:pPr>
      <w:tabs>
        <w:tab w:val="right" w:leader="dot" w:pos="9017"/>
      </w:tabs>
      <w:spacing w:line="240" w:lineRule="auto"/>
      <w:ind w:left="720"/>
    </w:pPr>
    <w:rPr>
      <w:noProof/>
      <w:sz w:val="24"/>
    </w:rPr>
  </w:style>
  <w:style w:type="paragraph" w:styleId="TOC5">
    <w:name w:val="toc 5"/>
    <w:basedOn w:val="OPCParaBase"/>
    <w:next w:val="Normal"/>
    <w:uiPriority w:val="39"/>
    <w:semiHidden/>
    <w:unhideWhenUsed/>
    <w:rsid w:val="00A91B5C"/>
    <w:pPr>
      <w:spacing w:line="240" w:lineRule="auto"/>
      <w:ind w:left="958"/>
    </w:pPr>
    <w:rPr>
      <w:sz w:val="24"/>
    </w:rPr>
  </w:style>
  <w:style w:type="paragraph" w:styleId="TOC6">
    <w:name w:val="toc 6"/>
    <w:basedOn w:val="OPCParaBase"/>
    <w:next w:val="Normal"/>
    <w:uiPriority w:val="39"/>
    <w:semiHidden/>
    <w:unhideWhenUsed/>
    <w:rsid w:val="00A91B5C"/>
    <w:pPr>
      <w:spacing w:line="240" w:lineRule="auto"/>
      <w:ind w:left="1202"/>
    </w:pPr>
    <w:rPr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91B5C"/>
    <w:pPr>
      <w:spacing w:line="240" w:lineRule="auto"/>
      <w:ind w:left="1440"/>
    </w:pPr>
    <w:rPr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91B5C"/>
    <w:pPr>
      <w:spacing w:line="240" w:lineRule="auto"/>
      <w:ind w:left="1678"/>
    </w:pPr>
    <w:rPr>
      <w:sz w:val="24"/>
    </w:rPr>
  </w:style>
  <w:style w:type="paragraph" w:styleId="TOC9">
    <w:name w:val="toc 9"/>
    <w:basedOn w:val="OPCParaBase"/>
    <w:next w:val="Normal"/>
    <w:uiPriority w:val="39"/>
    <w:unhideWhenUsed/>
    <w:rsid w:val="00A91B5C"/>
    <w:pPr>
      <w:spacing w:line="240" w:lineRule="auto"/>
      <w:ind w:left="1922"/>
    </w:pPr>
    <w:rPr>
      <w:sz w:val="24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2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2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8E17F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17F3"/>
    <w:rPr>
      <w:rFonts w:eastAsia="Times New Roman" w:cs="Times New Roman"/>
      <w:sz w:val="22"/>
      <w:szCs w:val="24"/>
      <w:lang w:eastAsia="en-AU"/>
    </w:rPr>
  </w:style>
  <w:style w:type="character" w:styleId="PageNumber">
    <w:name w:val="page number"/>
    <w:basedOn w:val="DefaultParagraphFont"/>
    <w:rsid w:val="008E17F3"/>
  </w:style>
  <w:style w:type="paragraph" w:styleId="BalloonText">
    <w:name w:val="Balloon Text"/>
    <w:basedOn w:val="Normal"/>
    <w:link w:val="BalloonTextChar"/>
    <w:uiPriority w:val="99"/>
    <w:semiHidden/>
    <w:unhideWhenUsed/>
    <w:rsid w:val="007663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93"/>
    <w:rPr>
      <w:rFonts w:ascii="Tahoma" w:hAnsi="Tahoma" w:cs="Tahoma"/>
      <w:sz w:val="16"/>
      <w:szCs w:val="16"/>
    </w:rPr>
  </w:style>
  <w:style w:type="paragraph" w:customStyle="1" w:styleId="MessShortTitle">
    <w:name w:val="MessShortTitle"/>
    <w:basedOn w:val="Head2"/>
    <w:rsid w:val="00022B7E"/>
  </w:style>
  <w:style w:type="paragraph" w:customStyle="1" w:styleId="notetext">
    <w:name w:val="note(text)"/>
    <w:aliases w:val="n"/>
    <w:basedOn w:val="OPCParaBase"/>
    <w:rsid w:val="0077557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79B8"/>
    <w:rPr>
      <w:rFonts w:ascii="Arial" w:hAnsi="Arial"/>
      <w:sz w:val="22"/>
    </w:rPr>
  </w:style>
  <w:style w:type="paragraph" w:customStyle="1" w:styleId="SOTextNote">
    <w:name w:val="SO TextNote"/>
    <w:aliases w:val="sont"/>
    <w:basedOn w:val="Normal"/>
    <w:qFormat/>
    <w:rsid w:val="003D6F8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Normal"/>
    <w:link w:val="SOParaChar"/>
    <w:qFormat/>
    <w:rsid w:val="00CB48D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right" w:pos="1786"/>
      </w:tabs>
      <w:spacing w:before="40" w:line="240" w:lineRule="auto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B48D8"/>
    <w:rPr>
      <w:sz w:val="22"/>
    </w:rPr>
  </w:style>
  <w:style w:type="paragraph" w:customStyle="1" w:styleId="SOHeadItalic">
    <w:name w:val="SO HeadItalic"/>
    <w:aliases w:val="sohi"/>
    <w:basedOn w:val="Normal"/>
    <w:next w:val="Normal"/>
    <w:link w:val="SOHeadItalicChar"/>
    <w:qFormat/>
    <w:rsid w:val="00DE70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E7073"/>
    <w:rPr>
      <w:i/>
      <w:sz w:val="22"/>
    </w:rPr>
  </w:style>
  <w:style w:type="paragraph" w:customStyle="1" w:styleId="SOHeadBold">
    <w:name w:val="SO HeadBold"/>
    <w:aliases w:val="sohb"/>
    <w:basedOn w:val="Normal"/>
    <w:next w:val="Normal"/>
    <w:link w:val="SOHeadBoldChar"/>
    <w:qFormat/>
    <w:rsid w:val="00704A7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04A73"/>
    <w:rPr>
      <w:b/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C604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C604C"/>
    <w:rPr>
      <w:sz w:val="18"/>
    </w:rPr>
  </w:style>
  <w:style w:type="paragraph" w:customStyle="1" w:styleId="SOBullet">
    <w:name w:val="SO Bullet"/>
    <w:aliases w:val="sotb"/>
    <w:basedOn w:val="Normal"/>
    <w:link w:val="SOBulletChar"/>
    <w:qFormat/>
    <w:rsid w:val="006D77B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character" w:customStyle="1" w:styleId="SOBulletChar">
    <w:name w:val="SO Bullet Char"/>
    <w:aliases w:val="sotb Char"/>
    <w:basedOn w:val="DefaultParagraphFont"/>
    <w:link w:val="SOBullet"/>
    <w:rsid w:val="006D77BA"/>
    <w:rPr>
      <w:sz w:val="22"/>
    </w:rPr>
  </w:style>
  <w:style w:type="paragraph" w:customStyle="1" w:styleId="TableHeading">
    <w:name w:val="TableHeading"/>
    <w:aliases w:val="th"/>
    <w:basedOn w:val="OPCParaBase"/>
    <w:next w:val="Tabletext"/>
    <w:rsid w:val="00CB3D6B"/>
    <w:pPr>
      <w:keepNext/>
      <w:spacing w:before="60" w:line="240" w:lineRule="atLeast"/>
    </w:pPr>
    <w:rPr>
      <w:b/>
      <w:sz w:val="20"/>
    </w:rPr>
  </w:style>
  <w:style w:type="paragraph" w:customStyle="1" w:styleId="SubPartCASA">
    <w:name w:val="SubPart(CASA)"/>
    <w:aliases w:val="csp"/>
    <w:basedOn w:val="OPCParaBase"/>
    <w:next w:val="ActHead3"/>
    <w:rsid w:val="00450A8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SundryBoxBullet">
    <w:name w:val="SundryBoxBullet"/>
    <w:aliases w:val="sb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425" w:hanging="425"/>
    </w:pPr>
    <w:rPr>
      <w:sz w:val="24"/>
      <w:szCs w:val="24"/>
    </w:rPr>
  </w:style>
  <w:style w:type="paragraph" w:customStyle="1" w:styleId="SundryBoxHeadBold">
    <w:name w:val="SundryBoxHeadBold"/>
    <w:aliases w:val="sbhb"/>
    <w:basedOn w:val="Normal"/>
    <w:rsid w:val="00FD456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</w:pPr>
    <w:rPr>
      <w:rFonts w:eastAsia="Times New Roman" w:cs="Times New Roman"/>
      <w:b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834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B4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B40"/>
    <w:rPr>
      <w:i/>
      <w:iCs/>
      <w:color w:val="4F81BD" w:themeColor="accent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B1B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B1B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lockText">
    <w:name w:val="Block Text"/>
    <w:basedOn w:val="Normal"/>
    <w:uiPriority w:val="99"/>
    <w:unhideWhenUsed/>
    <w:rsid w:val="003C0B7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ListBullet">
    <w:name w:val="List Bullet"/>
    <w:basedOn w:val="Normal"/>
    <w:uiPriority w:val="99"/>
    <w:unhideWhenUsed/>
    <w:rsid w:val="009521F2"/>
    <w:pPr>
      <w:numPr>
        <w:numId w:val="3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A218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A218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BA58-13D3-490B-9529-A5B3793B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3427</Characters>
  <Application>Microsoft Office Word</Application>
  <DocSecurity>12</DocSecurity>
  <Lines>155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Judging size and complexity for Bills</vt:lpstr>
    </vt:vector>
  </TitlesOfParts>
  <Company>Office of Parliamentary Counsel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Judging size and complexity for Bills</dc:title>
  <dc:subject/>
  <dc:creator>VacietisS</dc:creator>
  <cp:keywords/>
  <dc:description/>
  <cp:lastModifiedBy>Larwill, Kira</cp:lastModifiedBy>
  <cp:revision>2</cp:revision>
  <cp:lastPrinted>2025-04-17T02:03:00Z</cp:lastPrinted>
  <dcterms:created xsi:type="dcterms:W3CDTF">2025-04-17T02:07:00Z</dcterms:created>
  <dcterms:modified xsi:type="dcterms:W3CDTF">2025-04-17T02:07:00Z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DoNotAsk">
    <vt:lpwstr>0</vt:lpwstr>
  </property>
  <property fmtid="{D5CDD505-2E9C-101B-9397-08002B2CF9AE}" pid="5" name="ChangedTitle">
    <vt:lpwstr/>
  </property>
</Properties>
</file>