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4A84" w14:textId="77777777" w:rsidR="007A5792" w:rsidRPr="004817B2" w:rsidRDefault="007A5792" w:rsidP="004817B2">
      <w:pPr>
        <w:pStyle w:val="Head1"/>
      </w:pPr>
      <w:r w:rsidRPr="004817B2">
        <w:t>Drafting Direction No. 3.7</w:t>
      </w:r>
      <w:r w:rsidRPr="004817B2">
        <w:br/>
        <w:t>Tribunals and other administrative bodies—various matters</w:t>
      </w:r>
    </w:p>
    <w:p w14:paraId="4F136B4A" w14:textId="77777777" w:rsidR="00D66AB6" w:rsidRPr="004817B2" w:rsidRDefault="00D66AB6" w:rsidP="00D66AB6">
      <w:pPr>
        <w:pStyle w:val="Release"/>
      </w:pPr>
      <w:r w:rsidRPr="004817B2">
        <w:t xml:space="preserve">Document release </w:t>
      </w:r>
      <w:r w:rsidR="00DE40B9" w:rsidRPr="00B10C50">
        <w:t>4</w:t>
      </w:r>
      <w:r w:rsidRPr="00B10C50">
        <w:t>.</w:t>
      </w:r>
      <w:r w:rsidR="00AD36E3" w:rsidRPr="00B10C50">
        <w:t>2</w:t>
      </w:r>
    </w:p>
    <w:p w14:paraId="3707DEB5" w14:textId="77777777" w:rsidR="00B10C50" w:rsidRPr="00D252A2" w:rsidRDefault="00D66AB6" w:rsidP="00B10C50">
      <w:pPr>
        <w:pStyle w:val="Issued"/>
      </w:pPr>
      <w:r w:rsidRPr="004817B2">
        <w:t>Reissued</w:t>
      </w:r>
      <w:r w:rsidR="00B10C50">
        <w:t xml:space="preserve"> October</w:t>
      </w:r>
      <w:r w:rsidR="00AD36E3">
        <w:t xml:space="preserve"> </w:t>
      </w:r>
      <w:r w:rsidR="009F39CC">
        <w:t>2024</w:t>
      </w:r>
    </w:p>
    <w:p w14:paraId="43F7A404" w14:textId="77777777" w:rsidR="00D66AB6" w:rsidRPr="004817B2" w:rsidRDefault="00D66AB6" w:rsidP="00D66AB6"/>
    <w:p w14:paraId="0E5BF444" w14:textId="77777777" w:rsidR="007A5792" w:rsidRPr="004817B2" w:rsidRDefault="007A5792" w:rsidP="007A5792">
      <w:pPr>
        <w:rPr>
          <w:sz w:val="32"/>
        </w:rPr>
      </w:pPr>
      <w:r w:rsidRPr="004817B2">
        <w:rPr>
          <w:sz w:val="32"/>
        </w:rPr>
        <w:t>Contents</w:t>
      </w:r>
    </w:p>
    <w:p w14:paraId="78B67AC3" w14:textId="072DE2AB" w:rsidR="00D076DA" w:rsidRDefault="00204689">
      <w:pPr>
        <w:pStyle w:val="TOC2"/>
        <w:rPr>
          <w:rFonts w:asciiTheme="minorHAnsi" w:eastAsiaTheme="minorEastAsia" w:hAnsiTheme="minorHAnsi" w:cstheme="minorBidi"/>
          <w:b w:val="0"/>
          <w:sz w:val="22"/>
          <w:szCs w:val="22"/>
        </w:rPr>
      </w:pPr>
      <w:r w:rsidRPr="004817B2">
        <w:fldChar w:fldCharType="begin"/>
      </w:r>
      <w:r w:rsidRPr="004817B2">
        <w:instrText xml:space="preserve"> TOC \o "2-9" </w:instrText>
      </w:r>
      <w:r w:rsidRPr="004817B2">
        <w:fldChar w:fldCharType="separate"/>
      </w:r>
      <w:r w:rsidR="00B17D2F">
        <w:t>Part 1</w:t>
      </w:r>
      <w:r w:rsidR="00D076DA">
        <w:t>—Merits review of administrative decisions</w:t>
      </w:r>
      <w:r w:rsidR="00D076DA">
        <w:tab/>
      </w:r>
      <w:r w:rsidR="00D076DA">
        <w:fldChar w:fldCharType="begin"/>
      </w:r>
      <w:r w:rsidR="00D076DA">
        <w:instrText xml:space="preserve"> PAGEREF _Toc172553477 \h </w:instrText>
      </w:r>
      <w:r w:rsidR="00D076DA">
        <w:fldChar w:fldCharType="separate"/>
      </w:r>
      <w:r w:rsidR="00B4327C">
        <w:t>2</w:t>
      </w:r>
      <w:r w:rsidR="00D076DA">
        <w:fldChar w:fldCharType="end"/>
      </w:r>
    </w:p>
    <w:p w14:paraId="0B909589" w14:textId="4C39361D" w:rsidR="00D076DA" w:rsidRDefault="00D076DA">
      <w:pPr>
        <w:pStyle w:val="TOC3"/>
        <w:rPr>
          <w:rFonts w:asciiTheme="minorHAnsi" w:eastAsiaTheme="minorEastAsia" w:hAnsiTheme="minorHAnsi" w:cstheme="minorBidi"/>
          <w:sz w:val="22"/>
          <w:szCs w:val="22"/>
        </w:rPr>
      </w:pPr>
      <w:r>
        <w:t>General policy</w:t>
      </w:r>
      <w:r>
        <w:tab/>
      </w:r>
      <w:r>
        <w:fldChar w:fldCharType="begin"/>
      </w:r>
      <w:r>
        <w:instrText xml:space="preserve"> PAGEREF _Toc172553478 \h </w:instrText>
      </w:r>
      <w:r>
        <w:fldChar w:fldCharType="separate"/>
      </w:r>
      <w:r w:rsidR="00B4327C">
        <w:t>2</w:t>
      </w:r>
      <w:r>
        <w:fldChar w:fldCharType="end"/>
      </w:r>
    </w:p>
    <w:p w14:paraId="44C564A3" w14:textId="5B6D9D1E" w:rsidR="00D076DA" w:rsidRDefault="00D076DA">
      <w:pPr>
        <w:pStyle w:val="TOC3"/>
        <w:rPr>
          <w:rFonts w:asciiTheme="minorHAnsi" w:eastAsiaTheme="minorEastAsia" w:hAnsiTheme="minorHAnsi" w:cstheme="minorBidi"/>
          <w:sz w:val="22"/>
          <w:szCs w:val="22"/>
        </w:rPr>
      </w:pPr>
      <w:r>
        <w:t>Providing for review of decisions by the Administrative Review Tribunal</w:t>
      </w:r>
      <w:r>
        <w:tab/>
      </w:r>
      <w:r>
        <w:fldChar w:fldCharType="begin"/>
      </w:r>
      <w:r>
        <w:instrText xml:space="preserve"> PAGEREF _Toc172553479 \h </w:instrText>
      </w:r>
      <w:r>
        <w:fldChar w:fldCharType="separate"/>
      </w:r>
      <w:r w:rsidR="00B4327C">
        <w:t>2</w:t>
      </w:r>
      <w:r>
        <w:fldChar w:fldCharType="end"/>
      </w:r>
    </w:p>
    <w:p w14:paraId="63B2A012" w14:textId="5EC9C6F3" w:rsidR="00D076DA" w:rsidRDefault="00B17D2F">
      <w:pPr>
        <w:pStyle w:val="TOC2"/>
        <w:rPr>
          <w:rFonts w:asciiTheme="minorHAnsi" w:eastAsiaTheme="minorEastAsia" w:hAnsiTheme="minorHAnsi" w:cstheme="minorBidi"/>
          <w:b w:val="0"/>
          <w:sz w:val="22"/>
          <w:szCs w:val="22"/>
        </w:rPr>
      </w:pPr>
      <w:r>
        <w:t>Part 2</w:t>
      </w:r>
      <w:r w:rsidR="00D076DA">
        <w:t>—Notification of making of decision and of review rights</w:t>
      </w:r>
      <w:r w:rsidR="00D076DA">
        <w:tab/>
      </w:r>
      <w:r w:rsidR="00D076DA">
        <w:fldChar w:fldCharType="begin"/>
      </w:r>
      <w:r w:rsidR="00D076DA">
        <w:instrText xml:space="preserve"> PAGEREF _Toc172553480 \h </w:instrText>
      </w:r>
      <w:r w:rsidR="00D076DA">
        <w:fldChar w:fldCharType="separate"/>
      </w:r>
      <w:r w:rsidR="00B4327C">
        <w:t>4</w:t>
      </w:r>
      <w:r w:rsidR="00D076DA">
        <w:fldChar w:fldCharType="end"/>
      </w:r>
    </w:p>
    <w:p w14:paraId="56B3D118" w14:textId="6A16B5A7" w:rsidR="00D076DA" w:rsidRDefault="00B17D2F">
      <w:pPr>
        <w:pStyle w:val="TOC2"/>
        <w:rPr>
          <w:rFonts w:asciiTheme="minorHAnsi" w:eastAsiaTheme="minorEastAsia" w:hAnsiTheme="minorHAnsi" w:cstheme="minorBidi"/>
          <w:b w:val="0"/>
          <w:sz w:val="22"/>
          <w:szCs w:val="22"/>
        </w:rPr>
      </w:pPr>
      <w:r>
        <w:t>Part 3</w:t>
      </w:r>
      <w:r w:rsidR="00D076DA">
        <w:t>—Protection and liabilities of witnesses</w:t>
      </w:r>
      <w:r w:rsidR="00D076DA">
        <w:tab/>
      </w:r>
      <w:r w:rsidR="00D076DA">
        <w:fldChar w:fldCharType="begin"/>
      </w:r>
      <w:r w:rsidR="00D076DA">
        <w:instrText xml:space="preserve"> PAGEREF _Toc172553481 \h </w:instrText>
      </w:r>
      <w:r w:rsidR="00D076DA">
        <w:fldChar w:fldCharType="separate"/>
      </w:r>
      <w:r w:rsidR="00B4327C">
        <w:t>4</w:t>
      </w:r>
      <w:r w:rsidR="00D076DA">
        <w:fldChar w:fldCharType="end"/>
      </w:r>
    </w:p>
    <w:p w14:paraId="4B69578A" w14:textId="36CD8DE4" w:rsidR="00D076DA" w:rsidRDefault="00B17D2F">
      <w:pPr>
        <w:pStyle w:val="TOC2"/>
        <w:rPr>
          <w:rFonts w:asciiTheme="minorHAnsi" w:eastAsiaTheme="minorEastAsia" w:hAnsiTheme="minorHAnsi" w:cstheme="minorBidi"/>
          <w:b w:val="0"/>
          <w:sz w:val="22"/>
          <w:szCs w:val="22"/>
        </w:rPr>
      </w:pPr>
      <w:r>
        <w:t>Part 4</w:t>
      </w:r>
      <w:r w:rsidR="00D076DA">
        <w:t>—Contempt</w:t>
      </w:r>
      <w:r w:rsidR="00D076DA">
        <w:tab/>
      </w:r>
      <w:r w:rsidR="00D076DA">
        <w:fldChar w:fldCharType="begin"/>
      </w:r>
      <w:r w:rsidR="00D076DA">
        <w:instrText xml:space="preserve"> PAGEREF _Toc172553482 \h </w:instrText>
      </w:r>
      <w:r w:rsidR="00D076DA">
        <w:fldChar w:fldCharType="separate"/>
      </w:r>
      <w:r w:rsidR="00B4327C">
        <w:t>5</w:t>
      </w:r>
      <w:r w:rsidR="00D076DA">
        <w:fldChar w:fldCharType="end"/>
      </w:r>
    </w:p>
    <w:p w14:paraId="23503076" w14:textId="77777777" w:rsidR="007A5792" w:rsidRPr="004817B2" w:rsidRDefault="00204689" w:rsidP="002B2A35">
      <w:r w:rsidRPr="004817B2">
        <w:rPr>
          <w:rFonts w:cs="Times New Roman"/>
          <w:sz w:val="20"/>
        </w:rPr>
        <w:fldChar w:fldCharType="end"/>
      </w:r>
    </w:p>
    <w:p w14:paraId="565FE4D9" w14:textId="77777777" w:rsidR="007A5792" w:rsidRPr="004817B2" w:rsidRDefault="007A5792" w:rsidP="004817B2">
      <w:pPr>
        <w:pStyle w:val="Head2"/>
      </w:pPr>
      <w:r w:rsidRPr="004817B2">
        <w:br w:type="page"/>
      </w:r>
      <w:bookmarkStart w:id="0" w:name="_Toc172553477"/>
      <w:r w:rsidR="00B17D2F">
        <w:lastRenderedPageBreak/>
        <w:t>Part 1</w:t>
      </w:r>
      <w:r w:rsidRPr="004817B2">
        <w:t>—</w:t>
      </w:r>
      <w:r w:rsidR="0085306E" w:rsidRPr="004817B2">
        <w:t>Merits r</w:t>
      </w:r>
      <w:r w:rsidRPr="004817B2">
        <w:t xml:space="preserve">eview of </w:t>
      </w:r>
      <w:r w:rsidR="0085306E" w:rsidRPr="004817B2">
        <w:t xml:space="preserve">administrative </w:t>
      </w:r>
      <w:r w:rsidRPr="004817B2">
        <w:t>decisions</w:t>
      </w:r>
      <w:bookmarkEnd w:id="0"/>
    </w:p>
    <w:p w14:paraId="37DB4BB3" w14:textId="77777777" w:rsidR="00F1638E" w:rsidRPr="004817B2" w:rsidRDefault="00F1638E" w:rsidP="004817B2">
      <w:pPr>
        <w:pStyle w:val="Head3"/>
      </w:pPr>
      <w:bookmarkStart w:id="1" w:name="_Toc172553478"/>
      <w:r w:rsidRPr="004817B2">
        <w:t>General policy</w:t>
      </w:r>
      <w:bookmarkEnd w:id="1"/>
    </w:p>
    <w:p w14:paraId="72F3D6F5" w14:textId="77777777" w:rsidR="00DE40B9" w:rsidRPr="004817B2" w:rsidRDefault="00702A1F" w:rsidP="002B5B89">
      <w:pPr>
        <w:pStyle w:val="BodyNum"/>
        <w:numPr>
          <w:ilvl w:val="0"/>
          <w:numId w:val="14"/>
        </w:numPr>
      </w:pPr>
      <w:r w:rsidRPr="004817B2">
        <w:t>The G</w:t>
      </w:r>
      <w:r w:rsidR="00DE40B9" w:rsidRPr="004817B2">
        <w:t>overnment’s general policy is that when drafting a law that will affect the “rights and interests” of individuals, merits review (both internal and external) should be provided for</w:t>
      </w:r>
      <w:r w:rsidR="0000221E" w:rsidRPr="004817B2">
        <w:t>,</w:t>
      </w:r>
      <w:r w:rsidR="00DE40B9" w:rsidRPr="004817B2">
        <w:t xml:space="preserve"> where practicable. The Administrative Review Council publication “</w:t>
      </w:r>
      <w:r w:rsidR="00DE40B9" w:rsidRPr="002B5B89">
        <w:rPr>
          <w:i/>
          <w:iCs/>
        </w:rPr>
        <w:t>What decisions should be subject to merits review?</w:t>
      </w:r>
      <w:r w:rsidR="00DE40B9" w:rsidRPr="004817B2">
        <w:t>” describes the small group of decisions that are unsuitable for merits review.</w:t>
      </w:r>
    </w:p>
    <w:p w14:paraId="0F8A7968" w14:textId="77777777" w:rsidR="00DE40B9" w:rsidRPr="004817B2" w:rsidRDefault="00DE40B9" w:rsidP="00DE40B9">
      <w:pPr>
        <w:pStyle w:val="BodyNum"/>
        <w:numPr>
          <w:ilvl w:val="0"/>
          <w:numId w:val="14"/>
        </w:numPr>
      </w:pPr>
      <w:r w:rsidRPr="004817B2">
        <w:t>You should ask your instructor to consider</w:t>
      </w:r>
      <w:r w:rsidR="009A630A" w:rsidRPr="004817B2">
        <w:t xml:space="preserve"> that publication</w:t>
      </w:r>
      <w:r w:rsidRPr="004817B2">
        <w:t xml:space="preserve"> </w:t>
      </w:r>
      <w:r w:rsidR="001E3309" w:rsidRPr="004817B2">
        <w:t xml:space="preserve">and </w:t>
      </w:r>
      <w:r w:rsidRPr="004817B2">
        <w:t>then contact the Attorney</w:t>
      </w:r>
      <w:r w:rsidR="00B17D2F">
        <w:noBreakHyphen/>
      </w:r>
      <w:r w:rsidRPr="004817B2">
        <w:t>General’s Department at an early stag</w:t>
      </w:r>
      <w:r w:rsidR="00EF2795" w:rsidRPr="004817B2">
        <w:t>e to discuss any instructions</w:t>
      </w:r>
      <w:r w:rsidRPr="004817B2">
        <w:t>:</w:t>
      </w:r>
    </w:p>
    <w:p w14:paraId="4E603CC2" w14:textId="77777777" w:rsidR="00DE40B9" w:rsidRPr="004817B2" w:rsidRDefault="00EF2795" w:rsidP="00DE40B9">
      <w:pPr>
        <w:pStyle w:val="BodyPara"/>
      </w:pPr>
      <w:r w:rsidRPr="004817B2">
        <w:t xml:space="preserve">for </w:t>
      </w:r>
      <w:r w:rsidR="00DE40B9" w:rsidRPr="004817B2">
        <w:t>merits review</w:t>
      </w:r>
      <w:r w:rsidRPr="004817B2">
        <w:t xml:space="preserve"> to not be provided for or to be excluded</w:t>
      </w:r>
      <w:r w:rsidR="00DE40B9" w:rsidRPr="004817B2">
        <w:t xml:space="preserve"> (after considering </w:t>
      </w:r>
      <w:r w:rsidR="009A630A" w:rsidRPr="004817B2">
        <w:t>that publication</w:t>
      </w:r>
      <w:r w:rsidR="00DE40B9" w:rsidRPr="004817B2">
        <w:t>); or</w:t>
      </w:r>
    </w:p>
    <w:p w14:paraId="5D07BE3C" w14:textId="77777777" w:rsidR="00DE40B9" w:rsidRPr="004817B2" w:rsidRDefault="00EF2795" w:rsidP="00DE40B9">
      <w:pPr>
        <w:pStyle w:val="BodyPara"/>
      </w:pPr>
      <w:r w:rsidRPr="004817B2">
        <w:t xml:space="preserve">to </w:t>
      </w:r>
      <w:r w:rsidR="00DE40B9" w:rsidRPr="004817B2">
        <w:t xml:space="preserve">vary any </w:t>
      </w:r>
      <w:r w:rsidR="00421733" w:rsidRPr="004817B2">
        <w:t xml:space="preserve">Administrative </w:t>
      </w:r>
      <w:r w:rsidR="006D4AA8">
        <w:t xml:space="preserve">Review </w:t>
      </w:r>
      <w:r w:rsidR="00421733" w:rsidRPr="004817B2">
        <w:t>Tribunal</w:t>
      </w:r>
      <w:r w:rsidR="00DE40B9" w:rsidRPr="004817B2">
        <w:t xml:space="preserve"> review right or procedure; or</w:t>
      </w:r>
    </w:p>
    <w:p w14:paraId="0D19E2E2" w14:textId="77777777" w:rsidR="00D076DA" w:rsidRPr="00D076DA" w:rsidRDefault="00EF2795" w:rsidP="00D076DA">
      <w:pPr>
        <w:pStyle w:val="BodyPara"/>
      </w:pPr>
      <w:r w:rsidRPr="004817B2">
        <w:t xml:space="preserve">to </w:t>
      </w:r>
      <w:r w:rsidR="00DE40B9" w:rsidRPr="004817B2">
        <w:t>create a new merits review body.</w:t>
      </w:r>
    </w:p>
    <w:p w14:paraId="3521BED6" w14:textId="77777777" w:rsidR="00F1638E" w:rsidRPr="004817B2" w:rsidRDefault="00AC2B8B" w:rsidP="004817B2">
      <w:pPr>
        <w:pStyle w:val="Head3"/>
      </w:pPr>
      <w:bookmarkStart w:id="2" w:name="_Toc172553479"/>
      <w:r w:rsidRPr="004817B2">
        <w:t>Providing for r</w:t>
      </w:r>
      <w:r w:rsidR="00F1638E" w:rsidRPr="004817B2">
        <w:t xml:space="preserve">eview of decisions by the Administrative </w:t>
      </w:r>
      <w:r w:rsidR="006D4AA8">
        <w:t xml:space="preserve">Review </w:t>
      </w:r>
      <w:r w:rsidR="00F1638E" w:rsidRPr="004817B2">
        <w:t>Tribunal</w:t>
      </w:r>
      <w:bookmarkEnd w:id="2"/>
    </w:p>
    <w:p w14:paraId="6AA2DD33" w14:textId="77777777" w:rsidR="0010512F" w:rsidRDefault="00B17D2F" w:rsidP="00F7465C">
      <w:pPr>
        <w:pStyle w:val="BodyNum"/>
      </w:pPr>
      <w:r>
        <w:t>Section 1</w:t>
      </w:r>
      <w:r w:rsidR="0010512F">
        <w:t xml:space="preserve">7 of the </w:t>
      </w:r>
      <w:r w:rsidR="0010512F">
        <w:rPr>
          <w:i/>
        </w:rPr>
        <w:t>Administrative Review Tribunal Act 2024</w:t>
      </w:r>
      <w:r w:rsidR="0010512F">
        <w:t xml:space="preserve"> </w:t>
      </w:r>
      <w:r w:rsidR="00A10A61">
        <w:t xml:space="preserve">(the </w:t>
      </w:r>
      <w:r w:rsidR="00A10A61" w:rsidRPr="00A10A61">
        <w:rPr>
          <w:b/>
          <w:i/>
        </w:rPr>
        <w:t>ART Act</w:t>
      </w:r>
      <w:r w:rsidR="00A10A61">
        <w:t xml:space="preserve">) provides for applications </w:t>
      </w:r>
      <w:r w:rsidR="001A37DD">
        <w:t xml:space="preserve">to be made </w:t>
      </w:r>
      <w:r w:rsidR="00A10A61">
        <w:t xml:space="preserve">for review of </w:t>
      </w:r>
      <w:r w:rsidR="0010512F">
        <w:t>reviewable decision</w:t>
      </w:r>
      <w:r w:rsidR="00A10A61">
        <w:t>s</w:t>
      </w:r>
      <w:r w:rsidR="0010512F">
        <w:t xml:space="preserve">. </w:t>
      </w:r>
      <w:r w:rsidR="00A10A61">
        <w:t xml:space="preserve">Under </w:t>
      </w:r>
      <w:r>
        <w:t>section 1</w:t>
      </w:r>
      <w:r w:rsidR="00A10A61">
        <w:t xml:space="preserve">2 of the </w:t>
      </w:r>
      <w:r w:rsidR="0010512F" w:rsidRPr="0010512F">
        <w:t>A</w:t>
      </w:r>
      <w:r w:rsidR="00A10A61">
        <w:t>RT Act, a</w:t>
      </w:r>
      <w:r w:rsidR="0010512F" w:rsidRPr="0010512F">
        <w:t xml:space="preserve"> decision is a reviewable decision if an Act or a legislative instrument provides for an application to be made to the Tribunal for review of the decision.</w:t>
      </w:r>
      <w:r w:rsidR="003940AE">
        <w:t xml:space="preserve"> Please see the </w:t>
      </w:r>
      <w:r w:rsidR="003940AE" w:rsidRPr="003940AE">
        <w:rPr>
          <w:i/>
        </w:rPr>
        <w:t xml:space="preserve">Administrative Review Tribunal </w:t>
      </w:r>
      <w:r>
        <w:rPr>
          <w:i/>
        </w:rPr>
        <w:t>Regulations 2</w:t>
      </w:r>
      <w:r w:rsidR="003940AE" w:rsidRPr="003940AE">
        <w:rPr>
          <w:i/>
        </w:rPr>
        <w:t>024</w:t>
      </w:r>
      <w:r w:rsidR="003940AE">
        <w:t xml:space="preserve"> for review of decisions under Norfolk Island enactments.</w:t>
      </w:r>
    </w:p>
    <w:p w14:paraId="050CD5FB" w14:textId="77777777" w:rsidR="007A5792" w:rsidRPr="004817B2" w:rsidRDefault="007A5792" w:rsidP="00F7465C">
      <w:pPr>
        <w:pStyle w:val="BodyNum"/>
      </w:pPr>
      <w:r w:rsidRPr="004817B2">
        <w:t xml:space="preserve">If you need to provide for review of decisions by the Administrative </w:t>
      </w:r>
      <w:r w:rsidR="00E429ED">
        <w:t xml:space="preserve">Review </w:t>
      </w:r>
      <w:r w:rsidRPr="004817B2">
        <w:t xml:space="preserve">Tribunal, you should ensure your provision </w:t>
      </w:r>
      <w:r w:rsidR="001A37DD">
        <w:t xml:space="preserve">aligns </w:t>
      </w:r>
      <w:r w:rsidRPr="004817B2">
        <w:t xml:space="preserve">with </w:t>
      </w:r>
      <w:r w:rsidR="00B17D2F">
        <w:t>section 1</w:t>
      </w:r>
      <w:r w:rsidR="00E429ED">
        <w:t>2 of the ART Act</w:t>
      </w:r>
      <w:r w:rsidRPr="004817B2">
        <w:t xml:space="preserve">. The following are examples of provisions that </w:t>
      </w:r>
      <w:r w:rsidR="009E4FC9">
        <w:t>align with that section</w:t>
      </w:r>
      <w:r w:rsidRPr="004817B2">
        <w:t>:</w:t>
      </w:r>
    </w:p>
    <w:p w14:paraId="5879B99A" w14:textId="77777777" w:rsidR="007A5792" w:rsidRDefault="007A5792" w:rsidP="007A5792">
      <w:pPr>
        <w:pStyle w:val="SubsectionHead"/>
      </w:pPr>
      <w:r w:rsidRPr="004817B2">
        <w:t>Example 1</w:t>
      </w:r>
    </w:p>
    <w:p w14:paraId="50D2245B" w14:textId="77777777" w:rsidR="00FE27AB" w:rsidRPr="00FE27AB" w:rsidRDefault="00FE27AB" w:rsidP="00FE27AB">
      <w:pPr>
        <w:pStyle w:val="subsection"/>
      </w:pPr>
      <w:r>
        <w:tab/>
        <w:t>(1)</w:t>
      </w:r>
      <w:r>
        <w:tab/>
        <w:t xml:space="preserve">Applications may be made to the Administrative Review Tribunal for review of decisions of the </w:t>
      </w:r>
      <w:r>
        <w:rPr>
          <w:i/>
        </w:rPr>
        <w:t>[specify decision</w:t>
      </w:r>
      <w:r w:rsidR="00B17D2F">
        <w:rPr>
          <w:i/>
        </w:rPr>
        <w:noBreakHyphen/>
      </w:r>
      <w:r>
        <w:rPr>
          <w:i/>
        </w:rPr>
        <w:t>maker]</w:t>
      </w:r>
      <w:r>
        <w:t xml:space="preserve"> under </w:t>
      </w:r>
      <w:r>
        <w:rPr>
          <w:i/>
        </w:rPr>
        <w:t>[specify relevant provision]</w:t>
      </w:r>
      <w:r>
        <w:t>.</w:t>
      </w:r>
    </w:p>
    <w:p w14:paraId="28C9A7FA" w14:textId="77777777" w:rsidR="007A5792" w:rsidRPr="004817B2" w:rsidRDefault="007A5792" w:rsidP="007A5792">
      <w:pPr>
        <w:pStyle w:val="SubsectionHead"/>
      </w:pPr>
      <w:r w:rsidRPr="004817B2">
        <w:t>Example 2</w:t>
      </w:r>
    </w:p>
    <w:p w14:paraId="5B3DF165" w14:textId="77777777" w:rsidR="007A5792" w:rsidRPr="004817B2" w:rsidRDefault="007A5792" w:rsidP="007A5792">
      <w:pPr>
        <w:pStyle w:val="subsection"/>
      </w:pPr>
      <w:r w:rsidRPr="004817B2">
        <w:tab/>
        <w:t>(1)</w:t>
      </w:r>
      <w:r w:rsidRPr="004817B2">
        <w:tab/>
      </w:r>
      <w:r w:rsidR="000D1687" w:rsidRPr="004817B2">
        <w:t xml:space="preserve">Applications may be made to the Administrative </w:t>
      </w:r>
      <w:r w:rsidR="00360E23">
        <w:t xml:space="preserve">Review </w:t>
      </w:r>
      <w:r w:rsidR="000D1687" w:rsidRPr="004817B2">
        <w:t xml:space="preserve">Tribunal for review of decisions of the </w:t>
      </w:r>
      <w:r w:rsidR="000D1687" w:rsidRPr="004817B2">
        <w:rPr>
          <w:i/>
        </w:rPr>
        <w:t>[specify decision</w:t>
      </w:r>
      <w:r w:rsidR="00B17D2F">
        <w:rPr>
          <w:i/>
        </w:rPr>
        <w:noBreakHyphen/>
      </w:r>
      <w:r w:rsidR="000D1687" w:rsidRPr="004817B2">
        <w:rPr>
          <w:i/>
        </w:rPr>
        <w:t>maker]</w:t>
      </w:r>
      <w:r w:rsidR="000D1687" w:rsidRPr="004817B2">
        <w:t xml:space="preserve"> under </w:t>
      </w:r>
      <w:r w:rsidR="000D1687" w:rsidRPr="004817B2">
        <w:rPr>
          <w:i/>
        </w:rPr>
        <w:t>[specify relevant provision]</w:t>
      </w:r>
      <w:r w:rsidR="000D1687" w:rsidRPr="004817B2">
        <w:t xml:space="preserve"> to </w:t>
      </w:r>
      <w:r w:rsidR="000D1687" w:rsidRPr="004817B2">
        <w:rPr>
          <w:i/>
        </w:rPr>
        <w:t>[specify kind of decision]</w:t>
      </w:r>
      <w:r w:rsidR="000D1687" w:rsidRPr="004817B2">
        <w:t>.</w:t>
      </w:r>
    </w:p>
    <w:p w14:paraId="726285C8" w14:textId="77777777" w:rsidR="007A5792" w:rsidRPr="004817B2" w:rsidRDefault="007A5792" w:rsidP="007A5792">
      <w:pPr>
        <w:pStyle w:val="SubsectionHead"/>
      </w:pPr>
      <w:r w:rsidRPr="004817B2">
        <w:t>Example 3</w:t>
      </w:r>
    </w:p>
    <w:p w14:paraId="48B33E8B" w14:textId="77777777" w:rsidR="007A5792" w:rsidRPr="004817B2" w:rsidRDefault="007A5792" w:rsidP="007A5792">
      <w:pPr>
        <w:pStyle w:val="subsection"/>
      </w:pPr>
      <w:r w:rsidRPr="004817B2">
        <w:tab/>
        <w:t>(1)</w:t>
      </w:r>
      <w:r w:rsidRPr="004817B2">
        <w:tab/>
      </w:r>
      <w:r w:rsidR="00E7748D">
        <w:t>An a</w:t>
      </w:r>
      <w:r w:rsidR="000D1687" w:rsidRPr="004817B2">
        <w:t xml:space="preserve">pplication may be made to the Administrative </w:t>
      </w:r>
      <w:r w:rsidR="00130F92">
        <w:t xml:space="preserve">Review </w:t>
      </w:r>
      <w:r w:rsidR="000D1687" w:rsidRPr="004817B2">
        <w:t xml:space="preserve">Tribunal for review of </w:t>
      </w:r>
      <w:r w:rsidR="00E7748D">
        <w:t xml:space="preserve">any of </w:t>
      </w:r>
      <w:r w:rsidR="000D1687" w:rsidRPr="004817B2">
        <w:t>the following decisions</w:t>
      </w:r>
      <w:r w:rsidRPr="004817B2">
        <w:t>:</w:t>
      </w:r>
    </w:p>
    <w:p w14:paraId="1F734220" w14:textId="77777777" w:rsidR="007A5792" w:rsidRPr="004817B2" w:rsidRDefault="007A5792" w:rsidP="007A5792">
      <w:pPr>
        <w:pStyle w:val="paragraph"/>
      </w:pPr>
      <w:r w:rsidRPr="004817B2">
        <w:tab/>
        <w:t>(a)</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14:paraId="23BC811F" w14:textId="77777777" w:rsidR="007A5792" w:rsidRPr="004817B2" w:rsidRDefault="007A5792" w:rsidP="007A5792">
      <w:pPr>
        <w:pStyle w:val="paragraph"/>
      </w:pPr>
      <w:r w:rsidRPr="004817B2">
        <w:tab/>
        <w:t>(b)</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14:paraId="11B23E48" w14:textId="77777777" w:rsidR="007A5792" w:rsidRDefault="007A5792" w:rsidP="007A5792">
      <w:pPr>
        <w:pStyle w:val="paragraph"/>
      </w:pPr>
      <w:r w:rsidRPr="004817B2">
        <w:tab/>
        <w:t>(c)</w:t>
      </w:r>
      <w:r w:rsidRPr="004817B2">
        <w:tab/>
        <w:t>a decision</w:t>
      </w:r>
      <w:r w:rsidRPr="004817B2">
        <w:rPr>
          <w:i/>
        </w:rPr>
        <w:t xml:space="preserve"> </w:t>
      </w:r>
      <w:r w:rsidRPr="004817B2">
        <w:t xml:space="preserve">under </w:t>
      </w:r>
      <w:r w:rsidRPr="004817B2">
        <w:rPr>
          <w:i/>
        </w:rPr>
        <w:t xml:space="preserve">[specify relevant provision] </w:t>
      </w:r>
      <w:r w:rsidRPr="004817B2">
        <w:t xml:space="preserve">to </w:t>
      </w:r>
      <w:r w:rsidRPr="004817B2">
        <w:rPr>
          <w:i/>
        </w:rPr>
        <w:t>[specify kind of decision]</w:t>
      </w:r>
      <w:r w:rsidRPr="004817B2">
        <w:t>.</w:t>
      </w:r>
    </w:p>
    <w:p w14:paraId="7E0C1696" w14:textId="77777777" w:rsidR="00761ECA" w:rsidRDefault="00B17D2F" w:rsidP="001A37DD">
      <w:pPr>
        <w:pStyle w:val="BodyNum"/>
      </w:pPr>
      <w:r>
        <w:t>Section 1</w:t>
      </w:r>
      <w:r w:rsidR="00761ECA">
        <w:t xml:space="preserve">3 of the ART Act </w:t>
      </w:r>
      <w:r w:rsidR="00503A3A">
        <w:t xml:space="preserve">provides a specific power for </w:t>
      </w:r>
      <w:r w:rsidR="00761ECA">
        <w:t>legislative instruments to provide for applications to the Tribunal for review of decisions made under the instrument.</w:t>
      </w:r>
    </w:p>
    <w:p w14:paraId="30CB6ECE" w14:textId="77777777" w:rsidR="003D2CBA" w:rsidRPr="003D2CBA" w:rsidRDefault="003D2CBA" w:rsidP="003D2CBA">
      <w:pPr>
        <w:pStyle w:val="Head3"/>
      </w:pPr>
      <w:r>
        <w:t>Altering default Administrative Review Tribunal arrangements</w:t>
      </w:r>
    </w:p>
    <w:p w14:paraId="0766A77C" w14:textId="77777777" w:rsidR="001A37DD" w:rsidRDefault="00323554" w:rsidP="001A37DD">
      <w:pPr>
        <w:pStyle w:val="BodyNum"/>
      </w:pPr>
      <w:r>
        <w:t xml:space="preserve">The ART Act contains standard provisions for review of decisions. </w:t>
      </w:r>
      <w:r w:rsidR="001D4154">
        <w:t>O</w:t>
      </w:r>
      <w:r w:rsidR="001A37DD">
        <w:t xml:space="preserve">ther Acts and instruments </w:t>
      </w:r>
      <w:r>
        <w:t xml:space="preserve">can </w:t>
      </w:r>
      <w:r w:rsidR="00640672">
        <w:t>provide differently</w:t>
      </w:r>
      <w:r w:rsidR="001A37DD">
        <w:t>.</w:t>
      </w:r>
    </w:p>
    <w:p w14:paraId="083400F0" w14:textId="77777777" w:rsidR="00130F92" w:rsidRDefault="00B17D2F" w:rsidP="00130F92">
      <w:pPr>
        <w:pStyle w:val="BodyNum"/>
      </w:pPr>
      <w:r>
        <w:t>Section 5</w:t>
      </w:r>
      <w:r w:rsidR="00130F92">
        <w:t xml:space="preserve"> of the ART Act provides that the </w:t>
      </w:r>
      <w:r w:rsidR="00640672">
        <w:t xml:space="preserve">application of </w:t>
      </w:r>
      <w:r w:rsidR="00130F92">
        <w:t>provision</w:t>
      </w:r>
      <w:r w:rsidR="00AB2A75">
        <w:t>s</w:t>
      </w:r>
      <w:r w:rsidR="00130F92">
        <w:t xml:space="preserve"> of the ART Act dealing with review are subject to a contrary intention in another Act. </w:t>
      </w:r>
      <w:r w:rsidR="00AE0C4D">
        <w:t>That is, another Act can provide for additional or different arrangements for review of decisions.</w:t>
      </w:r>
    </w:p>
    <w:p w14:paraId="4E14B634" w14:textId="77777777" w:rsidR="00130F92" w:rsidRDefault="00AE0C4D" w:rsidP="00AE0C4D">
      <w:pPr>
        <w:pStyle w:val="BodyNum"/>
      </w:pPr>
      <w:r>
        <w:t>That section also provides that, i</w:t>
      </w:r>
      <w:r w:rsidR="00130F92">
        <w:t>f an Act provides that an instrument made under that Act can contain provisions that appl</w:t>
      </w:r>
      <w:r>
        <w:t>y i</w:t>
      </w:r>
      <w:r w:rsidR="00130F92">
        <w:t>n addition to</w:t>
      </w:r>
      <w:r>
        <w:t xml:space="preserve">, </w:t>
      </w:r>
      <w:r w:rsidR="00130F92">
        <w:t>instead of</w:t>
      </w:r>
      <w:r>
        <w:t xml:space="preserve"> or </w:t>
      </w:r>
      <w:r w:rsidR="00130F92">
        <w:t>contrary to</w:t>
      </w:r>
      <w:r>
        <w:t xml:space="preserve"> the ART Act, </w:t>
      </w:r>
      <w:r w:rsidR="00130F92">
        <w:t xml:space="preserve">the application of a provision of </w:t>
      </w:r>
      <w:r w:rsidR="00C07B70">
        <w:t xml:space="preserve">the ART </w:t>
      </w:r>
      <w:r w:rsidR="00130F92">
        <w:t>Act is subject to a contrary intention in the instrument.</w:t>
      </w:r>
      <w:r w:rsidR="00C07B70">
        <w:t xml:space="preserve"> That is, if the enabling legislation authorises it, an instrument can provide for additional or different arrangements for review of decisions.</w:t>
      </w:r>
    </w:p>
    <w:p w14:paraId="0B9EB984" w14:textId="77777777" w:rsidR="00130F92" w:rsidRDefault="00C07B70" w:rsidP="00F7465C">
      <w:pPr>
        <w:pStyle w:val="BodyNum"/>
      </w:pPr>
      <w:r>
        <w:t xml:space="preserve">The </w:t>
      </w:r>
      <w:r w:rsidRPr="00C07B70">
        <w:rPr>
          <w:i/>
        </w:rPr>
        <w:t>Administrative Review Tribunal (Consequential and Transitional Provisions No. 1) Act 2024</w:t>
      </w:r>
      <w:r>
        <w:t xml:space="preserve"> and the </w:t>
      </w:r>
      <w:r w:rsidRPr="00C07B70">
        <w:rPr>
          <w:i/>
        </w:rPr>
        <w:t>Administrative Review Tribunal (Consequential and Transitional Provisions No. 2) Act 2024</w:t>
      </w:r>
      <w:r w:rsidR="007F439F">
        <w:t xml:space="preserve"> </w:t>
      </w:r>
      <w:r w:rsidR="00B33432">
        <w:t xml:space="preserve">set out </w:t>
      </w:r>
      <w:r w:rsidR="007F439F">
        <w:t xml:space="preserve">consequential amendments to </w:t>
      </w:r>
      <w:r w:rsidR="00640672">
        <w:t xml:space="preserve">a large number of </w:t>
      </w:r>
      <w:r w:rsidR="007F439F">
        <w:t xml:space="preserve">Acts that </w:t>
      </w:r>
      <w:r w:rsidR="00BF71CE">
        <w:t xml:space="preserve">altered </w:t>
      </w:r>
      <w:r w:rsidR="007F439F">
        <w:t xml:space="preserve">the application of the </w:t>
      </w:r>
      <w:r w:rsidR="007F439F">
        <w:rPr>
          <w:i/>
        </w:rPr>
        <w:t>Administrative Appeals Tribunal Act 1975</w:t>
      </w:r>
      <w:r w:rsidR="007A2149">
        <w:t xml:space="preserve"> (the </w:t>
      </w:r>
      <w:r w:rsidR="007A2149" w:rsidRPr="007A2149">
        <w:rPr>
          <w:b/>
          <w:i/>
        </w:rPr>
        <w:t>AAT Act</w:t>
      </w:r>
      <w:r w:rsidR="007A2149">
        <w:t>)</w:t>
      </w:r>
      <w:r w:rsidR="007F439F">
        <w:t xml:space="preserve">. </w:t>
      </w:r>
      <w:r w:rsidR="007A2149">
        <w:t xml:space="preserve">These </w:t>
      </w:r>
      <w:r w:rsidR="00B33432">
        <w:t xml:space="preserve">consequential amendments </w:t>
      </w:r>
      <w:r w:rsidR="007A2149">
        <w:t xml:space="preserve">generally </w:t>
      </w:r>
      <w:r w:rsidR="00B33432">
        <w:t xml:space="preserve">adopted the same approach to </w:t>
      </w:r>
      <w:r w:rsidR="00BF71CE">
        <w:t xml:space="preserve">altering </w:t>
      </w:r>
      <w:r w:rsidR="00B33432">
        <w:t xml:space="preserve">the ART Act as had been taken to </w:t>
      </w:r>
      <w:r w:rsidR="00BF71CE">
        <w:t xml:space="preserve">altering </w:t>
      </w:r>
      <w:r w:rsidR="00B33432">
        <w:t xml:space="preserve">the </w:t>
      </w:r>
      <w:r w:rsidR="009B5E9C">
        <w:t>AAT Act</w:t>
      </w:r>
      <w:r w:rsidR="00B33432">
        <w:t xml:space="preserve">. </w:t>
      </w:r>
      <w:r w:rsidR="00AA23D2">
        <w:t xml:space="preserve">Accordingly, the consequential amendments provide examples of how various </w:t>
      </w:r>
      <w:r w:rsidR="00BF71CE">
        <w:t xml:space="preserve">alterations </w:t>
      </w:r>
      <w:r w:rsidR="00AA23D2">
        <w:t xml:space="preserve">can be done, but other ways </w:t>
      </w:r>
      <w:r w:rsidR="00640672">
        <w:t xml:space="preserve">are </w:t>
      </w:r>
      <w:r w:rsidR="00AA23D2">
        <w:t>available</w:t>
      </w:r>
      <w:r w:rsidR="00AB2A75">
        <w:t xml:space="preserve"> in light of </w:t>
      </w:r>
      <w:r w:rsidR="00B17D2F">
        <w:t>section 5</w:t>
      </w:r>
      <w:r w:rsidR="00AA23D2">
        <w:t xml:space="preserve"> of the ART Act.</w:t>
      </w:r>
    </w:p>
    <w:p w14:paraId="633FC183" w14:textId="77777777" w:rsidR="007A5792" w:rsidRPr="004817B2" w:rsidRDefault="00B17D2F" w:rsidP="00F7465C">
      <w:pPr>
        <w:pStyle w:val="BodyNum"/>
      </w:pPr>
      <w:r>
        <w:t>Subsection 1</w:t>
      </w:r>
      <w:r w:rsidR="003C3929">
        <w:t xml:space="preserve">7(1) of the ART Act </w:t>
      </w:r>
      <w:r w:rsidR="007A5792" w:rsidRPr="004817B2">
        <w:t xml:space="preserve">deals with the standing of applicants for review. It provides that </w:t>
      </w:r>
      <w:r w:rsidR="003C3929">
        <w:t xml:space="preserve">a person whose interests are affected by a reviewable decision may apply to the Tribunal for review of the decision. This standard position can be </w:t>
      </w:r>
      <w:r w:rsidR="00BF71CE">
        <w:t>altered</w:t>
      </w:r>
      <w:r w:rsidR="003C3929">
        <w:t xml:space="preserve">. </w:t>
      </w:r>
      <w:r w:rsidR="007A5792" w:rsidRPr="004817B2">
        <w:t>The following are examples of provisions restricting the standing of applicants for review:</w:t>
      </w:r>
    </w:p>
    <w:p w14:paraId="1FEFA026" w14:textId="77777777" w:rsidR="007A5792" w:rsidRPr="004817B2" w:rsidRDefault="007A5792" w:rsidP="007A5792">
      <w:pPr>
        <w:pStyle w:val="SubsectionHead"/>
      </w:pPr>
      <w:r w:rsidRPr="004817B2">
        <w:t>Example 1</w:t>
      </w:r>
    </w:p>
    <w:p w14:paraId="46DF9850" w14:textId="77777777" w:rsidR="00FE27AB" w:rsidRDefault="007A5792" w:rsidP="00FE27AB">
      <w:pPr>
        <w:pStyle w:val="subsection"/>
      </w:pPr>
      <w:r w:rsidRPr="004817B2">
        <w:tab/>
      </w:r>
      <w:r w:rsidR="00FE27AB" w:rsidRPr="004817B2">
        <w:t>(1)</w:t>
      </w:r>
      <w:r w:rsidR="00FE27AB" w:rsidRPr="004817B2">
        <w:tab/>
        <w:t xml:space="preserve">Applications may be made to the Administrative </w:t>
      </w:r>
      <w:r w:rsidR="00FE27AB">
        <w:t xml:space="preserve">Review </w:t>
      </w:r>
      <w:r w:rsidR="00FE27AB" w:rsidRPr="004817B2">
        <w:t xml:space="preserve">Tribunal for review of </w:t>
      </w:r>
      <w:r w:rsidR="00FE27AB" w:rsidRPr="008A21E9">
        <w:rPr>
          <w:i/>
        </w:rPr>
        <w:t>[insert reviewable decisions]</w:t>
      </w:r>
      <w:r w:rsidR="00FE27AB" w:rsidRPr="004817B2">
        <w:t>.</w:t>
      </w:r>
    </w:p>
    <w:p w14:paraId="0AE30BFC" w14:textId="77777777" w:rsidR="00FE27AB" w:rsidRDefault="00FE27AB" w:rsidP="00FE27AB">
      <w:pPr>
        <w:pStyle w:val="subsection"/>
      </w:pPr>
      <w:r>
        <w:tab/>
        <w:t>(2)</w:t>
      </w:r>
      <w:r>
        <w:tab/>
        <w:t xml:space="preserve">An application may be made only by </w:t>
      </w:r>
      <w:r w:rsidRPr="008A21E9">
        <w:rPr>
          <w:i/>
        </w:rPr>
        <w:t>[insert relevant persons]</w:t>
      </w:r>
      <w:r>
        <w:t>.</w:t>
      </w:r>
    </w:p>
    <w:p w14:paraId="434F6AA2" w14:textId="77777777" w:rsidR="00AD3DC9" w:rsidRPr="00AD3DC9" w:rsidRDefault="00FE27AB" w:rsidP="00902CEF">
      <w:pPr>
        <w:pStyle w:val="subsection"/>
      </w:pPr>
      <w:r>
        <w:tab/>
        <w:t>(3)</w:t>
      </w:r>
      <w:r>
        <w:tab/>
      </w:r>
      <w:r w:rsidR="00B17D2F">
        <w:t>Subsection (</w:t>
      </w:r>
      <w:r>
        <w:t xml:space="preserve">2) has effect despite </w:t>
      </w:r>
      <w:r w:rsidR="00B17D2F">
        <w:t>section 1</w:t>
      </w:r>
      <w:r>
        <w:t xml:space="preserve">7 of the </w:t>
      </w:r>
      <w:r w:rsidRPr="008A21E9">
        <w:rPr>
          <w:i/>
        </w:rPr>
        <w:t>Administrative Review Tribunal Act 2024</w:t>
      </w:r>
      <w:r>
        <w:t>.</w:t>
      </w:r>
    </w:p>
    <w:p w14:paraId="58BAA982" w14:textId="77777777" w:rsidR="007A5792" w:rsidRPr="004817B2" w:rsidRDefault="007A5792" w:rsidP="007A5792">
      <w:pPr>
        <w:pStyle w:val="SubsectionHead"/>
      </w:pPr>
      <w:r w:rsidRPr="004817B2">
        <w:t>Example 2</w:t>
      </w:r>
    </w:p>
    <w:p w14:paraId="0C05C635" w14:textId="77777777" w:rsidR="007A5792" w:rsidRPr="004817B2" w:rsidRDefault="007A5792" w:rsidP="007A5792">
      <w:pPr>
        <w:pStyle w:val="subsection"/>
      </w:pPr>
      <w:r w:rsidRPr="004817B2">
        <w:tab/>
        <w:t>(1)</w:t>
      </w:r>
      <w:r w:rsidRPr="004817B2">
        <w:tab/>
      </w:r>
      <w:r w:rsidR="000D1687" w:rsidRPr="004817B2">
        <w:t xml:space="preserve">Applications may be made to the Administrative </w:t>
      </w:r>
      <w:r w:rsidR="00AD3DC9">
        <w:t xml:space="preserve">Review </w:t>
      </w:r>
      <w:r w:rsidR="000D1687" w:rsidRPr="004817B2">
        <w:t xml:space="preserve">Tribunal for review of the following decisions of the </w:t>
      </w:r>
      <w:r w:rsidR="000D1687" w:rsidRPr="004817B2">
        <w:rPr>
          <w:i/>
        </w:rPr>
        <w:t>[specify decision</w:t>
      </w:r>
      <w:r w:rsidR="00B17D2F">
        <w:rPr>
          <w:i/>
        </w:rPr>
        <w:noBreakHyphen/>
      </w:r>
      <w:r w:rsidR="000D1687" w:rsidRPr="004817B2">
        <w:rPr>
          <w:i/>
        </w:rPr>
        <w:t>maker]</w:t>
      </w:r>
      <w:r w:rsidRPr="004817B2">
        <w:t>:</w:t>
      </w:r>
    </w:p>
    <w:p w14:paraId="54919AE5" w14:textId="77777777" w:rsidR="007A5792" w:rsidRPr="004817B2" w:rsidRDefault="007A5792" w:rsidP="007A5792">
      <w:pPr>
        <w:pStyle w:val="paragraph"/>
      </w:pPr>
      <w:r w:rsidRPr="004817B2">
        <w:tab/>
        <w:t>(a)</w:t>
      </w:r>
      <w:r w:rsidRPr="004817B2">
        <w:tab/>
        <w:t xml:space="preserve">a decision under </w:t>
      </w:r>
      <w:r w:rsidRPr="004817B2">
        <w:rPr>
          <w:i/>
        </w:rPr>
        <w:t xml:space="preserve">[specify relevant provision] </w:t>
      </w:r>
      <w:r w:rsidRPr="004817B2">
        <w:t>to refuse to grant a permit to a body corporate;</w:t>
      </w:r>
    </w:p>
    <w:p w14:paraId="70F03382" w14:textId="77777777" w:rsidR="007A5792" w:rsidRPr="004817B2" w:rsidRDefault="007A5792" w:rsidP="007A5792">
      <w:pPr>
        <w:pStyle w:val="paragraph"/>
      </w:pPr>
      <w:r w:rsidRPr="004817B2">
        <w:tab/>
        <w:t>(b)</w:t>
      </w:r>
      <w:r w:rsidRPr="004817B2">
        <w:tab/>
        <w:t xml:space="preserve">a decision under </w:t>
      </w:r>
      <w:r w:rsidRPr="004817B2">
        <w:rPr>
          <w:i/>
        </w:rPr>
        <w:t xml:space="preserve">[specify relevant provision] </w:t>
      </w:r>
      <w:r w:rsidRPr="004817B2">
        <w:t>to vary a condition of a body corporate’s permit;</w:t>
      </w:r>
    </w:p>
    <w:p w14:paraId="49F4E6C8" w14:textId="77777777" w:rsidR="007A5792" w:rsidRPr="004817B2" w:rsidRDefault="007A5792" w:rsidP="007A5792">
      <w:pPr>
        <w:pStyle w:val="paragraph"/>
      </w:pPr>
      <w:r w:rsidRPr="004817B2">
        <w:tab/>
        <w:t>(c)</w:t>
      </w:r>
      <w:r w:rsidRPr="004817B2">
        <w:tab/>
        <w:t xml:space="preserve">a decision under </w:t>
      </w:r>
      <w:r w:rsidRPr="004817B2">
        <w:rPr>
          <w:i/>
        </w:rPr>
        <w:t xml:space="preserve">[specify relevant provision] </w:t>
      </w:r>
      <w:r w:rsidRPr="004817B2">
        <w:t>to cancel a body corporate’s permit.</w:t>
      </w:r>
    </w:p>
    <w:p w14:paraId="53465781" w14:textId="77777777" w:rsidR="007A5792" w:rsidRDefault="007A5792" w:rsidP="007A5792">
      <w:pPr>
        <w:pStyle w:val="subsection"/>
      </w:pPr>
      <w:r w:rsidRPr="004817B2">
        <w:tab/>
        <w:t>(2)</w:t>
      </w:r>
      <w:r w:rsidRPr="004817B2">
        <w:tab/>
        <w:t>An application under subsection (1) may only be made by the body corporate concerned.</w:t>
      </w:r>
    </w:p>
    <w:p w14:paraId="4C97C954" w14:textId="77777777" w:rsidR="0077487D" w:rsidRPr="0077487D" w:rsidRDefault="00EF2F74" w:rsidP="0077487D">
      <w:pPr>
        <w:pStyle w:val="BodyNum"/>
      </w:pPr>
      <w:r>
        <w:t>It is the policy of the Attorney</w:t>
      </w:r>
      <w:r w:rsidR="00B17D2F">
        <w:noBreakHyphen/>
      </w:r>
      <w:r>
        <w:t xml:space="preserve">General’s Department that other Acts and instruments </w:t>
      </w:r>
      <w:r w:rsidR="0077487D">
        <w:t>should not impose requirements for how the Tribunal is constituted</w:t>
      </w:r>
      <w:r w:rsidR="007E30A9">
        <w:t xml:space="preserve"> for the purposes of proceedings</w:t>
      </w:r>
      <w:r w:rsidR="0077487D">
        <w:t>.</w:t>
      </w:r>
    </w:p>
    <w:p w14:paraId="761370B5" w14:textId="77777777" w:rsidR="007A5792" w:rsidRPr="004817B2" w:rsidRDefault="00B17D2F" w:rsidP="004817B2">
      <w:pPr>
        <w:pStyle w:val="Head2"/>
      </w:pPr>
      <w:bookmarkStart w:id="3" w:name="_Toc172553480"/>
      <w:r>
        <w:t>Part 2</w:t>
      </w:r>
      <w:r w:rsidR="007A5792" w:rsidRPr="004817B2">
        <w:t>—Notification of making of decision and of review rights</w:t>
      </w:r>
      <w:bookmarkEnd w:id="3"/>
    </w:p>
    <w:p w14:paraId="62D7BDBF" w14:textId="77777777" w:rsidR="007A5792" w:rsidRPr="004817B2" w:rsidRDefault="007A5792" w:rsidP="00F7465C">
      <w:pPr>
        <w:pStyle w:val="BodyNum"/>
      </w:pPr>
      <w:r w:rsidRPr="004817B2">
        <w:t xml:space="preserve">This Part applies if your </w:t>
      </w:r>
      <w:r w:rsidR="009F06DD" w:rsidRPr="004817B2">
        <w:t>draft</w:t>
      </w:r>
      <w:r w:rsidRPr="004817B2">
        <w:t xml:space="preserve"> provides for an administrative tribunal or body to review a decision.</w:t>
      </w:r>
    </w:p>
    <w:p w14:paraId="09973B1B" w14:textId="77777777" w:rsidR="007A5792" w:rsidRPr="004817B2" w:rsidRDefault="007A5792" w:rsidP="00F7465C">
      <w:pPr>
        <w:pStyle w:val="BodyNum"/>
      </w:pPr>
      <w:r w:rsidRPr="004817B2">
        <w:t xml:space="preserve">If there is a general notification provision covering the giving of notice of the making of the decision and of the existence of that right of review, you do not need to include a further specific provision to that effect. For example, </w:t>
      </w:r>
      <w:r w:rsidR="00B17D2F">
        <w:t>section 2</w:t>
      </w:r>
      <w:r w:rsidR="00B53FBA">
        <w:t>66</w:t>
      </w:r>
      <w:r w:rsidRPr="004817B2">
        <w:t xml:space="preserve"> of the </w:t>
      </w:r>
      <w:r w:rsidRPr="004817B2">
        <w:rPr>
          <w:i/>
        </w:rPr>
        <w:t xml:space="preserve">Administrative </w:t>
      </w:r>
      <w:r w:rsidR="00B53FBA">
        <w:rPr>
          <w:i/>
        </w:rPr>
        <w:t xml:space="preserve">Review </w:t>
      </w:r>
      <w:r w:rsidRPr="004817B2">
        <w:rPr>
          <w:i/>
        </w:rPr>
        <w:t xml:space="preserve">Tribunal Act </w:t>
      </w:r>
      <w:r w:rsidR="00B53FBA">
        <w:rPr>
          <w:i/>
        </w:rPr>
        <w:t xml:space="preserve">2024 </w:t>
      </w:r>
      <w:r w:rsidRPr="004817B2">
        <w:t xml:space="preserve">requires notice of a decision </w:t>
      </w:r>
      <w:r w:rsidR="00B53FBA">
        <w:t xml:space="preserve">and any </w:t>
      </w:r>
      <w:r w:rsidRPr="004817B2">
        <w:t xml:space="preserve">review </w:t>
      </w:r>
      <w:r w:rsidR="00B53FBA">
        <w:t xml:space="preserve">rights </w:t>
      </w:r>
      <w:r w:rsidRPr="004817B2">
        <w:t xml:space="preserve">to be given </w:t>
      </w:r>
      <w:r w:rsidR="00492E8D">
        <w:t>where the decision (or any decision on review or further review of the decision) is a reviewable decision for the purposes of that Act</w:t>
      </w:r>
      <w:r w:rsidRPr="004817B2">
        <w:t>.</w:t>
      </w:r>
    </w:p>
    <w:p w14:paraId="09C331CF" w14:textId="77777777" w:rsidR="007A5792" w:rsidRPr="004817B2" w:rsidRDefault="007A5792" w:rsidP="00F7465C">
      <w:pPr>
        <w:pStyle w:val="BodyNum"/>
      </w:pPr>
      <w:r w:rsidRPr="004817B2">
        <w:t>However, if there is not a general notification provision covering the giving of notice of the making of the decision and of the existence of that right of review, you should include a specific provision to that effect. If your instructors object to the inclusion of such a specific provision, you should refer the matter to the Attorney</w:t>
      </w:r>
      <w:r w:rsidR="00B17D2F">
        <w:noBreakHyphen/>
      </w:r>
      <w:r w:rsidRPr="004817B2">
        <w:t>General’s Department.</w:t>
      </w:r>
    </w:p>
    <w:p w14:paraId="205A921E" w14:textId="77777777" w:rsidR="007A5792" w:rsidRPr="004817B2" w:rsidRDefault="00B17D2F" w:rsidP="004817B2">
      <w:pPr>
        <w:pStyle w:val="Head2"/>
      </w:pPr>
      <w:bookmarkStart w:id="4" w:name="_Toc172553481"/>
      <w:r>
        <w:t>Part 3</w:t>
      </w:r>
      <w:r w:rsidR="007A5792" w:rsidRPr="004817B2">
        <w:t>—Protection and liabilities of witnesses</w:t>
      </w:r>
      <w:bookmarkEnd w:id="4"/>
    </w:p>
    <w:p w14:paraId="4DA43A0D" w14:textId="77777777" w:rsidR="007A5792" w:rsidRPr="004817B2" w:rsidRDefault="007A5792" w:rsidP="00F7465C">
      <w:pPr>
        <w:pStyle w:val="BodyNum"/>
      </w:pPr>
      <w:r w:rsidRPr="004817B2">
        <w:t>In the course of drafting legislation you may be instructed to include a provision giving a person who appears before a tribunal or other administrative body or at a hearing or inquiry, or a person who gives evidence or produces documents, the same protection as a witness in proceedings in the High Court.</w:t>
      </w:r>
    </w:p>
    <w:p w14:paraId="3053E48F" w14:textId="77777777" w:rsidR="007A5792" w:rsidRPr="004817B2" w:rsidRDefault="007A5792" w:rsidP="00F7465C">
      <w:pPr>
        <w:pStyle w:val="BodyNum"/>
      </w:pPr>
      <w:r w:rsidRPr="004817B2">
        <w:t>If you are instructed to include such a provision, you should also discuss with your instructors whether to make the person subject to the same liabilities as a witness in proceedings in the High Court.</w:t>
      </w:r>
    </w:p>
    <w:p w14:paraId="1D7401A4" w14:textId="77777777" w:rsidR="007A5792" w:rsidRPr="004817B2" w:rsidRDefault="007A5792" w:rsidP="00F7465C">
      <w:pPr>
        <w:pStyle w:val="BodyNum"/>
      </w:pPr>
      <w:r w:rsidRPr="004817B2">
        <w:t>Some examples of provisions providing for the protection and liabilities of witnesses are:</w:t>
      </w:r>
    </w:p>
    <w:p w14:paraId="066FB331" w14:textId="77777777" w:rsidR="007A5792" w:rsidRPr="004817B2" w:rsidRDefault="007A5792" w:rsidP="007A5792">
      <w:pPr>
        <w:pStyle w:val="subsection"/>
      </w:pPr>
      <w:r w:rsidRPr="004817B2">
        <w:tab/>
        <w:t>(3)</w:t>
      </w:r>
      <w:r w:rsidRPr="004817B2">
        <w:tab/>
        <w:t xml:space="preserve">Subject to this Part, a person summoned to attend, or appearing, before the Tribunal to give evidence has the same protection, and is, in addition to the penalties provided by this </w:t>
      </w:r>
      <w:r w:rsidR="00122153" w:rsidRPr="004817B2">
        <w:t>[</w:t>
      </w:r>
      <w:r w:rsidR="00122153" w:rsidRPr="004817B2">
        <w:rPr>
          <w:i/>
        </w:rPr>
        <w:t>legislation</w:t>
      </w:r>
      <w:r w:rsidR="00122153" w:rsidRPr="004817B2">
        <w:t>]</w:t>
      </w:r>
      <w:r w:rsidRPr="004817B2">
        <w:t>, subject to the same liabilities, as a witness in proceedings in the High Court.</w:t>
      </w:r>
    </w:p>
    <w:p w14:paraId="063A24A3" w14:textId="77777777" w:rsidR="007A5792" w:rsidRPr="004817B2" w:rsidRDefault="007A5792" w:rsidP="007A5792">
      <w:pPr>
        <w:pStyle w:val="subsection"/>
      </w:pPr>
      <w:r w:rsidRPr="004817B2">
        <w:tab/>
        <w:t>(3)</w:t>
      </w:r>
      <w:r w:rsidRPr="004817B2">
        <w:tab/>
        <w:t>A person who is summoned to appear at a hearing, or a person who gives evidence or produces documents at an investigation or a hearing, has the same protection as a witness in proceedings in the High Court.</w:t>
      </w:r>
    </w:p>
    <w:p w14:paraId="7F9C3FC7" w14:textId="77777777" w:rsidR="007A5792" w:rsidRPr="004817B2" w:rsidRDefault="007A5792" w:rsidP="00F7465C">
      <w:pPr>
        <w:pStyle w:val="BodyNum"/>
      </w:pPr>
      <w:r w:rsidRPr="004817B2">
        <w:t>You should refer to “proceedings in the High Court” rather than to “civil or criminal proceedings in the High Court”.</w:t>
      </w:r>
    </w:p>
    <w:p w14:paraId="2847A8D6" w14:textId="77777777" w:rsidR="007A5792" w:rsidRPr="004817B2" w:rsidRDefault="009670F6" w:rsidP="00F7465C">
      <w:pPr>
        <w:pStyle w:val="BodyNum"/>
      </w:pPr>
      <w:r w:rsidRPr="004817B2">
        <w:t xml:space="preserve">The expected implications for the </w:t>
      </w:r>
      <w:r w:rsidR="00E30457">
        <w:t>person</w:t>
      </w:r>
      <w:r w:rsidRPr="004817B2">
        <w:t xml:space="preserve"> of gaining the same protections and liabilities as witnesses in proceedings in the High Court are that</w:t>
      </w:r>
      <w:r w:rsidR="007A5792" w:rsidRPr="004817B2">
        <w:t>:</w:t>
      </w:r>
    </w:p>
    <w:p w14:paraId="6024D0D0" w14:textId="77777777" w:rsidR="009670F6" w:rsidRPr="004817B2" w:rsidRDefault="009670F6" w:rsidP="009670F6">
      <w:pPr>
        <w:pStyle w:val="BodyPara"/>
      </w:pPr>
      <w:r w:rsidRPr="004817B2">
        <w:t xml:space="preserve">there will be no action in respect of evidence given by the </w:t>
      </w:r>
      <w:r w:rsidR="00E30457">
        <w:t>person</w:t>
      </w:r>
      <w:r w:rsidRPr="004817B2">
        <w:t xml:space="preserve"> </w:t>
      </w:r>
      <w:r w:rsidR="00E30457">
        <w:t>during the appearance</w:t>
      </w:r>
      <w:r w:rsidRPr="004817B2">
        <w:t xml:space="preserve"> in respect of words used by him</w:t>
      </w:r>
      <w:r w:rsidR="00E30457">
        <w:t xml:space="preserve"> or her</w:t>
      </w:r>
      <w:r w:rsidRPr="004817B2">
        <w:t xml:space="preserve"> in the course of </w:t>
      </w:r>
      <w:r w:rsidR="00E30457">
        <w:t>the appearance</w:t>
      </w:r>
      <w:r w:rsidR="00B66DF0" w:rsidRPr="004817B2">
        <w:t xml:space="preserve"> (not even defamation or other actions relating to use of actions to injure another); and</w:t>
      </w:r>
    </w:p>
    <w:p w14:paraId="7F6BA8CE" w14:textId="77777777" w:rsidR="00B66DF0" w:rsidRPr="004817B2" w:rsidRDefault="00B66DF0" w:rsidP="009670F6">
      <w:pPr>
        <w:pStyle w:val="BodyPara"/>
      </w:pPr>
      <w:r w:rsidRPr="004817B2">
        <w:t xml:space="preserve">if the </w:t>
      </w:r>
      <w:r w:rsidR="00E30457">
        <w:t>person</w:t>
      </w:r>
      <w:r w:rsidRPr="004817B2">
        <w:t xml:space="preserve"> refuses to answer a question</w:t>
      </w:r>
      <w:r w:rsidR="003D0DC6">
        <w:t>,</w:t>
      </w:r>
      <w:r w:rsidRPr="004817B2">
        <w:t xml:space="preserve"> the </w:t>
      </w:r>
      <w:r w:rsidR="00E30457">
        <w:t>person</w:t>
      </w:r>
      <w:r w:rsidRPr="004817B2">
        <w:t xml:space="preserve"> may be prosecuted for contempt; and</w:t>
      </w:r>
    </w:p>
    <w:p w14:paraId="6037E098" w14:textId="77777777" w:rsidR="00B66DF0" w:rsidRPr="004817B2" w:rsidRDefault="00B66DF0" w:rsidP="009670F6">
      <w:pPr>
        <w:pStyle w:val="BodyPara"/>
      </w:pPr>
      <w:r w:rsidRPr="004817B2">
        <w:t xml:space="preserve">if the </w:t>
      </w:r>
      <w:r w:rsidR="00E30457">
        <w:t>person</w:t>
      </w:r>
      <w:r w:rsidRPr="004817B2">
        <w:t xml:space="preserve"> answers a question falsely</w:t>
      </w:r>
      <w:r w:rsidR="003D0DC6">
        <w:t>,</w:t>
      </w:r>
      <w:r w:rsidRPr="004817B2">
        <w:t xml:space="preserve"> the </w:t>
      </w:r>
      <w:r w:rsidR="00E30457">
        <w:t>person</w:t>
      </w:r>
      <w:r w:rsidRPr="004817B2">
        <w:t xml:space="preserve"> may be prosecuted for perjury.</w:t>
      </w:r>
    </w:p>
    <w:p w14:paraId="5AB00780" w14:textId="77777777" w:rsidR="007A5792" w:rsidRPr="004817B2" w:rsidRDefault="007A5792" w:rsidP="00F7465C">
      <w:pPr>
        <w:pStyle w:val="BodyNum"/>
      </w:pPr>
      <w:r w:rsidRPr="004817B2">
        <w:rPr>
          <w:color w:val="000000"/>
        </w:rPr>
        <w:t xml:space="preserve">If the tribunal or other administrative body may take evidence on oath, you should also draw your instructors’ attention to </w:t>
      </w:r>
      <w:r w:rsidR="00B17D2F">
        <w:rPr>
          <w:color w:val="000000"/>
        </w:rPr>
        <w:t>Part I</w:t>
      </w:r>
      <w:r w:rsidRPr="004817B2">
        <w:rPr>
          <w:color w:val="000000"/>
        </w:rPr>
        <w:t xml:space="preserve">II of the </w:t>
      </w:r>
      <w:r w:rsidRPr="004817B2">
        <w:rPr>
          <w:i/>
          <w:color w:val="000000"/>
        </w:rPr>
        <w:t>Crimes Act 1914</w:t>
      </w:r>
      <w:r w:rsidRPr="004817B2">
        <w:rPr>
          <w:color w:val="000000"/>
        </w:rPr>
        <w:t>. It contains offences relating to judicial proceedings (including giving false testimony, fabricating evidence, intimidating witnesses, corrupting witnesses, deceiving witnesses and preventing the attendance of witnesses). It defines “judicial proceedings” as including proceedings before a body or person acting under the law of the Commonwealth in which evidence may be taken on oath</w:t>
      </w:r>
      <w:r w:rsidRPr="004817B2">
        <w:t>.</w:t>
      </w:r>
    </w:p>
    <w:p w14:paraId="2E1CA300" w14:textId="77777777" w:rsidR="007A5792" w:rsidRPr="004817B2" w:rsidRDefault="00B17D2F" w:rsidP="004817B2">
      <w:pPr>
        <w:pStyle w:val="Head2"/>
      </w:pPr>
      <w:bookmarkStart w:id="5" w:name="_Toc172553482"/>
      <w:r>
        <w:t>Part 4</w:t>
      </w:r>
      <w:r w:rsidR="007A5792" w:rsidRPr="004817B2">
        <w:t>—Contempt</w:t>
      </w:r>
      <w:bookmarkEnd w:id="5"/>
    </w:p>
    <w:p w14:paraId="1BA60740" w14:textId="77777777" w:rsidR="007A5792" w:rsidRPr="004817B2" w:rsidRDefault="007A5792" w:rsidP="00F7465C">
      <w:pPr>
        <w:pStyle w:val="BodyNum"/>
      </w:pPr>
      <w:r w:rsidRPr="004817B2">
        <w:t xml:space="preserve">In the course of drafting legislation you may be instructed to include a provision providing for the “contempt” of a tribunal or other administrative body. Before including such a provision, you should consider whether </w:t>
      </w:r>
      <w:r w:rsidR="00B17D2F">
        <w:t>section 1</w:t>
      </w:r>
      <w:r w:rsidRPr="004817B2">
        <w:t xml:space="preserve">49.1 of the </w:t>
      </w:r>
      <w:r w:rsidRPr="004817B2">
        <w:rPr>
          <w:i/>
        </w:rPr>
        <w:t xml:space="preserve">Criminal Code </w:t>
      </w:r>
      <w:r w:rsidRPr="004817B2">
        <w:t>(about obstruction etc. of Commonwealth public officials) makes the provision unnecessary. That section covers the obstruction etc. of officials rather than the obstruction etc. of the tribunal or other administrative body itself.</w:t>
      </w:r>
    </w:p>
    <w:p w14:paraId="4B70EA55" w14:textId="77777777" w:rsidR="00C45E2A" w:rsidRPr="004817B2" w:rsidRDefault="007A5792" w:rsidP="00F7465C">
      <w:pPr>
        <w:pStyle w:val="BodyNum"/>
      </w:pPr>
      <w:r w:rsidRPr="004817B2">
        <w:t xml:space="preserve">The power of the Parliament to make laws about the “contempt” of administrative bodies is subject to the implied freedom of political communication (see </w:t>
      </w:r>
      <w:r w:rsidRPr="004817B2">
        <w:rPr>
          <w:i/>
        </w:rPr>
        <w:t>Nationwide News Pty Ltd v Wills</w:t>
      </w:r>
      <w:r w:rsidRPr="004817B2">
        <w:t xml:space="preserve"> (1992) 108 ALR 681), and you should seek advice from the Australian Government Solicitor if you have any concerns.</w:t>
      </w:r>
    </w:p>
    <w:p w14:paraId="45DA8EAD" w14:textId="77777777" w:rsidR="007A5792" w:rsidRPr="004817B2" w:rsidRDefault="00B17D2F" w:rsidP="00F7465C">
      <w:pPr>
        <w:pStyle w:val="BodyNum"/>
      </w:pPr>
      <w:r>
        <w:t>Section 1</w:t>
      </w:r>
      <w:r w:rsidR="004E20F6">
        <w:t>20</w:t>
      </w:r>
      <w:r w:rsidR="007A5792" w:rsidRPr="004817B2">
        <w:t xml:space="preserve"> of the </w:t>
      </w:r>
      <w:r w:rsidR="007A5792" w:rsidRPr="004817B2">
        <w:rPr>
          <w:i/>
        </w:rPr>
        <w:t xml:space="preserve">Administrative </w:t>
      </w:r>
      <w:r w:rsidR="002D2E71">
        <w:rPr>
          <w:i/>
        </w:rPr>
        <w:t>Review</w:t>
      </w:r>
      <w:r w:rsidR="007A5792" w:rsidRPr="004817B2">
        <w:rPr>
          <w:i/>
        </w:rPr>
        <w:t xml:space="preserve"> Tribunal Act </w:t>
      </w:r>
      <w:r w:rsidR="002D2E71">
        <w:rPr>
          <w:i/>
        </w:rPr>
        <w:t xml:space="preserve">2024 </w:t>
      </w:r>
      <w:r w:rsidR="007A5792" w:rsidRPr="004817B2">
        <w:t>is a</w:t>
      </w:r>
      <w:r w:rsidR="00C53EE2" w:rsidRPr="004817B2">
        <w:t>n</w:t>
      </w:r>
      <w:r w:rsidR="007A5792" w:rsidRPr="004817B2">
        <w:t xml:space="preserve"> example of a provision dealing with the contempt of a tribunal.</w:t>
      </w:r>
    </w:p>
    <w:p w14:paraId="6CA06DD8" w14:textId="77777777" w:rsidR="007A5792" w:rsidRDefault="007A5792" w:rsidP="007A5792">
      <w:pPr>
        <w:pStyle w:val="Body"/>
      </w:pPr>
    </w:p>
    <w:p w14:paraId="61A2DFFE" w14:textId="77777777" w:rsidR="00925D76" w:rsidRPr="004817B2" w:rsidRDefault="00925D76" w:rsidP="007A5792">
      <w:pPr>
        <w:pStyle w:val="Body"/>
      </w:pPr>
    </w:p>
    <w:p w14:paraId="4077FC19" w14:textId="77777777" w:rsidR="007A5792" w:rsidRPr="00732C3E" w:rsidRDefault="002D2E71" w:rsidP="007A5792">
      <w:pPr>
        <w:pStyle w:val="Body"/>
      </w:pPr>
      <w:r>
        <w:t>Meredith Leigh</w:t>
      </w:r>
      <w:r w:rsidR="007A5792" w:rsidRPr="004817B2">
        <w:br/>
        <w:t>First Parliamentary Counsel</w:t>
      </w:r>
      <w:r w:rsidR="007A5792" w:rsidRPr="004817B2">
        <w:br/>
      </w:r>
      <w:r w:rsidR="00B17D2F">
        <w:t>24 October</w:t>
      </w:r>
      <w:r w:rsidR="00732C3E">
        <w:t xml:space="preserve"> 2024</w:t>
      </w:r>
    </w:p>
    <w:p w14:paraId="560F2957" w14:textId="77777777" w:rsidR="00C931CB" w:rsidRPr="004817B2" w:rsidRDefault="00C931CB" w:rsidP="00C931CB">
      <w:pPr>
        <w:pStyle w:val="Body"/>
      </w:pPr>
    </w:p>
    <w:tbl>
      <w:tblPr>
        <w:tblW w:w="0" w:type="auto"/>
        <w:tblInd w:w="113" w:type="dxa"/>
        <w:tblLayout w:type="fixed"/>
        <w:tblLook w:val="0000" w:firstRow="0" w:lastRow="0" w:firstColumn="0" w:lastColumn="0" w:noHBand="0" w:noVBand="0"/>
      </w:tblPr>
      <w:tblGrid>
        <w:gridCol w:w="3009"/>
        <w:gridCol w:w="3009"/>
        <w:gridCol w:w="3009"/>
      </w:tblGrid>
      <w:tr w:rsidR="00C931CB" w:rsidRPr="004817B2" w14:paraId="28492DB9" w14:textId="77777777" w:rsidTr="00C07B70">
        <w:trPr>
          <w:tblHeader/>
        </w:trPr>
        <w:tc>
          <w:tcPr>
            <w:tcW w:w="9027" w:type="dxa"/>
            <w:gridSpan w:val="3"/>
            <w:tcBorders>
              <w:top w:val="single" w:sz="12" w:space="0" w:color="auto"/>
              <w:bottom w:val="single" w:sz="6" w:space="0" w:color="auto"/>
            </w:tcBorders>
            <w:shd w:val="clear" w:color="auto" w:fill="auto"/>
          </w:tcPr>
          <w:p w14:paraId="1EB1DBC7" w14:textId="77777777" w:rsidR="00C931CB" w:rsidRPr="004817B2" w:rsidRDefault="00C931CB" w:rsidP="00C07B70">
            <w:pPr>
              <w:pStyle w:val="Tabletext"/>
              <w:keepNext/>
              <w:rPr>
                <w:b/>
              </w:rPr>
            </w:pPr>
            <w:r w:rsidRPr="004817B2">
              <w:rPr>
                <w:b/>
              </w:rPr>
              <w:t>Document History</w:t>
            </w:r>
          </w:p>
        </w:tc>
      </w:tr>
      <w:tr w:rsidR="00C931CB" w:rsidRPr="004817B2" w14:paraId="7DB1AC67" w14:textId="77777777" w:rsidTr="00C07B70">
        <w:trPr>
          <w:tblHeader/>
        </w:trPr>
        <w:tc>
          <w:tcPr>
            <w:tcW w:w="3009" w:type="dxa"/>
            <w:tcBorders>
              <w:top w:val="single" w:sz="6" w:space="0" w:color="auto"/>
              <w:bottom w:val="single" w:sz="12" w:space="0" w:color="auto"/>
            </w:tcBorders>
            <w:shd w:val="clear" w:color="auto" w:fill="auto"/>
          </w:tcPr>
          <w:p w14:paraId="1A6BD02D" w14:textId="77777777" w:rsidR="00C931CB" w:rsidRPr="004817B2" w:rsidRDefault="00C931CB" w:rsidP="00C07B70">
            <w:pPr>
              <w:pStyle w:val="Tabletext"/>
              <w:keepNext/>
              <w:rPr>
                <w:b/>
              </w:rPr>
            </w:pPr>
            <w:r w:rsidRPr="004817B2">
              <w:rPr>
                <w:b/>
              </w:rPr>
              <w:t>Release</w:t>
            </w:r>
          </w:p>
        </w:tc>
        <w:tc>
          <w:tcPr>
            <w:tcW w:w="3009" w:type="dxa"/>
            <w:tcBorders>
              <w:top w:val="single" w:sz="6" w:space="0" w:color="auto"/>
              <w:bottom w:val="single" w:sz="12" w:space="0" w:color="auto"/>
            </w:tcBorders>
            <w:shd w:val="clear" w:color="auto" w:fill="auto"/>
          </w:tcPr>
          <w:p w14:paraId="351E0A24" w14:textId="77777777" w:rsidR="00C931CB" w:rsidRPr="004817B2" w:rsidRDefault="00C931CB" w:rsidP="00C07B70">
            <w:pPr>
              <w:pStyle w:val="Tabletext"/>
              <w:keepNext/>
              <w:rPr>
                <w:b/>
              </w:rPr>
            </w:pPr>
            <w:r w:rsidRPr="004817B2">
              <w:rPr>
                <w:b/>
              </w:rPr>
              <w:t>Release date</w:t>
            </w:r>
          </w:p>
        </w:tc>
        <w:tc>
          <w:tcPr>
            <w:tcW w:w="3009" w:type="dxa"/>
            <w:tcBorders>
              <w:top w:val="single" w:sz="6" w:space="0" w:color="auto"/>
              <w:bottom w:val="single" w:sz="12" w:space="0" w:color="auto"/>
            </w:tcBorders>
            <w:shd w:val="clear" w:color="auto" w:fill="auto"/>
          </w:tcPr>
          <w:p w14:paraId="5C77DEF8" w14:textId="77777777" w:rsidR="00C931CB" w:rsidRPr="004817B2" w:rsidRDefault="00C931CB" w:rsidP="00C07B70">
            <w:pPr>
              <w:pStyle w:val="Tabletext"/>
              <w:keepNext/>
              <w:rPr>
                <w:b/>
              </w:rPr>
            </w:pPr>
            <w:r w:rsidRPr="004817B2">
              <w:rPr>
                <w:b/>
              </w:rPr>
              <w:t>Document number</w:t>
            </w:r>
          </w:p>
        </w:tc>
      </w:tr>
      <w:tr w:rsidR="00C931CB" w:rsidRPr="004817B2" w14:paraId="202160E4" w14:textId="77777777" w:rsidTr="00C07B70">
        <w:tc>
          <w:tcPr>
            <w:tcW w:w="3009" w:type="dxa"/>
            <w:tcBorders>
              <w:top w:val="single" w:sz="12" w:space="0" w:color="auto"/>
              <w:bottom w:val="single" w:sz="2" w:space="0" w:color="auto"/>
            </w:tcBorders>
            <w:shd w:val="clear" w:color="auto" w:fill="auto"/>
          </w:tcPr>
          <w:p w14:paraId="242FE33B" w14:textId="77777777" w:rsidR="00C931CB" w:rsidRPr="004817B2" w:rsidRDefault="00C931CB" w:rsidP="00C07B70">
            <w:pPr>
              <w:pStyle w:val="Tabletext"/>
            </w:pPr>
            <w:r w:rsidRPr="004817B2">
              <w:t>1.0</w:t>
            </w:r>
          </w:p>
        </w:tc>
        <w:tc>
          <w:tcPr>
            <w:tcW w:w="3009" w:type="dxa"/>
            <w:tcBorders>
              <w:top w:val="single" w:sz="12" w:space="0" w:color="auto"/>
              <w:bottom w:val="single" w:sz="2" w:space="0" w:color="auto"/>
            </w:tcBorders>
            <w:shd w:val="clear" w:color="auto" w:fill="auto"/>
          </w:tcPr>
          <w:p w14:paraId="5C2D12FE" w14:textId="77777777" w:rsidR="00C931CB" w:rsidRPr="004817B2" w:rsidRDefault="00B17D2F" w:rsidP="00C07B70">
            <w:pPr>
              <w:pStyle w:val="Tabletext"/>
            </w:pPr>
            <w:r>
              <w:t>1 May</w:t>
            </w:r>
            <w:r w:rsidR="00C931CB" w:rsidRPr="004817B2">
              <w:t xml:space="preserve"> 2006</w:t>
            </w:r>
          </w:p>
        </w:tc>
        <w:tc>
          <w:tcPr>
            <w:tcW w:w="3009" w:type="dxa"/>
            <w:tcBorders>
              <w:top w:val="single" w:sz="12" w:space="0" w:color="auto"/>
              <w:bottom w:val="single" w:sz="2" w:space="0" w:color="auto"/>
            </w:tcBorders>
            <w:shd w:val="clear" w:color="auto" w:fill="auto"/>
          </w:tcPr>
          <w:p w14:paraId="483E7BD4" w14:textId="77777777" w:rsidR="00C931CB" w:rsidRPr="004817B2" w:rsidRDefault="00C931CB" w:rsidP="00C07B70">
            <w:pPr>
              <w:pStyle w:val="Tabletext"/>
            </w:pPr>
            <w:r w:rsidRPr="004817B2">
              <w:t>s06rd384.v01.doc</w:t>
            </w:r>
          </w:p>
        </w:tc>
      </w:tr>
      <w:tr w:rsidR="00C931CB" w:rsidRPr="004817B2" w14:paraId="064DAB5F" w14:textId="77777777" w:rsidTr="005B302B">
        <w:tc>
          <w:tcPr>
            <w:tcW w:w="3009" w:type="dxa"/>
            <w:tcBorders>
              <w:top w:val="single" w:sz="2" w:space="0" w:color="auto"/>
              <w:bottom w:val="single" w:sz="2" w:space="0" w:color="auto"/>
            </w:tcBorders>
            <w:shd w:val="clear" w:color="auto" w:fill="auto"/>
          </w:tcPr>
          <w:p w14:paraId="3B8EBB62" w14:textId="77777777" w:rsidR="00C931CB" w:rsidRPr="004817B2" w:rsidRDefault="00C931CB" w:rsidP="00C07B70">
            <w:pPr>
              <w:pStyle w:val="Tabletext"/>
            </w:pPr>
            <w:r w:rsidRPr="004817B2">
              <w:t>2.0</w:t>
            </w:r>
          </w:p>
        </w:tc>
        <w:tc>
          <w:tcPr>
            <w:tcW w:w="3009" w:type="dxa"/>
            <w:tcBorders>
              <w:top w:val="single" w:sz="2" w:space="0" w:color="auto"/>
              <w:bottom w:val="single" w:sz="2" w:space="0" w:color="auto"/>
            </w:tcBorders>
            <w:shd w:val="clear" w:color="auto" w:fill="auto"/>
          </w:tcPr>
          <w:p w14:paraId="6DB76D0D" w14:textId="77777777" w:rsidR="00C931CB" w:rsidRPr="004817B2" w:rsidRDefault="00C931CB" w:rsidP="00C07B70">
            <w:pPr>
              <w:pStyle w:val="Tabletext"/>
            </w:pPr>
            <w:r w:rsidRPr="004817B2">
              <w:t>15 Jan 2008</w:t>
            </w:r>
          </w:p>
        </w:tc>
        <w:tc>
          <w:tcPr>
            <w:tcW w:w="3009" w:type="dxa"/>
            <w:tcBorders>
              <w:top w:val="single" w:sz="2" w:space="0" w:color="auto"/>
              <w:bottom w:val="single" w:sz="2" w:space="0" w:color="auto"/>
            </w:tcBorders>
            <w:shd w:val="clear" w:color="auto" w:fill="auto"/>
          </w:tcPr>
          <w:p w14:paraId="30DF6C62" w14:textId="77777777" w:rsidR="00C931CB" w:rsidRPr="004817B2" w:rsidRDefault="00C931CB" w:rsidP="00C07B70">
            <w:pPr>
              <w:pStyle w:val="Tabletext"/>
            </w:pPr>
            <w:r w:rsidRPr="004817B2">
              <w:t>s06rd384.v02.doc</w:t>
            </w:r>
          </w:p>
        </w:tc>
      </w:tr>
      <w:tr w:rsidR="005B302B" w:rsidRPr="004817B2" w14:paraId="0C41126A" w14:textId="77777777" w:rsidTr="00DE40B9">
        <w:tc>
          <w:tcPr>
            <w:tcW w:w="3009" w:type="dxa"/>
            <w:tcBorders>
              <w:top w:val="single" w:sz="2" w:space="0" w:color="auto"/>
              <w:bottom w:val="single" w:sz="2" w:space="0" w:color="auto"/>
            </w:tcBorders>
            <w:shd w:val="clear" w:color="auto" w:fill="auto"/>
          </w:tcPr>
          <w:p w14:paraId="6CB3FEBA" w14:textId="77777777" w:rsidR="005B302B" w:rsidRPr="004817B2" w:rsidRDefault="005B302B" w:rsidP="00C07B70">
            <w:pPr>
              <w:pStyle w:val="Tabletext"/>
            </w:pPr>
            <w:r w:rsidRPr="004817B2">
              <w:t>3.0</w:t>
            </w:r>
          </w:p>
        </w:tc>
        <w:tc>
          <w:tcPr>
            <w:tcW w:w="3009" w:type="dxa"/>
            <w:tcBorders>
              <w:top w:val="single" w:sz="2" w:space="0" w:color="auto"/>
              <w:bottom w:val="single" w:sz="2" w:space="0" w:color="auto"/>
            </w:tcBorders>
            <w:shd w:val="clear" w:color="auto" w:fill="auto"/>
          </w:tcPr>
          <w:p w14:paraId="50400DA5" w14:textId="77777777" w:rsidR="005B302B" w:rsidRPr="004817B2" w:rsidRDefault="00B17D2F" w:rsidP="00C07B70">
            <w:pPr>
              <w:pStyle w:val="Tabletext"/>
            </w:pPr>
            <w:r>
              <w:t>2 October</w:t>
            </w:r>
            <w:r w:rsidR="005B302B" w:rsidRPr="004817B2">
              <w:t xml:space="preserve"> 2012</w:t>
            </w:r>
          </w:p>
        </w:tc>
        <w:tc>
          <w:tcPr>
            <w:tcW w:w="3009" w:type="dxa"/>
            <w:tcBorders>
              <w:top w:val="single" w:sz="2" w:space="0" w:color="auto"/>
              <w:bottom w:val="single" w:sz="2" w:space="0" w:color="auto"/>
            </w:tcBorders>
            <w:shd w:val="clear" w:color="auto" w:fill="auto"/>
          </w:tcPr>
          <w:p w14:paraId="44585852" w14:textId="77777777" w:rsidR="005B302B" w:rsidRPr="004817B2" w:rsidRDefault="005B302B" w:rsidP="005B302B">
            <w:pPr>
              <w:pStyle w:val="Tabletext"/>
            </w:pPr>
            <w:r w:rsidRPr="004817B2">
              <w:t>s06rd384.v14.docx</w:t>
            </w:r>
          </w:p>
        </w:tc>
      </w:tr>
      <w:tr w:rsidR="00DE40B9" w:rsidRPr="004817B2" w14:paraId="00F229C2" w14:textId="77777777" w:rsidTr="00333E91">
        <w:tc>
          <w:tcPr>
            <w:tcW w:w="3009" w:type="dxa"/>
            <w:tcBorders>
              <w:top w:val="single" w:sz="2" w:space="0" w:color="auto"/>
              <w:bottom w:val="single" w:sz="2" w:space="0" w:color="auto"/>
            </w:tcBorders>
            <w:shd w:val="clear" w:color="auto" w:fill="auto"/>
          </w:tcPr>
          <w:p w14:paraId="376C3111" w14:textId="77777777" w:rsidR="00DE40B9" w:rsidRPr="004817B2" w:rsidRDefault="00DE40B9" w:rsidP="00C07B70">
            <w:pPr>
              <w:pStyle w:val="Tabletext"/>
            </w:pPr>
            <w:r w:rsidRPr="004817B2">
              <w:t>4.0</w:t>
            </w:r>
          </w:p>
        </w:tc>
        <w:tc>
          <w:tcPr>
            <w:tcW w:w="3009" w:type="dxa"/>
            <w:tcBorders>
              <w:top w:val="single" w:sz="2" w:space="0" w:color="auto"/>
              <w:bottom w:val="single" w:sz="2" w:space="0" w:color="auto"/>
            </w:tcBorders>
            <w:shd w:val="clear" w:color="auto" w:fill="auto"/>
          </w:tcPr>
          <w:p w14:paraId="4CA33ABB" w14:textId="77777777" w:rsidR="00DE40B9" w:rsidRPr="004817B2" w:rsidRDefault="00B17D2F" w:rsidP="00C07B70">
            <w:pPr>
              <w:pStyle w:val="Tabletext"/>
            </w:pPr>
            <w:r>
              <w:t>19 June</w:t>
            </w:r>
            <w:r w:rsidR="00951DBC" w:rsidRPr="004817B2">
              <w:t xml:space="preserve"> 2013</w:t>
            </w:r>
          </w:p>
        </w:tc>
        <w:tc>
          <w:tcPr>
            <w:tcW w:w="3009" w:type="dxa"/>
            <w:tcBorders>
              <w:top w:val="single" w:sz="2" w:space="0" w:color="auto"/>
              <w:bottom w:val="single" w:sz="2" w:space="0" w:color="auto"/>
            </w:tcBorders>
            <w:shd w:val="clear" w:color="auto" w:fill="auto"/>
          </w:tcPr>
          <w:p w14:paraId="2D1104CE" w14:textId="77777777" w:rsidR="00DE40B9" w:rsidRPr="004817B2" w:rsidRDefault="00951DBC" w:rsidP="005B302B">
            <w:pPr>
              <w:pStyle w:val="Tabletext"/>
            </w:pPr>
            <w:r w:rsidRPr="004817B2">
              <w:t>s06rd384.v20.docx</w:t>
            </w:r>
          </w:p>
        </w:tc>
      </w:tr>
      <w:tr w:rsidR="00333E91" w:rsidRPr="004817B2" w14:paraId="795B5FC1" w14:textId="77777777" w:rsidTr="00AD36E3">
        <w:tc>
          <w:tcPr>
            <w:tcW w:w="3009" w:type="dxa"/>
            <w:tcBorders>
              <w:top w:val="single" w:sz="2" w:space="0" w:color="auto"/>
              <w:bottom w:val="single" w:sz="2" w:space="0" w:color="auto"/>
            </w:tcBorders>
            <w:shd w:val="clear" w:color="auto" w:fill="auto"/>
          </w:tcPr>
          <w:p w14:paraId="65389F90" w14:textId="77777777" w:rsidR="00333E91" w:rsidRPr="004817B2" w:rsidRDefault="00333E91" w:rsidP="00C07B70">
            <w:pPr>
              <w:pStyle w:val="Tabletext"/>
            </w:pPr>
            <w:r w:rsidRPr="004817B2">
              <w:t>4.1</w:t>
            </w:r>
          </w:p>
        </w:tc>
        <w:tc>
          <w:tcPr>
            <w:tcW w:w="3009" w:type="dxa"/>
            <w:tcBorders>
              <w:top w:val="single" w:sz="2" w:space="0" w:color="auto"/>
              <w:bottom w:val="single" w:sz="2" w:space="0" w:color="auto"/>
            </w:tcBorders>
            <w:shd w:val="clear" w:color="auto" w:fill="auto"/>
          </w:tcPr>
          <w:p w14:paraId="484E37F9" w14:textId="77777777" w:rsidR="00333E91" w:rsidRPr="004817B2" w:rsidRDefault="00B17D2F" w:rsidP="00C07B70">
            <w:pPr>
              <w:pStyle w:val="Tabletext"/>
            </w:pPr>
            <w:r>
              <w:t>8 March</w:t>
            </w:r>
            <w:r w:rsidR="00333E91" w:rsidRPr="004817B2">
              <w:t xml:space="preserve"> 2016</w:t>
            </w:r>
          </w:p>
        </w:tc>
        <w:tc>
          <w:tcPr>
            <w:tcW w:w="3009" w:type="dxa"/>
            <w:tcBorders>
              <w:top w:val="single" w:sz="2" w:space="0" w:color="auto"/>
              <w:bottom w:val="single" w:sz="2" w:space="0" w:color="auto"/>
            </w:tcBorders>
            <w:shd w:val="clear" w:color="auto" w:fill="auto"/>
          </w:tcPr>
          <w:p w14:paraId="7BC61688" w14:textId="77777777" w:rsidR="00333E91" w:rsidRPr="004817B2" w:rsidRDefault="00333E91" w:rsidP="005C4F7A">
            <w:pPr>
              <w:pStyle w:val="Tabletext"/>
            </w:pPr>
            <w:r w:rsidRPr="004817B2">
              <w:t>s06rd384.v</w:t>
            </w:r>
            <w:r w:rsidR="00100B62" w:rsidRPr="004817B2">
              <w:t>2</w:t>
            </w:r>
            <w:r w:rsidR="005C4F7A">
              <w:t>4</w:t>
            </w:r>
            <w:r w:rsidRPr="004817B2">
              <w:t>.docx</w:t>
            </w:r>
          </w:p>
        </w:tc>
      </w:tr>
      <w:tr w:rsidR="00AD36E3" w:rsidRPr="004817B2" w14:paraId="57B989E3" w14:textId="77777777" w:rsidTr="00C07B70">
        <w:tc>
          <w:tcPr>
            <w:tcW w:w="3009" w:type="dxa"/>
            <w:tcBorders>
              <w:top w:val="single" w:sz="2" w:space="0" w:color="auto"/>
              <w:bottom w:val="single" w:sz="12" w:space="0" w:color="auto"/>
            </w:tcBorders>
            <w:shd w:val="clear" w:color="auto" w:fill="auto"/>
          </w:tcPr>
          <w:p w14:paraId="41757529" w14:textId="77777777" w:rsidR="00AD36E3" w:rsidRPr="004817B2" w:rsidRDefault="00AD36E3" w:rsidP="00C07B70">
            <w:pPr>
              <w:pStyle w:val="Tabletext"/>
            </w:pPr>
            <w:r>
              <w:t>4.2</w:t>
            </w:r>
          </w:p>
        </w:tc>
        <w:tc>
          <w:tcPr>
            <w:tcW w:w="3009" w:type="dxa"/>
            <w:tcBorders>
              <w:top w:val="single" w:sz="2" w:space="0" w:color="auto"/>
              <w:bottom w:val="single" w:sz="12" w:space="0" w:color="auto"/>
            </w:tcBorders>
            <w:shd w:val="clear" w:color="auto" w:fill="auto"/>
          </w:tcPr>
          <w:p w14:paraId="521C7E16" w14:textId="77777777" w:rsidR="00AD36E3" w:rsidRPr="00732C3E" w:rsidRDefault="00B17D2F" w:rsidP="00AD36E3">
            <w:pPr>
              <w:pStyle w:val="Tabletext"/>
            </w:pPr>
            <w:r>
              <w:t>24 October</w:t>
            </w:r>
            <w:r w:rsidR="00732C3E">
              <w:t xml:space="preserve"> 2024</w:t>
            </w:r>
          </w:p>
        </w:tc>
        <w:tc>
          <w:tcPr>
            <w:tcW w:w="3009" w:type="dxa"/>
            <w:tcBorders>
              <w:top w:val="single" w:sz="2" w:space="0" w:color="auto"/>
              <w:bottom w:val="single" w:sz="12" w:space="0" w:color="auto"/>
            </w:tcBorders>
            <w:shd w:val="clear" w:color="auto" w:fill="auto"/>
          </w:tcPr>
          <w:p w14:paraId="2A1DE3D1" w14:textId="77777777" w:rsidR="00AD36E3" w:rsidRPr="004817B2" w:rsidRDefault="00AD36E3" w:rsidP="00C07B70">
            <w:pPr>
              <w:pStyle w:val="Tabletext"/>
            </w:pPr>
            <w:r w:rsidRPr="004817B2">
              <w:t>s06rd384.v</w:t>
            </w:r>
            <w:r w:rsidR="00732C3E">
              <w:t>30</w:t>
            </w:r>
            <w:r w:rsidRPr="004817B2">
              <w:t>.docx</w:t>
            </w:r>
          </w:p>
        </w:tc>
      </w:tr>
    </w:tbl>
    <w:p w14:paraId="03EBB5D1" w14:textId="77777777" w:rsidR="00C931CB" w:rsidRPr="004817B2" w:rsidRDefault="00C931CB" w:rsidP="00C931CB">
      <w:pPr>
        <w:pStyle w:val="notemargin"/>
      </w:pPr>
      <w:r w:rsidRPr="004817B2">
        <w:t>Note:</w:t>
      </w:r>
      <w:r w:rsidRPr="004817B2">
        <w:tab/>
        <w:t>Before the issue of the current series of Drafting Directions, this Drafting Direction was known as Drafting Direction No. 1 of 2006 and Drafting Direction No. 15 of 2004.</w:t>
      </w:r>
    </w:p>
    <w:sectPr w:rsidR="00C931CB" w:rsidRPr="004817B2" w:rsidSect="00004B0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5097" w14:textId="77777777" w:rsidR="007E30A9" w:rsidRDefault="007E30A9" w:rsidP="00A34568">
      <w:pPr>
        <w:spacing w:line="240" w:lineRule="auto"/>
      </w:pPr>
      <w:r>
        <w:separator/>
      </w:r>
    </w:p>
  </w:endnote>
  <w:endnote w:type="continuationSeparator" w:id="0">
    <w:p w14:paraId="045159EE" w14:textId="77777777" w:rsidR="007E30A9" w:rsidRDefault="007E30A9"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A3B6" w14:textId="77777777" w:rsidR="007E30A9" w:rsidRDefault="007E30A9" w:rsidP="00004B0D">
    <w:pPr>
      <w:pStyle w:val="Footer"/>
      <w:tabs>
        <w:tab w:val="right" w:pos="8789"/>
      </w:tabs>
    </w:pPr>
    <w:r w:rsidRPr="00C2778B">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1814E19B" wp14:editId="741FAA08">
              <wp:simplePos x="0" y="0"/>
              <wp:positionH relativeFrom="page">
                <wp:align>center</wp:align>
              </wp:positionH>
              <wp:positionV relativeFrom="paragraph">
                <wp:posOffset>0</wp:posOffset>
              </wp:positionV>
              <wp:extent cx="5773003" cy="395785"/>
              <wp:effectExtent l="0" t="0" r="0" b="0"/>
              <wp:wrapNone/>
              <wp:docPr id="11" name="Text Box 1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6248C3" w14:textId="6653B08C"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4E19B" id="_x0000_t202" coordsize="21600,21600" o:spt="202" path="m,l,21600r21600,l21600,xe">
              <v:stroke joinstyle="miter"/>
              <v:path gradientshapeok="t" o:connecttype="rect"/>
            </v:shapetype>
            <v:shape id="Text Box 11"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506248C3" w14:textId="6653B08C"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sz w:val="16"/>
      </w:rPr>
      <w:t xml:space="preserve"> </w:t>
    </w:r>
    <w:r>
      <w:rPr>
        <w:sz w:val="16"/>
      </w:rPr>
      <w:tab/>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58C9" w14:textId="77777777" w:rsidR="007E30A9" w:rsidRDefault="007E30A9" w:rsidP="00004B0D">
    <w:pPr>
      <w:tabs>
        <w:tab w:val="right" w:pos="8931"/>
      </w:tabs>
      <w:rPr>
        <w:sz w:val="16"/>
      </w:rPr>
    </w:pPr>
    <w:r w:rsidRPr="00C2778B">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7DCAF3FB" wp14:editId="6DFEE6C8">
              <wp:simplePos x="0" y="0"/>
              <wp:positionH relativeFrom="page">
                <wp:align>center</wp:align>
              </wp:positionH>
              <wp:positionV relativeFrom="paragraph">
                <wp:posOffset>0</wp:posOffset>
              </wp:positionV>
              <wp:extent cx="5773003" cy="395785"/>
              <wp:effectExtent l="0" t="0" r="0" b="0"/>
              <wp:wrapNone/>
              <wp:docPr id="9" name="Text Box 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BB67E2" w14:textId="3B3591B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CAF3FB" id="_x0000_t202" coordsize="21600,21600" o:spt="202" path="m,l,21600r21600,l21600,xe">
              <v:stroke joinstyle="miter"/>
              <v:path gradientshapeok="t" o:connecttype="rect"/>
            </v:shapetype>
            <v:shape id="Text Box 9"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1DBB67E2" w14:textId="3B3591B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5945" w14:textId="77777777" w:rsidR="007E30A9" w:rsidRDefault="007E30A9" w:rsidP="00004B0D">
    <w:pPr>
      <w:tabs>
        <w:tab w:val="right" w:pos="8931"/>
      </w:tabs>
    </w:pPr>
    <w:r w:rsidRPr="00C2778B">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580159C8" wp14:editId="46DE3E93">
              <wp:simplePos x="0" y="0"/>
              <wp:positionH relativeFrom="page">
                <wp:align>center</wp:align>
              </wp:positionH>
              <wp:positionV relativeFrom="paragraph">
                <wp:posOffset>0</wp:posOffset>
              </wp:positionV>
              <wp:extent cx="5773003" cy="395785"/>
              <wp:effectExtent l="0" t="0" r="0" b="0"/>
              <wp:wrapNone/>
              <wp:docPr id="7" name="Text Box 7"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BA6150" w14:textId="04A5D16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0159C8" id="_x0000_t202" coordsize="21600,21600" o:spt="202" path="m,l,21600r21600,l21600,xe">
              <v:stroke joinstyle="miter"/>
              <v:path gradientshapeok="t" o:connecttype="rect"/>
            </v:shapetype>
            <v:shape id="Text Box 7"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33BA6150" w14:textId="04A5D16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sz w:val="16"/>
      </w:rPr>
      <w:t>[</w:t>
    </w:r>
    <w:r w:rsidR="00B951C2">
      <w:rPr>
        <w:noProof/>
        <w:sz w:val="16"/>
      </w:rPr>
      <w:t>s06rd384.v30.docx</w:t>
    </w:r>
    <w:r>
      <w:rPr>
        <w:sz w:val="16"/>
      </w:rPr>
      <w:t>] [</w:t>
    </w:r>
    <w:r w:rsidR="00B951C2">
      <w:rPr>
        <w:noProof/>
        <w:sz w:val="16"/>
      </w:rPr>
      <w:t>25 Oct 2024</w:t>
    </w:r>
    <w:r>
      <w:rPr>
        <w:sz w:val="16"/>
      </w:rPr>
      <w:t>] [</w:t>
    </w:r>
    <w:r w:rsidR="00B951C2">
      <w:rPr>
        <w:noProof/>
        <w:sz w:val="16"/>
      </w:rPr>
      <w:t>9:26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BE34" w14:textId="77777777" w:rsidR="007E30A9" w:rsidRDefault="007E30A9" w:rsidP="00A34568">
      <w:pPr>
        <w:spacing w:line="240" w:lineRule="auto"/>
      </w:pPr>
      <w:r>
        <w:separator/>
      </w:r>
    </w:p>
  </w:footnote>
  <w:footnote w:type="continuationSeparator" w:id="0">
    <w:p w14:paraId="321DFA42" w14:textId="77777777" w:rsidR="007E30A9" w:rsidRDefault="007E30A9"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ED2C" w14:textId="1EE6A03F" w:rsidR="007E30A9" w:rsidRDefault="007E30A9" w:rsidP="00004B0D">
    <w:pPr>
      <w:pStyle w:val="Header"/>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25E4D778" wp14:editId="572ACB6B">
              <wp:simplePos x="0" y="0"/>
              <wp:positionH relativeFrom="page">
                <wp:align>center</wp:align>
              </wp:positionH>
              <wp:positionV relativeFrom="paragraph">
                <wp:posOffset>-317500</wp:posOffset>
              </wp:positionV>
              <wp:extent cx="5773003" cy="395785"/>
              <wp:effectExtent l="0" t="0" r="0" b="0"/>
              <wp:wrapNone/>
              <wp:docPr id="10" name="Text Box 1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135CFA" w14:textId="4DC3C59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E4D778" id="_x0000_t202" coordsize="21600,21600" o:spt="202" path="m,l,21600r21600,l21600,xe">
              <v:stroke joinstyle="miter"/>
              <v:path gradientshapeok="t" o:connecttype="rect"/>
            </v:shapetype>
            <v:shape id="Text Box 10"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57135CFA" w14:textId="4DC3C59A"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4327C">
      <w:rPr>
        <w:rStyle w:val="PageNumber"/>
        <w:noProof/>
      </w:rPr>
      <w:t>Drafting Direction No. 3.7</w:t>
    </w:r>
    <w:r w:rsidR="00B4327C">
      <w:rPr>
        <w:rStyle w:val="PageNumber"/>
        <w:noProof/>
      </w:rPr>
      <w:br/>
      <w:t>Tribunals and other administrative bodies—various matters</w:t>
    </w:r>
    <w:r>
      <w:rPr>
        <w:rStyle w:val="PageNumber"/>
      </w:rPr>
      <w:fldChar w:fldCharType="end"/>
    </w:r>
  </w:p>
  <w:p w14:paraId="1C716E81" w14:textId="77777777" w:rsidR="007E30A9" w:rsidRDefault="007E30A9" w:rsidP="0000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F8DF" w14:textId="08FA97EF" w:rsidR="007E30A9" w:rsidRDefault="007E30A9" w:rsidP="00004B0D">
    <w:pPr>
      <w:pStyle w:val="Header"/>
      <w:jc w:val="right"/>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1FCAA3E3" wp14:editId="3BFDF10A">
              <wp:simplePos x="0" y="0"/>
              <wp:positionH relativeFrom="page">
                <wp:align>center</wp:align>
              </wp:positionH>
              <wp:positionV relativeFrom="paragraph">
                <wp:posOffset>-317500</wp:posOffset>
              </wp:positionV>
              <wp:extent cx="5773003" cy="395785"/>
              <wp:effectExtent l="0" t="0" r="0" b="0"/>
              <wp:wrapNone/>
              <wp:docPr id="8" name="Text Box 8"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DCB788" w14:textId="2109FA77"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CAA3E3" id="_x0000_t202" coordsize="21600,21600" o:spt="202" path="m,l,21600r21600,l21600,xe">
              <v:stroke joinstyle="miter"/>
              <v:path gradientshapeok="t" o:connecttype="rect"/>
            </v:shapetype>
            <v:shape id="Text Box 8"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40DCB788" w14:textId="2109FA77"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4327C">
      <w:rPr>
        <w:rStyle w:val="PageNumber"/>
        <w:noProof/>
      </w:rPr>
      <w:t>Drafting Direction No. 3.7</w:t>
    </w:r>
    <w:r w:rsidR="00B4327C">
      <w:rPr>
        <w:rStyle w:val="PageNumber"/>
        <w:noProof/>
      </w:rPr>
      <w:br/>
      <w:t>Tribunals and other administrative bodies—various matters</w:t>
    </w:r>
    <w:r>
      <w:rPr>
        <w:rStyle w:val="PageNumber"/>
      </w:rPr>
      <w:fldChar w:fldCharType="end"/>
    </w:r>
  </w:p>
  <w:p w14:paraId="0A145D14" w14:textId="77777777" w:rsidR="007E30A9" w:rsidRDefault="007E30A9" w:rsidP="00004B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7A00" w14:textId="72880476" w:rsidR="007E30A9" w:rsidRDefault="007E30A9" w:rsidP="00004B0D">
    <w:pPr>
      <w:pStyle w:val="Header"/>
      <w:jc w:val="right"/>
      <w:rPr>
        <w:rStyle w:val="PageNumber"/>
      </w:rPr>
    </w:pPr>
    <w:r w:rsidRPr="00C2778B">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66E87792" wp14:editId="7F40120C">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AA884" w14:textId="7107D682"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E87792"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73CAA884" w14:textId="7107D682" w:rsidR="007E30A9" w:rsidRPr="00324EB0" w:rsidRDefault="007E30A9" w:rsidP="00C2778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4327C">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4327C">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B4327C">
      <w:rPr>
        <w:rStyle w:val="PageNumber"/>
        <w:noProof/>
      </w:rPr>
      <w:t>Drafting Direction No. 3.7</w:t>
    </w:r>
    <w:r w:rsidR="00B4327C">
      <w:rPr>
        <w:rStyle w:val="PageNumber"/>
        <w:noProof/>
      </w:rPr>
      <w:br/>
      <w:t>Tribunals and other administrative bodies—various matters</w:t>
    </w:r>
    <w:r>
      <w:rPr>
        <w:rStyle w:val="PageNumber"/>
      </w:rPr>
      <w:fldChar w:fldCharType="end"/>
    </w:r>
  </w:p>
  <w:p w14:paraId="2E72180F" w14:textId="77777777" w:rsidR="007E30A9" w:rsidRDefault="007E30A9" w:rsidP="00004B0D">
    <w:pPr>
      <w:pStyle w:val="Header"/>
      <w:spacing w:before="240" w:after="600"/>
      <w:jc w:val="center"/>
      <w:rPr>
        <w:b/>
        <w:caps/>
        <w:sz w:val="36"/>
        <w:lang w:val="en-US"/>
      </w:rPr>
    </w:pPr>
    <w:r>
      <w:rPr>
        <w:b/>
        <w:caps/>
        <w:sz w:val="36"/>
        <w:lang w:val="en-US"/>
      </w:rPr>
      <w:t>Parliamentary Counsel</w:t>
    </w:r>
  </w:p>
  <w:p w14:paraId="6A11CAEB" w14:textId="77777777" w:rsidR="007E30A9" w:rsidRDefault="007E30A9" w:rsidP="0000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000726"/>
    <w:multiLevelType w:val="multilevel"/>
    <w:tmpl w:val="E3E67E08"/>
    <w:lvl w:ilvl="0">
      <w:start w:val="1"/>
      <w:numFmt w:val="lowerLetter"/>
      <w:lvlText w:val="%1)"/>
      <w:lvlJc w:val="left"/>
      <w:pPr>
        <w:tabs>
          <w:tab w:val="num" w:pos="1440"/>
        </w:tabs>
        <w:ind w:left="720" w:firstLine="0"/>
      </w:pPr>
    </w:lvl>
    <w:lvl w:ilvl="1">
      <w:start w:val="1"/>
      <w:numFmt w:val="lowerLetter"/>
      <w:lvlText w:val="(%2)"/>
      <w:lvlJc w:val="left"/>
      <w:pPr>
        <w:tabs>
          <w:tab w:val="num" w:pos="2160"/>
        </w:tabs>
        <w:ind w:left="2160" w:hanging="720"/>
      </w:p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5116932">
    <w:abstractNumId w:val="9"/>
  </w:num>
  <w:num w:numId="2" w16cid:durableId="790129188">
    <w:abstractNumId w:val="7"/>
  </w:num>
  <w:num w:numId="3" w16cid:durableId="1826893192">
    <w:abstractNumId w:val="6"/>
  </w:num>
  <w:num w:numId="4" w16cid:durableId="1034648340">
    <w:abstractNumId w:val="5"/>
  </w:num>
  <w:num w:numId="5" w16cid:durableId="318585064">
    <w:abstractNumId w:val="4"/>
  </w:num>
  <w:num w:numId="6" w16cid:durableId="734931324">
    <w:abstractNumId w:val="8"/>
  </w:num>
  <w:num w:numId="7" w16cid:durableId="518545538">
    <w:abstractNumId w:val="3"/>
  </w:num>
  <w:num w:numId="8" w16cid:durableId="1721316843">
    <w:abstractNumId w:val="2"/>
  </w:num>
  <w:num w:numId="9" w16cid:durableId="655499100">
    <w:abstractNumId w:val="1"/>
  </w:num>
  <w:num w:numId="10" w16cid:durableId="2100831145">
    <w:abstractNumId w:val="0"/>
  </w:num>
  <w:num w:numId="11" w16cid:durableId="245263187">
    <w:abstractNumId w:val="12"/>
  </w:num>
  <w:num w:numId="12" w16cid:durableId="787285438">
    <w:abstractNumId w:val="13"/>
  </w:num>
  <w:num w:numId="13" w16cid:durableId="319118613">
    <w:abstractNumId w:val="10"/>
  </w:num>
  <w:num w:numId="14" w16cid:durableId="15893437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73146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67676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004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92"/>
    <w:rsid w:val="0000221E"/>
    <w:rsid w:val="00004B0D"/>
    <w:rsid w:val="000062DF"/>
    <w:rsid w:val="00011FAF"/>
    <w:rsid w:val="000136AF"/>
    <w:rsid w:val="00035034"/>
    <w:rsid w:val="00055D85"/>
    <w:rsid w:val="00056743"/>
    <w:rsid w:val="00057437"/>
    <w:rsid w:val="000614BF"/>
    <w:rsid w:val="00071D1E"/>
    <w:rsid w:val="00073FDE"/>
    <w:rsid w:val="000764DD"/>
    <w:rsid w:val="00082CAE"/>
    <w:rsid w:val="00084BEC"/>
    <w:rsid w:val="000916CD"/>
    <w:rsid w:val="00094A72"/>
    <w:rsid w:val="000C4D8B"/>
    <w:rsid w:val="000D05EF"/>
    <w:rsid w:val="000D1687"/>
    <w:rsid w:val="000D25C6"/>
    <w:rsid w:val="00100B62"/>
    <w:rsid w:val="0010512F"/>
    <w:rsid w:val="00106E98"/>
    <w:rsid w:val="0010745C"/>
    <w:rsid w:val="00122153"/>
    <w:rsid w:val="00130F92"/>
    <w:rsid w:val="00140D7D"/>
    <w:rsid w:val="00150BDD"/>
    <w:rsid w:val="00166C2F"/>
    <w:rsid w:val="00185CD7"/>
    <w:rsid w:val="001939E1"/>
    <w:rsid w:val="00194A12"/>
    <w:rsid w:val="00195382"/>
    <w:rsid w:val="001A02C8"/>
    <w:rsid w:val="001A37DD"/>
    <w:rsid w:val="001A3C87"/>
    <w:rsid w:val="001A786F"/>
    <w:rsid w:val="001B3087"/>
    <w:rsid w:val="001B311D"/>
    <w:rsid w:val="001C69C4"/>
    <w:rsid w:val="001D024B"/>
    <w:rsid w:val="001D1D88"/>
    <w:rsid w:val="001D4154"/>
    <w:rsid w:val="001E3309"/>
    <w:rsid w:val="001E3590"/>
    <w:rsid w:val="001E3C85"/>
    <w:rsid w:val="001E7407"/>
    <w:rsid w:val="00200122"/>
    <w:rsid w:val="002031CA"/>
    <w:rsid w:val="00204689"/>
    <w:rsid w:val="00210406"/>
    <w:rsid w:val="002350B2"/>
    <w:rsid w:val="002372DA"/>
    <w:rsid w:val="00253D1B"/>
    <w:rsid w:val="00254725"/>
    <w:rsid w:val="00291597"/>
    <w:rsid w:val="00293236"/>
    <w:rsid w:val="00295FBA"/>
    <w:rsid w:val="002970D7"/>
    <w:rsid w:val="00297ECB"/>
    <w:rsid w:val="002A365D"/>
    <w:rsid w:val="002A3D9D"/>
    <w:rsid w:val="002B2A35"/>
    <w:rsid w:val="002B5B89"/>
    <w:rsid w:val="002D043A"/>
    <w:rsid w:val="002D2E71"/>
    <w:rsid w:val="002D555D"/>
    <w:rsid w:val="002D6B71"/>
    <w:rsid w:val="002E2B20"/>
    <w:rsid w:val="002E31BC"/>
    <w:rsid w:val="00320808"/>
    <w:rsid w:val="00323554"/>
    <w:rsid w:val="00333E91"/>
    <w:rsid w:val="00352B0F"/>
    <w:rsid w:val="00354CBA"/>
    <w:rsid w:val="00360E23"/>
    <w:rsid w:val="00360FB0"/>
    <w:rsid w:val="003940AE"/>
    <w:rsid w:val="0039733A"/>
    <w:rsid w:val="003B5735"/>
    <w:rsid w:val="003C1D60"/>
    <w:rsid w:val="003C3929"/>
    <w:rsid w:val="003D0BFE"/>
    <w:rsid w:val="003D0DC6"/>
    <w:rsid w:val="003D2CBA"/>
    <w:rsid w:val="003D5700"/>
    <w:rsid w:val="003F44A5"/>
    <w:rsid w:val="0040098E"/>
    <w:rsid w:val="004116CD"/>
    <w:rsid w:val="00416364"/>
    <w:rsid w:val="00416DD9"/>
    <w:rsid w:val="00421733"/>
    <w:rsid w:val="00424CA9"/>
    <w:rsid w:val="00426773"/>
    <w:rsid w:val="0044291A"/>
    <w:rsid w:val="00451073"/>
    <w:rsid w:val="00462912"/>
    <w:rsid w:val="00463F0C"/>
    <w:rsid w:val="004653F8"/>
    <w:rsid w:val="00473C1C"/>
    <w:rsid w:val="004817B2"/>
    <w:rsid w:val="00492E8D"/>
    <w:rsid w:val="00496F97"/>
    <w:rsid w:val="0049771C"/>
    <w:rsid w:val="00497D01"/>
    <w:rsid w:val="004A3129"/>
    <w:rsid w:val="004C478A"/>
    <w:rsid w:val="004D73B2"/>
    <w:rsid w:val="004E20F6"/>
    <w:rsid w:val="004F0C63"/>
    <w:rsid w:val="00503A3A"/>
    <w:rsid w:val="00511C0A"/>
    <w:rsid w:val="00516B8D"/>
    <w:rsid w:val="005379F7"/>
    <w:rsid w:val="00537FBC"/>
    <w:rsid w:val="00540DFB"/>
    <w:rsid w:val="00544A13"/>
    <w:rsid w:val="005840C5"/>
    <w:rsid w:val="00584811"/>
    <w:rsid w:val="00594161"/>
    <w:rsid w:val="00594749"/>
    <w:rsid w:val="005B302B"/>
    <w:rsid w:val="005B40C1"/>
    <w:rsid w:val="005C1073"/>
    <w:rsid w:val="005C2B06"/>
    <w:rsid w:val="005C4F7A"/>
    <w:rsid w:val="005E0411"/>
    <w:rsid w:val="005F26F5"/>
    <w:rsid w:val="00600219"/>
    <w:rsid w:val="006027AD"/>
    <w:rsid w:val="006207A3"/>
    <w:rsid w:val="00626708"/>
    <w:rsid w:val="0063546C"/>
    <w:rsid w:val="00640672"/>
    <w:rsid w:val="006429D9"/>
    <w:rsid w:val="00665197"/>
    <w:rsid w:val="00677CC2"/>
    <w:rsid w:val="00680F77"/>
    <w:rsid w:val="00683E6E"/>
    <w:rsid w:val="0069207B"/>
    <w:rsid w:val="006920AD"/>
    <w:rsid w:val="00695C9B"/>
    <w:rsid w:val="00697957"/>
    <w:rsid w:val="006A715E"/>
    <w:rsid w:val="006C7F8C"/>
    <w:rsid w:val="006D4AA8"/>
    <w:rsid w:val="006E72B5"/>
    <w:rsid w:val="0070163F"/>
    <w:rsid w:val="00702A1F"/>
    <w:rsid w:val="00720082"/>
    <w:rsid w:val="00725844"/>
    <w:rsid w:val="007276BC"/>
    <w:rsid w:val="00731E00"/>
    <w:rsid w:val="00732C3E"/>
    <w:rsid w:val="00733990"/>
    <w:rsid w:val="00740C0C"/>
    <w:rsid w:val="00740D5E"/>
    <w:rsid w:val="00761ECA"/>
    <w:rsid w:val="00767B0A"/>
    <w:rsid w:val="007715C9"/>
    <w:rsid w:val="0077487D"/>
    <w:rsid w:val="00774EDD"/>
    <w:rsid w:val="007757EC"/>
    <w:rsid w:val="00791CDB"/>
    <w:rsid w:val="007A2149"/>
    <w:rsid w:val="007A5792"/>
    <w:rsid w:val="007B008D"/>
    <w:rsid w:val="007C6977"/>
    <w:rsid w:val="007C699A"/>
    <w:rsid w:val="007E30A9"/>
    <w:rsid w:val="007E40D6"/>
    <w:rsid w:val="007E5B87"/>
    <w:rsid w:val="007F2340"/>
    <w:rsid w:val="007F439F"/>
    <w:rsid w:val="008347F4"/>
    <w:rsid w:val="00847919"/>
    <w:rsid w:val="0085306E"/>
    <w:rsid w:val="00856A31"/>
    <w:rsid w:val="008754D0"/>
    <w:rsid w:val="008934CD"/>
    <w:rsid w:val="008A21E9"/>
    <w:rsid w:val="008C3293"/>
    <w:rsid w:val="008D38C7"/>
    <w:rsid w:val="008D6AA8"/>
    <w:rsid w:val="008E3B8C"/>
    <w:rsid w:val="009013D4"/>
    <w:rsid w:val="00902CEF"/>
    <w:rsid w:val="00906250"/>
    <w:rsid w:val="00925D76"/>
    <w:rsid w:val="0094622F"/>
    <w:rsid w:val="00951DBC"/>
    <w:rsid w:val="009670F6"/>
    <w:rsid w:val="009679B5"/>
    <w:rsid w:val="00983445"/>
    <w:rsid w:val="009A630A"/>
    <w:rsid w:val="009B5E9C"/>
    <w:rsid w:val="009D1EEC"/>
    <w:rsid w:val="009E4FC9"/>
    <w:rsid w:val="009F06DD"/>
    <w:rsid w:val="009F39CC"/>
    <w:rsid w:val="00A0773E"/>
    <w:rsid w:val="00A10A61"/>
    <w:rsid w:val="00A231E2"/>
    <w:rsid w:val="00A267D1"/>
    <w:rsid w:val="00A33497"/>
    <w:rsid w:val="00A34568"/>
    <w:rsid w:val="00A5189F"/>
    <w:rsid w:val="00A61ECC"/>
    <w:rsid w:val="00A64912"/>
    <w:rsid w:val="00A70A74"/>
    <w:rsid w:val="00A753F4"/>
    <w:rsid w:val="00AA23D2"/>
    <w:rsid w:val="00AA4EBE"/>
    <w:rsid w:val="00AA5F38"/>
    <w:rsid w:val="00AB0D15"/>
    <w:rsid w:val="00AB2A75"/>
    <w:rsid w:val="00AC2B8B"/>
    <w:rsid w:val="00AC78A9"/>
    <w:rsid w:val="00AD36E3"/>
    <w:rsid w:val="00AD3DC9"/>
    <w:rsid w:val="00AD5641"/>
    <w:rsid w:val="00AE0C4D"/>
    <w:rsid w:val="00AE2B38"/>
    <w:rsid w:val="00AF3558"/>
    <w:rsid w:val="00B10C50"/>
    <w:rsid w:val="00B1165A"/>
    <w:rsid w:val="00B1725B"/>
    <w:rsid w:val="00B17D2F"/>
    <w:rsid w:val="00B33432"/>
    <w:rsid w:val="00B33B3C"/>
    <w:rsid w:val="00B41341"/>
    <w:rsid w:val="00B4327C"/>
    <w:rsid w:val="00B53FBA"/>
    <w:rsid w:val="00B60EEA"/>
    <w:rsid w:val="00B6432C"/>
    <w:rsid w:val="00B65DAC"/>
    <w:rsid w:val="00B66DF0"/>
    <w:rsid w:val="00B86B00"/>
    <w:rsid w:val="00B951C2"/>
    <w:rsid w:val="00BB300C"/>
    <w:rsid w:val="00BD6E8F"/>
    <w:rsid w:val="00BE719A"/>
    <w:rsid w:val="00BE720A"/>
    <w:rsid w:val="00BF71CE"/>
    <w:rsid w:val="00C07B70"/>
    <w:rsid w:val="00C169CD"/>
    <w:rsid w:val="00C2778B"/>
    <w:rsid w:val="00C31B68"/>
    <w:rsid w:val="00C42BF8"/>
    <w:rsid w:val="00C45E2A"/>
    <w:rsid w:val="00C50043"/>
    <w:rsid w:val="00C53EE2"/>
    <w:rsid w:val="00C61CDD"/>
    <w:rsid w:val="00C7573B"/>
    <w:rsid w:val="00C852CC"/>
    <w:rsid w:val="00C920D6"/>
    <w:rsid w:val="00C92F53"/>
    <w:rsid w:val="00C931CB"/>
    <w:rsid w:val="00CA53EF"/>
    <w:rsid w:val="00CC2B69"/>
    <w:rsid w:val="00CD6EE8"/>
    <w:rsid w:val="00CF0BB2"/>
    <w:rsid w:val="00D018CE"/>
    <w:rsid w:val="00D02212"/>
    <w:rsid w:val="00D06858"/>
    <w:rsid w:val="00D076DA"/>
    <w:rsid w:val="00D13441"/>
    <w:rsid w:val="00D249EF"/>
    <w:rsid w:val="00D252A2"/>
    <w:rsid w:val="00D32B5A"/>
    <w:rsid w:val="00D34B35"/>
    <w:rsid w:val="00D3526F"/>
    <w:rsid w:val="00D45CA8"/>
    <w:rsid w:val="00D66AB6"/>
    <w:rsid w:val="00D70DFB"/>
    <w:rsid w:val="00D766DF"/>
    <w:rsid w:val="00D81D88"/>
    <w:rsid w:val="00D9556F"/>
    <w:rsid w:val="00DA0983"/>
    <w:rsid w:val="00DA1663"/>
    <w:rsid w:val="00DA3F33"/>
    <w:rsid w:val="00DB7B7D"/>
    <w:rsid w:val="00DC35C8"/>
    <w:rsid w:val="00DD1943"/>
    <w:rsid w:val="00DD4CF5"/>
    <w:rsid w:val="00DE40B9"/>
    <w:rsid w:val="00DF038C"/>
    <w:rsid w:val="00DF12A3"/>
    <w:rsid w:val="00DF1F28"/>
    <w:rsid w:val="00DF3CBA"/>
    <w:rsid w:val="00DF3F6B"/>
    <w:rsid w:val="00E01145"/>
    <w:rsid w:val="00E13FC1"/>
    <w:rsid w:val="00E2143E"/>
    <w:rsid w:val="00E244F8"/>
    <w:rsid w:val="00E30457"/>
    <w:rsid w:val="00E429ED"/>
    <w:rsid w:val="00E66E83"/>
    <w:rsid w:val="00E73342"/>
    <w:rsid w:val="00E73B54"/>
    <w:rsid w:val="00E74DC7"/>
    <w:rsid w:val="00E7748D"/>
    <w:rsid w:val="00E82A7A"/>
    <w:rsid w:val="00E83586"/>
    <w:rsid w:val="00E8507E"/>
    <w:rsid w:val="00EB5FCE"/>
    <w:rsid w:val="00EF0451"/>
    <w:rsid w:val="00EF2795"/>
    <w:rsid w:val="00EF2E3A"/>
    <w:rsid w:val="00EF2F74"/>
    <w:rsid w:val="00F04811"/>
    <w:rsid w:val="00F078DC"/>
    <w:rsid w:val="00F1638E"/>
    <w:rsid w:val="00F2159A"/>
    <w:rsid w:val="00F23E5F"/>
    <w:rsid w:val="00F247A3"/>
    <w:rsid w:val="00F45878"/>
    <w:rsid w:val="00F51269"/>
    <w:rsid w:val="00F6142E"/>
    <w:rsid w:val="00F647CB"/>
    <w:rsid w:val="00F65CB8"/>
    <w:rsid w:val="00F714D6"/>
    <w:rsid w:val="00F73EDF"/>
    <w:rsid w:val="00F7465C"/>
    <w:rsid w:val="00F8280F"/>
    <w:rsid w:val="00F937EB"/>
    <w:rsid w:val="00F94484"/>
    <w:rsid w:val="00F95A68"/>
    <w:rsid w:val="00F96E79"/>
    <w:rsid w:val="00FA70B0"/>
    <w:rsid w:val="00FE27AB"/>
    <w:rsid w:val="00FE380F"/>
    <w:rsid w:val="00FF5AA1"/>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AA71DD3"/>
  <w15:docId w15:val="{EAAC5F8A-8FC3-49D2-84D6-EC5EBD0E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7D2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7D2F"/>
  </w:style>
  <w:style w:type="paragraph" w:customStyle="1" w:styleId="OPCParaBase">
    <w:name w:val="OPCParaBase"/>
    <w:qFormat/>
    <w:rsid w:val="00B17D2F"/>
    <w:pPr>
      <w:spacing w:line="260" w:lineRule="atLeast"/>
    </w:pPr>
    <w:rPr>
      <w:rFonts w:eastAsia="Times New Roman" w:cs="Times New Roman"/>
      <w:sz w:val="22"/>
      <w:lang w:eastAsia="en-AU"/>
    </w:rPr>
  </w:style>
  <w:style w:type="paragraph" w:customStyle="1" w:styleId="ShortT">
    <w:name w:val="ShortT"/>
    <w:basedOn w:val="OPCParaBase"/>
    <w:next w:val="Normal"/>
    <w:qFormat/>
    <w:rsid w:val="00B17D2F"/>
    <w:pPr>
      <w:spacing w:line="240" w:lineRule="auto"/>
    </w:pPr>
    <w:rPr>
      <w:b/>
      <w:sz w:val="40"/>
    </w:rPr>
  </w:style>
  <w:style w:type="paragraph" w:customStyle="1" w:styleId="ActHead1">
    <w:name w:val="ActHead 1"/>
    <w:aliases w:val="c"/>
    <w:basedOn w:val="OPCParaBase"/>
    <w:next w:val="Normal"/>
    <w:qFormat/>
    <w:rsid w:val="00B17D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7D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7D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7D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17D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7D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7D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7D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7D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7D2F"/>
  </w:style>
  <w:style w:type="paragraph" w:customStyle="1" w:styleId="Blocks">
    <w:name w:val="Blocks"/>
    <w:aliases w:val="bb"/>
    <w:basedOn w:val="OPCParaBase"/>
    <w:qFormat/>
    <w:rsid w:val="00B17D2F"/>
    <w:pPr>
      <w:spacing w:line="240" w:lineRule="auto"/>
    </w:pPr>
    <w:rPr>
      <w:sz w:val="24"/>
    </w:rPr>
  </w:style>
  <w:style w:type="paragraph" w:customStyle="1" w:styleId="BoxText">
    <w:name w:val="BoxText"/>
    <w:aliases w:val="bt"/>
    <w:basedOn w:val="OPCParaBase"/>
    <w:rsid w:val="00B17D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7D2F"/>
    <w:rPr>
      <w:b/>
    </w:rPr>
  </w:style>
  <w:style w:type="paragraph" w:customStyle="1" w:styleId="BoxHeadItalic">
    <w:name w:val="BoxHeadItalic"/>
    <w:aliases w:val="bhi"/>
    <w:basedOn w:val="BoxText"/>
    <w:next w:val="Normal"/>
    <w:qFormat/>
    <w:rsid w:val="00B17D2F"/>
    <w:rPr>
      <w:i/>
    </w:rPr>
  </w:style>
  <w:style w:type="paragraph" w:customStyle="1" w:styleId="BoxList">
    <w:name w:val="BoxList"/>
    <w:aliases w:val="bl"/>
    <w:basedOn w:val="BoxText"/>
    <w:qFormat/>
    <w:rsid w:val="00B17D2F"/>
    <w:pPr>
      <w:ind w:left="1559" w:hanging="425"/>
    </w:pPr>
  </w:style>
  <w:style w:type="paragraph" w:customStyle="1" w:styleId="BoxNote">
    <w:name w:val="BoxNote"/>
    <w:aliases w:val="bn"/>
    <w:basedOn w:val="BoxText"/>
    <w:qFormat/>
    <w:rsid w:val="00B17D2F"/>
    <w:pPr>
      <w:tabs>
        <w:tab w:val="left" w:pos="1985"/>
      </w:tabs>
      <w:spacing w:before="122" w:line="198" w:lineRule="exact"/>
      <w:ind w:left="2948" w:hanging="1814"/>
    </w:pPr>
    <w:rPr>
      <w:sz w:val="18"/>
    </w:rPr>
  </w:style>
  <w:style w:type="paragraph" w:customStyle="1" w:styleId="BoxPara">
    <w:name w:val="BoxPara"/>
    <w:aliases w:val="bp"/>
    <w:basedOn w:val="BoxText"/>
    <w:qFormat/>
    <w:rsid w:val="00B17D2F"/>
    <w:pPr>
      <w:tabs>
        <w:tab w:val="right" w:pos="2268"/>
      </w:tabs>
      <w:ind w:left="2552" w:hanging="1418"/>
    </w:pPr>
  </w:style>
  <w:style w:type="paragraph" w:customStyle="1" w:styleId="BoxStep">
    <w:name w:val="BoxStep"/>
    <w:aliases w:val="bs"/>
    <w:basedOn w:val="BoxText"/>
    <w:qFormat/>
    <w:rsid w:val="00B17D2F"/>
    <w:pPr>
      <w:ind w:left="1985" w:hanging="851"/>
    </w:pPr>
  </w:style>
  <w:style w:type="character" w:customStyle="1" w:styleId="CharAmPartNo">
    <w:name w:val="CharAmPartNo"/>
    <w:basedOn w:val="OPCCharBase"/>
    <w:uiPriority w:val="1"/>
    <w:qFormat/>
    <w:rsid w:val="00B17D2F"/>
  </w:style>
  <w:style w:type="character" w:customStyle="1" w:styleId="CharAmPartText">
    <w:name w:val="CharAmPartText"/>
    <w:basedOn w:val="OPCCharBase"/>
    <w:uiPriority w:val="1"/>
    <w:qFormat/>
    <w:rsid w:val="00B17D2F"/>
  </w:style>
  <w:style w:type="character" w:customStyle="1" w:styleId="CharAmSchNo">
    <w:name w:val="CharAmSchNo"/>
    <w:basedOn w:val="OPCCharBase"/>
    <w:uiPriority w:val="1"/>
    <w:qFormat/>
    <w:rsid w:val="00B17D2F"/>
  </w:style>
  <w:style w:type="character" w:customStyle="1" w:styleId="CharAmSchText">
    <w:name w:val="CharAmSchText"/>
    <w:basedOn w:val="OPCCharBase"/>
    <w:uiPriority w:val="1"/>
    <w:qFormat/>
    <w:rsid w:val="00B17D2F"/>
  </w:style>
  <w:style w:type="character" w:customStyle="1" w:styleId="CharBoldItalic">
    <w:name w:val="CharBoldItalic"/>
    <w:basedOn w:val="OPCCharBase"/>
    <w:uiPriority w:val="1"/>
    <w:qFormat/>
    <w:rsid w:val="00B17D2F"/>
    <w:rPr>
      <w:b/>
      <w:i/>
    </w:rPr>
  </w:style>
  <w:style w:type="character" w:customStyle="1" w:styleId="CharChapNo">
    <w:name w:val="CharChapNo"/>
    <w:basedOn w:val="OPCCharBase"/>
    <w:uiPriority w:val="1"/>
    <w:qFormat/>
    <w:rsid w:val="00B17D2F"/>
  </w:style>
  <w:style w:type="character" w:customStyle="1" w:styleId="CharChapText">
    <w:name w:val="CharChapText"/>
    <w:basedOn w:val="OPCCharBase"/>
    <w:uiPriority w:val="1"/>
    <w:qFormat/>
    <w:rsid w:val="00B17D2F"/>
  </w:style>
  <w:style w:type="character" w:customStyle="1" w:styleId="CharDivNo">
    <w:name w:val="CharDivNo"/>
    <w:basedOn w:val="OPCCharBase"/>
    <w:uiPriority w:val="1"/>
    <w:qFormat/>
    <w:rsid w:val="00B17D2F"/>
  </w:style>
  <w:style w:type="character" w:customStyle="1" w:styleId="CharDivText">
    <w:name w:val="CharDivText"/>
    <w:basedOn w:val="OPCCharBase"/>
    <w:uiPriority w:val="1"/>
    <w:qFormat/>
    <w:rsid w:val="00B17D2F"/>
  </w:style>
  <w:style w:type="character" w:customStyle="1" w:styleId="CharItalic">
    <w:name w:val="CharItalic"/>
    <w:basedOn w:val="OPCCharBase"/>
    <w:uiPriority w:val="1"/>
    <w:qFormat/>
    <w:rsid w:val="00B17D2F"/>
    <w:rPr>
      <w:i/>
    </w:rPr>
  </w:style>
  <w:style w:type="character" w:customStyle="1" w:styleId="CharPartNo">
    <w:name w:val="CharPartNo"/>
    <w:basedOn w:val="OPCCharBase"/>
    <w:uiPriority w:val="1"/>
    <w:qFormat/>
    <w:rsid w:val="00B17D2F"/>
  </w:style>
  <w:style w:type="character" w:customStyle="1" w:styleId="CharPartText">
    <w:name w:val="CharPartText"/>
    <w:basedOn w:val="OPCCharBase"/>
    <w:uiPriority w:val="1"/>
    <w:qFormat/>
    <w:rsid w:val="00B17D2F"/>
  </w:style>
  <w:style w:type="character" w:customStyle="1" w:styleId="CharSectno">
    <w:name w:val="CharSectno"/>
    <w:basedOn w:val="OPCCharBase"/>
    <w:uiPriority w:val="1"/>
    <w:qFormat/>
    <w:rsid w:val="00B17D2F"/>
  </w:style>
  <w:style w:type="character" w:customStyle="1" w:styleId="CharSubdNo">
    <w:name w:val="CharSubdNo"/>
    <w:basedOn w:val="OPCCharBase"/>
    <w:uiPriority w:val="1"/>
    <w:qFormat/>
    <w:rsid w:val="00B17D2F"/>
  </w:style>
  <w:style w:type="character" w:customStyle="1" w:styleId="CharSubdText">
    <w:name w:val="CharSubdText"/>
    <w:basedOn w:val="OPCCharBase"/>
    <w:uiPriority w:val="1"/>
    <w:qFormat/>
    <w:rsid w:val="00B17D2F"/>
  </w:style>
  <w:style w:type="paragraph" w:customStyle="1" w:styleId="CTA--">
    <w:name w:val="CTA --"/>
    <w:basedOn w:val="OPCParaBase"/>
    <w:next w:val="Normal"/>
    <w:rsid w:val="00B17D2F"/>
    <w:pPr>
      <w:spacing w:before="60" w:line="240" w:lineRule="atLeast"/>
      <w:ind w:left="142" w:hanging="142"/>
    </w:pPr>
    <w:rPr>
      <w:sz w:val="20"/>
    </w:rPr>
  </w:style>
  <w:style w:type="paragraph" w:customStyle="1" w:styleId="CTA-">
    <w:name w:val="CTA -"/>
    <w:basedOn w:val="OPCParaBase"/>
    <w:rsid w:val="00B17D2F"/>
    <w:pPr>
      <w:spacing w:before="60" w:line="240" w:lineRule="atLeast"/>
      <w:ind w:left="85" w:hanging="85"/>
    </w:pPr>
    <w:rPr>
      <w:sz w:val="20"/>
    </w:rPr>
  </w:style>
  <w:style w:type="paragraph" w:customStyle="1" w:styleId="CTA---">
    <w:name w:val="CTA ---"/>
    <w:basedOn w:val="OPCParaBase"/>
    <w:next w:val="Normal"/>
    <w:rsid w:val="00B17D2F"/>
    <w:pPr>
      <w:spacing w:before="60" w:line="240" w:lineRule="atLeast"/>
      <w:ind w:left="198" w:hanging="198"/>
    </w:pPr>
    <w:rPr>
      <w:sz w:val="20"/>
    </w:rPr>
  </w:style>
  <w:style w:type="paragraph" w:customStyle="1" w:styleId="CTA----">
    <w:name w:val="CTA ----"/>
    <w:basedOn w:val="OPCParaBase"/>
    <w:next w:val="Normal"/>
    <w:rsid w:val="00B17D2F"/>
    <w:pPr>
      <w:spacing w:before="60" w:line="240" w:lineRule="atLeast"/>
      <w:ind w:left="255" w:hanging="255"/>
    </w:pPr>
    <w:rPr>
      <w:sz w:val="20"/>
    </w:rPr>
  </w:style>
  <w:style w:type="paragraph" w:customStyle="1" w:styleId="CTA1a">
    <w:name w:val="CTA 1(a)"/>
    <w:basedOn w:val="OPCParaBase"/>
    <w:rsid w:val="00B17D2F"/>
    <w:pPr>
      <w:tabs>
        <w:tab w:val="right" w:pos="414"/>
      </w:tabs>
      <w:spacing w:before="40" w:line="240" w:lineRule="atLeast"/>
      <w:ind w:left="675" w:hanging="675"/>
    </w:pPr>
    <w:rPr>
      <w:sz w:val="20"/>
    </w:rPr>
  </w:style>
  <w:style w:type="paragraph" w:customStyle="1" w:styleId="CTA1ai">
    <w:name w:val="CTA 1(a)(i)"/>
    <w:basedOn w:val="OPCParaBase"/>
    <w:rsid w:val="00B17D2F"/>
    <w:pPr>
      <w:tabs>
        <w:tab w:val="right" w:pos="1004"/>
      </w:tabs>
      <w:spacing w:before="40" w:line="240" w:lineRule="atLeast"/>
      <w:ind w:left="1253" w:hanging="1253"/>
    </w:pPr>
    <w:rPr>
      <w:sz w:val="20"/>
    </w:rPr>
  </w:style>
  <w:style w:type="paragraph" w:customStyle="1" w:styleId="CTA2a">
    <w:name w:val="CTA 2(a)"/>
    <w:basedOn w:val="OPCParaBase"/>
    <w:rsid w:val="00B17D2F"/>
    <w:pPr>
      <w:tabs>
        <w:tab w:val="right" w:pos="482"/>
      </w:tabs>
      <w:spacing w:before="40" w:line="240" w:lineRule="atLeast"/>
      <w:ind w:left="748" w:hanging="748"/>
    </w:pPr>
    <w:rPr>
      <w:sz w:val="20"/>
    </w:rPr>
  </w:style>
  <w:style w:type="paragraph" w:customStyle="1" w:styleId="CTA2ai">
    <w:name w:val="CTA 2(a)(i)"/>
    <w:basedOn w:val="OPCParaBase"/>
    <w:rsid w:val="00B17D2F"/>
    <w:pPr>
      <w:tabs>
        <w:tab w:val="right" w:pos="1089"/>
      </w:tabs>
      <w:spacing w:before="40" w:line="240" w:lineRule="atLeast"/>
      <w:ind w:left="1327" w:hanging="1327"/>
    </w:pPr>
    <w:rPr>
      <w:sz w:val="20"/>
    </w:rPr>
  </w:style>
  <w:style w:type="paragraph" w:customStyle="1" w:styleId="CTA3a">
    <w:name w:val="CTA 3(a)"/>
    <w:basedOn w:val="OPCParaBase"/>
    <w:rsid w:val="00B17D2F"/>
    <w:pPr>
      <w:tabs>
        <w:tab w:val="right" w:pos="556"/>
      </w:tabs>
      <w:spacing w:before="40" w:line="240" w:lineRule="atLeast"/>
      <w:ind w:left="805" w:hanging="805"/>
    </w:pPr>
    <w:rPr>
      <w:sz w:val="20"/>
    </w:rPr>
  </w:style>
  <w:style w:type="paragraph" w:customStyle="1" w:styleId="CTA3ai">
    <w:name w:val="CTA 3(a)(i)"/>
    <w:basedOn w:val="OPCParaBase"/>
    <w:rsid w:val="00B17D2F"/>
    <w:pPr>
      <w:tabs>
        <w:tab w:val="right" w:pos="1140"/>
      </w:tabs>
      <w:spacing w:before="40" w:line="240" w:lineRule="atLeast"/>
      <w:ind w:left="1361" w:hanging="1361"/>
    </w:pPr>
    <w:rPr>
      <w:sz w:val="20"/>
    </w:rPr>
  </w:style>
  <w:style w:type="paragraph" w:customStyle="1" w:styleId="CTA4a">
    <w:name w:val="CTA 4(a)"/>
    <w:basedOn w:val="OPCParaBase"/>
    <w:rsid w:val="00B17D2F"/>
    <w:pPr>
      <w:tabs>
        <w:tab w:val="right" w:pos="624"/>
      </w:tabs>
      <w:spacing w:before="40" w:line="240" w:lineRule="atLeast"/>
      <w:ind w:left="873" w:hanging="873"/>
    </w:pPr>
    <w:rPr>
      <w:sz w:val="20"/>
    </w:rPr>
  </w:style>
  <w:style w:type="paragraph" w:customStyle="1" w:styleId="CTA4ai">
    <w:name w:val="CTA 4(a)(i)"/>
    <w:basedOn w:val="OPCParaBase"/>
    <w:rsid w:val="00B17D2F"/>
    <w:pPr>
      <w:tabs>
        <w:tab w:val="right" w:pos="1213"/>
      </w:tabs>
      <w:spacing w:before="40" w:line="240" w:lineRule="atLeast"/>
      <w:ind w:left="1452" w:hanging="1452"/>
    </w:pPr>
    <w:rPr>
      <w:sz w:val="20"/>
    </w:rPr>
  </w:style>
  <w:style w:type="paragraph" w:customStyle="1" w:styleId="CTACAPS">
    <w:name w:val="CTA CAPS"/>
    <w:basedOn w:val="OPCParaBase"/>
    <w:rsid w:val="00B17D2F"/>
    <w:pPr>
      <w:spacing w:before="60" w:line="240" w:lineRule="atLeast"/>
    </w:pPr>
    <w:rPr>
      <w:sz w:val="20"/>
    </w:rPr>
  </w:style>
  <w:style w:type="paragraph" w:customStyle="1" w:styleId="CTAright">
    <w:name w:val="CTA right"/>
    <w:basedOn w:val="OPCParaBase"/>
    <w:rsid w:val="00B17D2F"/>
    <w:pPr>
      <w:spacing w:before="60" w:line="240" w:lineRule="auto"/>
      <w:jc w:val="right"/>
    </w:pPr>
    <w:rPr>
      <w:sz w:val="20"/>
    </w:rPr>
  </w:style>
  <w:style w:type="paragraph" w:customStyle="1" w:styleId="subsection">
    <w:name w:val="subsection"/>
    <w:aliases w:val="ss"/>
    <w:basedOn w:val="OPCParaBase"/>
    <w:rsid w:val="00B17D2F"/>
    <w:pPr>
      <w:tabs>
        <w:tab w:val="right" w:pos="1021"/>
      </w:tabs>
      <w:spacing w:before="180" w:line="240" w:lineRule="auto"/>
      <w:ind w:left="1134" w:hanging="1134"/>
    </w:pPr>
  </w:style>
  <w:style w:type="paragraph" w:customStyle="1" w:styleId="Definition">
    <w:name w:val="Definition"/>
    <w:aliases w:val="dd"/>
    <w:basedOn w:val="OPCParaBase"/>
    <w:rsid w:val="00B17D2F"/>
    <w:pPr>
      <w:spacing w:before="180" w:line="240" w:lineRule="auto"/>
      <w:ind w:left="1134"/>
    </w:pPr>
  </w:style>
  <w:style w:type="paragraph" w:customStyle="1" w:styleId="ETAsubitem">
    <w:name w:val="ETA(subitem)"/>
    <w:basedOn w:val="OPCParaBase"/>
    <w:rsid w:val="00B17D2F"/>
    <w:pPr>
      <w:tabs>
        <w:tab w:val="right" w:pos="340"/>
      </w:tabs>
      <w:spacing w:before="60" w:line="240" w:lineRule="auto"/>
      <w:ind w:left="454" w:hanging="454"/>
    </w:pPr>
    <w:rPr>
      <w:sz w:val="20"/>
    </w:rPr>
  </w:style>
  <w:style w:type="paragraph" w:customStyle="1" w:styleId="ETApara">
    <w:name w:val="ETA(para)"/>
    <w:basedOn w:val="OPCParaBase"/>
    <w:rsid w:val="00B17D2F"/>
    <w:pPr>
      <w:tabs>
        <w:tab w:val="right" w:pos="754"/>
      </w:tabs>
      <w:spacing w:before="60" w:line="240" w:lineRule="auto"/>
      <w:ind w:left="828" w:hanging="828"/>
    </w:pPr>
    <w:rPr>
      <w:sz w:val="20"/>
    </w:rPr>
  </w:style>
  <w:style w:type="paragraph" w:customStyle="1" w:styleId="ETAsubpara">
    <w:name w:val="ETA(subpara)"/>
    <w:basedOn w:val="OPCParaBase"/>
    <w:rsid w:val="00B17D2F"/>
    <w:pPr>
      <w:tabs>
        <w:tab w:val="right" w:pos="1083"/>
      </w:tabs>
      <w:spacing w:before="60" w:line="240" w:lineRule="auto"/>
      <w:ind w:left="1191" w:hanging="1191"/>
    </w:pPr>
    <w:rPr>
      <w:sz w:val="20"/>
    </w:rPr>
  </w:style>
  <w:style w:type="paragraph" w:customStyle="1" w:styleId="ETAsub-subpara">
    <w:name w:val="ETA(sub-subpara)"/>
    <w:basedOn w:val="OPCParaBase"/>
    <w:rsid w:val="00B17D2F"/>
    <w:pPr>
      <w:tabs>
        <w:tab w:val="right" w:pos="1412"/>
      </w:tabs>
      <w:spacing w:before="60" w:line="240" w:lineRule="auto"/>
      <w:ind w:left="1525" w:hanging="1525"/>
    </w:pPr>
    <w:rPr>
      <w:sz w:val="20"/>
    </w:rPr>
  </w:style>
  <w:style w:type="paragraph" w:customStyle="1" w:styleId="Formula">
    <w:name w:val="Formula"/>
    <w:basedOn w:val="OPCParaBase"/>
    <w:rsid w:val="00B17D2F"/>
    <w:pPr>
      <w:spacing w:line="240" w:lineRule="auto"/>
      <w:ind w:left="1134"/>
    </w:pPr>
    <w:rPr>
      <w:sz w:val="20"/>
    </w:rPr>
  </w:style>
  <w:style w:type="paragraph" w:styleId="Header">
    <w:name w:val="header"/>
    <w:basedOn w:val="OPCParaBase"/>
    <w:link w:val="HeaderChar"/>
    <w:unhideWhenUsed/>
    <w:rsid w:val="00B17D2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7D2F"/>
    <w:rPr>
      <w:rFonts w:eastAsia="Times New Roman" w:cs="Times New Roman"/>
      <w:sz w:val="16"/>
      <w:lang w:eastAsia="en-AU"/>
    </w:rPr>
  </w:style>
  <w:style w:type="paragraph" w:customStyle="1" w:styleId="House">
    <w:name w:val="House"/>
    <w:basedOn w:val="OPCParaBase"/>
    <w:rsid w:val="00B17D2F"/>
    <w:pPr>
      <w:spacing w:line="240" w:lineRule="auto"/>
    </w:pPr>
    <w:rPr>
      <w:sz w:val="28"/>
    </w:rPr>
  </w:style>
  <w:style w:type="paragraph" w:customStyle="1" w:styleId="Item">
    <w:name w:val="Item"/>
    <w:aliases w:val="i"/>
    <w:basedOn w:val="OPCParaBase"/>
    <w:next w:val="ItemHead"/>
    <w:rsid w:val="00B17D2F"/>
    <w:pPr>
      <w:keepLines/>
      <w:spacing w:before="80" w:line="240" w:lineRule="auto"/>
      <w:ind w:left="709"/>
    </w:pPr>
  </w:style>
  <w:style w:type="paragraph" w:customStyle="1" w:styleId="ItemHead">
    <w:name w:val="ItemHead"/>
    <w:aliases w:val="ih"/>
    <w:basedOn w:val="OPCParaBase"/>
    <w:next w:val="Item"/>
    <w:rsid w:val="00B17D2F"/>
    <w:pPr>
      <w:keepLines/>
      <w:spacing w:before="220" w:line="240" w:lineRule="auto"/>
      <w:ind w:left="709" w:hanging="709"/>
    </w:pPr>
    <w:rPr>
      <w:rFonts w:ascii="Arial" w:hAnsi="Arial"/>
      <w:b/>
      <w:kern w:val="28"/>
      <w:sz w:val="24"/>
    </w:rPr>
  </w:style>
  <w:style w:type="paragraph" w:customStyle="1" w:styleId="LongT">
    <w:name w:val="LongT"/>
    <w:basedOn w:val="OPCParaBase"/>
    <w:rsid w:val="00B17D2F"/>
    <w:pPr>
      <w:spacing w:line="240" w:lineRule="auto"/>
    </w:pPr>
    <w:rPr>
      <w:b/>
      <w:sz w:val="32"/>
    </w:rPr>
  </w:style>
  <w:style w:type="paragraph" w:customStyle="1" w:styleId="notedraft">
    <w:name w:val="note(draft)"/>
    <w:aliases w:val="nd"/>
    <w:basedOn w:val="OPCParaBase"/>
    <w:rsid w:val="00B17D2F"/>
    <w:pPr>
      <w:spacing w:before="240" w:line="240" w:lineRule="auto"/>
      <w:ind w:left="284" w:hanging="284"/>
    </w:pPr>
    <w:rPr>
      <w:i/>
      <w:sz w:val="24"/>
    </w:rPr>
  </w:style>
  <w:style w:type="paragraph" w:customStyle="1" w:styleId="notemargin">
    <w:name w:val="note(margin)"/>
    <w:aliases w:val="nm"/>
    <w:basedOn w:val="OPCParaBase"/>
    <w:rsid w:val="00B17D2F"/>
    <w:pPr>
      <w:tabs>
        <w:tab w:val="left" w:pos="709"/>
      </w:tabs>
      <w:spacing w:before="122" w:line="198" w:lineRule="exact"/>
      <w:ind w:left="709" w:hanging="709"/>
    </w:pPr>
    <w:rPr>
      <w:sz w:val="18"/>
    </w:rPr>
  </w:style>
  <w:style w:type="paragraph" w:customStyle="1" w:styleId="notepara">
    <w:name w:val="note(para)"/>
    <w:aliases w:val="na"/>
    <w:basedOn w:val="OPCParaBase"/>
    <w:rsid w:val="00B17D2F"/>
    <w:pPr>
      <w:spacing w:before="40" w:line="198" w:lineRule="exact"/>
      <w:ind w:left="2354" w:hanging="369"/>
    </w:pPr>
    <w:rPr>
      <w:sz w:val="18"/>
    </w:rPr>
  </w:style>
  <w:style w:type="paragraph" w:customStyle="1" w:styleId="noteParlAmend">
    <w:name w:val="note(ParlAmend)"/>
    <w:aliases w:val="npp"/>
    <w:basedOn w:val="OPCParaBase"/>
    <w:next w:val="ParlAmend"/>
    <w:rsid w:val="00B17D2F"/>
    <w:pPr>
      <w:spacing w:line="240" w:lineRule="auto"/>
      <w:jc w:val="right"/>
    </w:pPr>
    <w:rPr>
      <w:rFonts w:ascii="Arial" w:hAnsi="Arial"/>
      <w:b/>
      <w:i/>
    </w:rPr>
  </w:style>
  <w:style w:type="paragraph" w:customStyle="1" w:styleId="notetext">
    <w:name w:val="note(text)"/>
    <w:aliases w:val="n"/>
    <w:basedOn w:val="OPCParaBase"/>
    <w:rsid w:val="00B17D2F"/>
    <w:pPr>
      <w:spacing w:before="122" w:line="198" w:lineRule="exact"/>
      <w:ind w:left="1985" w:hanging="851"/>
    </w:pPr>
    <w:rPr>
      <w:sz w:val="18"/>
    </w:rPr>
  </w:style>
  <w:style w:type="paragraph" w:customStyle="1" w:styleId="Page1">
    <w:name w:val="Page1"/>
    <w:basedOn w:val="OPCParaBase"/>
    <w:rsid w:val="00B17D2F"/>
    <w:pPr>
      <w:spacing w:before="5600" w:line="240" w:lineRule="auto"/>
    </w:pPr>
    <w:rPr>
      <w:b/>
      <w:sz w:val="32"/>
    </w:rPr>
  </w:style>
  <w:style w:type="paragraph" w:customStyle="1" w:styleId="PageBreak">
    <w:name w:val="PageBreak"/>
    <w:aliases w:val="pb"/>
    <w:basedOn w:val="OPCParaBase"/>
    <w:rsid w:val="00B17D2F"/>
    <w:pPr>
      <w:spacing w:line="240" w:lineRule="auto"/>
    </w:pPr>
    <w:rPr>
      <w:sz w:val="10"/>
    </w:rPr>
  </w:style>
  <w:style w:type="paragraph" w:customStyle="1" w:styleId="paragraphsub">
    <w:name w:val="paragraph(sub)"/>
    <w:aliases w:val="aa"/>
    <w:basedOn w:val="OPCParaBase"/>
    <w:rsid w:val="00B17D2F"/>
    <w:pPr>
      <w:tabs>
        <w:tab w:val="right" w:pos="1985"/>
      </w:tabs>
      <w:spacing w:before="40" w:line="240" w:lineRule="auto"/>
      <w:ind w:left="2098" w:hanging="2098"/>
    </w:pPr>
  </w:style>
  <w:style w:type="paragraph" w:customStyle="1" w:styleId="paragraphsub-sub">
    <w:name w:val="paragraph(sub-sub)"/>
    <w:aliases w:val="aaa"/>
    <w:basedOn w:val="OPCParaBase"/>
    <w:rsid w:val="00B17D2F"/>
    <w:pPr>
      <w:tabs>
        <w:tab w:val="right" w:pos="2722"/>
      </w:tabs>
      <w:spacing w:before="40" w:line="240" w:lineRule="auto"/>
      <w:ind w:left="2835" w:hanging="2835"/>
    </w:pPr>
  </w:style>
  <w:style w:type="paragraph" w:customStyle="1" w:styleId="paragraph">
    <w:name w:val="paragraph"/>
    <w:aliases w:val="a"/>
    <w:basedOn w:val="OPCParaBase"/>
    <w:rsid w:val="00B17D2F"/>
    <w:pPr>
      <w:tabs>
        <w:tab w:val="right" w:pos="1531"/>
      </w:tabs>
      <w:spacing w:before="40" w:line="240" w:lineRule="auto"/>
      <w:ind w:left="1644" w:hanging="1644"/>
    </w:pPr>
  </w:style>
  <w:style w:type="paragraph" w:customStyle="1" w:styleId="ParlAmend">
    <w:name w:val="ParlAmend"/>
    <w:aliases w:val="pp"/>
    <w:basedOn w:val="OPCParaBase"/>
    <w:rsid w:val="00B17D2F"/>
    <w:pPr>
      <w:spacing w:before="240" w:line="240" w:lineRule="atLeast"/>
      <w:ind w:hanging="567"/>
    </w:pPr>
    <w:rPr>
      <w:sz w:val="24"/>
    </w:rPr>
  </w:style>
  <w:style w:type="paragraph" w:customStyle="1" w:styleId="Penalty">
    <w:name w:val="Penalty"/>
    <w:basedOn w:val="OPCParaBase"/>
    <w:rsid w:val="00B17D2F"/>
    <w:pPr>
      <w:tabs>
        <w:tab w:val="left" w:pos="2977"/>
      </w:tabs>
      <w:spacing w:before="180" w:line="240" w:lineRule="auto"/>
      <w:ind w:left="1985" w:hanging="851"/>
    </w:pPr>
  </w:style>
  <w:style w:type="paragraph" w:customStyle="1" w:styleId="Portfolio">
    <w:name w:val="Portfolio"/>
    <w:basedOn w:val="OPCParaBase"/>
    <w:rsid w:val="00B17D2F"/>
    <w:pPr>
      <w:spacing w:line="240" w:lineRule="auto"/>
    </w:pPr>
    <w:rPr>
      <w:i/>
      <w:sz w:val="20"/>
    </w:rPr>
  </w:style>
  <w:style w:type="paragraph" w:customStyle="1" w:styleId="Preamble">
    <w:name w:val="Preamble"/>
    <w:basedOn w:val="OPCParaBase"/>
    <w:next w:val="Normal"/>
    <w:rsid w:val="00B17D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7D2F"/>
    <w:pPr>
      <w:spacing w:line="240" w:lineRule="auto"/>
    </w:pPr>
    <w:rPr>
      <w:i/>
      <w:sz w:val="20"/>
    </w:rPr>
  </w:style>
  <w:style w:type="paragraph" w:customStyle="1" w:styleId="Session">
    <w:name w:val="Session"/>
    <w:basedOn w:val="OPCParaBase"/>
    <w:rsid w:val="00B17D2F"/>
    <w:pPr>
      <w:spacing w:line="240" w:lineRule="auto"/>
    </w:pPr>
    <w:rPr>
      <w:sz w:val="28"/>
    </w:rPr>
  </w:style>
  <w:style w:type="paragraph" w:customStyle="1" w:styleId="Sponsor">
    <w:name w:val="Sponsor"/>
    <w:basedOn w:val="OPCParaBase"/>
    <w:rsid w:val="00B17D2F"/>
    <w:pPr>
      <w:spacing w:line="240" w:lineRule="auto"/>
    </w:pPr>
    <w:rPr>
      <w:i/>
    </w:rPr>
  </w:style>
  <w:style w:type="paragraph" w:customStyle="1" w:styleId="Subitem">
    <w:name w:val="Subitem"/>
    <w:aliases w:val="iss"/>
    <w:basedOn w:val="OPCParaBase"/>
    <w:rsid w:val="00B17D2F"/>
    <w:pPr>
      <w:spacing w:before="180" w:line="240" w:lineRule="auto"/>
      <w:ind w:left="709" w:hanging="709"/>
    </w:pPr>
  </w:style>
  <w:style w:type="paragraph" w:customStyle="1" w:styleId="SubitemHead">
    <w:name w:val="SubitemHead"/>
    <w:aliases w:val="issh"/>
    <w:basedOn w:val="OPCParaBase"/>
    <w:rsid w:val="00B17D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7D2F"/>
    <w:pPr>
      <w:spacing w:before="40" w:line="240" w:lineRule="auto"/>
      <w:ind w:left="1134"/>
    </w:pPr>
  </w:style>
  <w:style w:type="paragraph" w:customStyle="1" w:styleId="SubsectionHead">
    <w:name w:val="SubsectionHead"/>
    <w:aliases w:val="ssh"/>
    <w:basedOn w:val="OPCParaBase"/>
    <w:next w:val="subsection"/>
    <w:rsid w:val="00B17D2F"/>
    <w:pPr>
      <w:keepNext/>
      <w:keepLines/>
      <w:spacing w:before="240" w:line="240" w:lineRule="auto"/>
      <w:ind w:left="1134"/>
    </w:pPr>
    <w:rPr>
      <w:i/>
    </w:rPr>
  </w:style>
  <w:style w:type="paragraph" w:customStyle="1" w:styleId="Tablea">
    <w:name w:val="Table(a)"/>
    <w:aliases w:val="ta"/>
    <w:basedOn w:val="OPCParaBase"/>
    <w:rsid w:val="00B17D2F"/>
    <w:pPr>
      <w:spacing w:before="60" w:line="240" w:lineRule="auto"/>
      <w:ind w:left="284" w:hanging="284"/>
    </w:pPr>
    <w:rPr>
      <w:sz w:val="20"/>
    </w:rPr>
  </w:style>
  <w:style w:type="paragraph" w:customStyle="1" w:styleId="TableAA">
    <w:name w:val="Table(AA)"/>
    <w:aliases w:val="taaa"/>
    <w:basedOn w:val="OPCParaBase"/>
    <w:rsid w:val="00B17D2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7D2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7D2F"/>
    <w:pPr>
      <w:spacing w:before="60" w:line="240" w:lineRule="atLeast"/>
    </w:pPr>
    <w:rPr>
      <w:sz w:val="20"/>
    </w:rPr>
  </w:style>
  <w:style w:type="paragraph" w:customStyle="1" w:styleId="TLPBoxTextnote">
    <w:name w:val="TLPBoxText(note"/>
    <w:aliases w:val="right)"/>
    <w:basedOn w:val="OPCParaBase"/>
    <w:rsid w:val="00B17D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7D2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17D2F"/>
    <w:pPr>
      <w:spacing w:before="122" w:line="198" w:lineRule="exact"/>
      <w:ind w:left="1985" w:hanging="851"/>
      <w:jc w:val="right"/>
    </w:pPr>
    <w:rPr>
      <w:sz w:val="18"/>
    </w:rPr>
  </w:style>
  <w:style w:type="paragraph" w:customStyle="1" w:styleId="TLPTableBullet">
    <w:name w:val="TLPTableBullet"/>
    <w:aliases w:val="ttb"/>
    <w:basedOn w:val="OPCParaBase"/>
    <w:rsid w:val="00B17D2F"/>
    <w:pPr>
      <w:spacing w:line="240" w:lineRule="exact"/>
      <w:ind w:left="284" w:hanging="284"/>
    </w:pPr>
    <w:rPr>
      <w:sz w:val="20"/>
    </w:rPr>
  </w:style>
  <w:style w:type="paragraph" w:styleId="TOC1">
    <w:name w:val="toc 1"/>
    <w:basedOn w:val="OPCParaBase"/>
    <w:next w:val="Normal"/>
    <w:uiPriority w:val="39"/>
    <w:unhideWhenUsed/>
    <w:rsid w:val="00B17D2F"/>
    <w:pPr>
      <w:spacing w:line="240" w:lineRule="auto"/>
    </w:pPr>
    <w:rPr>
      <w:sz w:val="24"/>
    </w:rPr>
  </w:style>
  <w:style w:type="paragraph" w:styleId="TOC2">
    <w:name w:val="toc 2"/>
    <w:basedOn w:val="OPCParaBase"/>
    <w:next w:val="Normal"/>
    <w:uiPriority w:val="39"/>
    <w:unhideWhenUsed/>
    <w:rsid w:val="00B17D2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17D2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17D2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B17D2F"/>
    <w:pPr>
      <w:spacing w:line="240" w:lineRule="auto"/>
      <w:ind w:left="958"/>
    </w:pPr>
    <w:rPr>
      <w:sz w:val="24"/>
    </w:rPr>
  </w:style>
  <w:style w:type="paragraph" w:styleId="TOC6">
    <w:name w:val="toc 6"/>
    <w:basedOn w:val="OPCParaBase"/>
    <w:next w:val="Normal"/>
    <w:uiPriority w:val="39"/>
    <w:semiHidden/>
    <w:unhideWhenUsed/>
    <w:rsid w:val="00B17D2F"/>
    <w:pPr>
      <w:spacing w:line="240" w:lineRule="auto"/>
      <w:ind w:left="1202"/>
    </w:pPr>
    <w:rPr>
      <w:sz w:val="24"/>
    </w:rPr>
  </w:style>
  <w:style w:type="paragraph" w:styleId="TOC7">
    <w:name w:val="toc 7"/>
    <w:basedOn w:val="OPCParaBase"/>
    <w:next w:val="Normal"/>
    <w:uiPriority w:val="39"/>
    <w:semiHidden/>
    <w:unhideWhenUsed/>
    <w:rsid w:val="00B17D2F"/>
    <w:pPr>
      <w:spacing w:line="240" w:lineRule="auto"/>
      <w:ind w:left="1440"/>
    </w:pPr>
    <w:rPr>
      <w:sz w:val="24"/>
    </w:rPr>
  </w:style>
  <w:style w:type="paragraph" w:styleId="TOC8">
    <w:name w:val="toc 8"/>
    <w:basedOn w:val="OPCParaBase"/>
    <w:next w:val="Normal"/>
    <w:uiPriority w:val="39"/>
    <w:semiHidden/>
    <w:unhideWhenUsed/>
    <w:rsid w:val="00B17D2F"/>
    <w:pPr>
      <w:spacing w:line="240" w:lineRule="auto"/>
      <w:ind w:left="1678"/>
    </w:pPr>
    <w:rPr>
      <w:sz w:val="24"/>
    </w:rPr>
  </w:style>
  <w:style w:type="paragraph" w:styleId="TOC9">
    <w:name w:val="toc 9"/>
    <w:basedOn w:val="OPCParaBase"/>
    <w:next w:val="Normal"/>
    <w:uiPriority w:val="39"/>
    <w:unhideWhenUsed/>
    <w:rsid w:val="00B17D2F"/>
    <w:pPr>
      <w:spacing w:line="240" w:lineRule="auto"/>
      <w:ind w:left="1922"/>
    </w:pPr>
    <w:rPr>
      <w:sz w:val="24"/>
    </w:rPr>
  </w:style>
  <w:style w:type="paragraph" w:customStyle="1" w:styleId="TofSectsGroupHeading">
    <w:name w:val="TofSects(GroupHeading)"/>
    <w:basedOn w:val="OPCParaBase"/>
    <w:next w:val="TofSectsSection"/>
    <w:rsid w:val="00B17D2F"/>
    <w:pPr>
      <w:keepLines/>
      <w:spacing w:before="240" w:after="120" w:line="240" w:lineRule="auto"/>
      <w:ind w:left="794"/>
    </w:pPr>
    <w:rPr>
      <w:b/>
      <w:kern w:val="28"/>
      <w:sz w:val="20"/>
    </w:rPr>
  </w:style>
  <w:style w:type="paragraph" w:customStyle="1" w:styleId="TofSectsHeading">
    <w:name w:val="TofSects(Heading)"/>
    <w:basedOn w:val="OPCParaBase"/>
    <w:rsid w:val="00B17D2F"/>
    <w:pPr>
      <w:spacing w:before="240" w:after="120" w:line="240" w:lineRule="auto"/>
    </w:pPr>
    <w:rPr>
      <w:b/>
      <w:sz w:val="24"/>
    </w:rPr>
  </w:style>
  <w:style w:type="paragraph" w:customStyle="1" w:styleId="TofSectsSection">
    <w:name w:val="TofSects(Section)"/>
    <w:basedOn w:val="OPCParaBase"/>
    <w:rsid w:val="00B17D2F"/>
    <w:pPr>
      <w:keepLines/>
      <w:spacing w:before="40" w:line="240" w:lineRule="auto"/>
      <w:ind w:left="1588" w:hanging="794"/>
    </w:pPr>
    <w:rPr>
      <w:kern w:val="28"/>
      <w:sz w:val="18"/>
    </w:rPr>
  </w:style>
  <w:style w:type="paragraph" w:customStyle="1" w:styleId="TofSectsSubdiv">
    <w:name w:val="TofSects(Subdiv)"/>
    <w:basedOn w:val="OPCParaBase"/>
    <w:rsid w:val="00B17D2F"/>
    <w:pPr>
      <w:keepLines/>
      <w:spacing w:before="80" w:line="240" w:lineRule="auto"/>
      <w:ind w:left="1588" w:hanging="794"/>
    </w:pPr>
    <w:rPr>
      <w:kern w:val="28"/>
    </w:rPr>
  </w:style>
  <w:style w:type="paragraph" w:customStyle="1" w:styleId="WRStyle">
    <w:name w:val="WR Style"/>
    <w:aliases w:val="WR"/>
    <w:basedOn w:val="OPCParaBase"/>
    <w:rsid w:val="00B17D2F"/>
    <w:pPr>
      <w:spacing w:before="240" w:line="240" w:lineRule="auto"/>
      <w:ind w:left="284" w:hanging="284"/>
    </w:pPr>
    <w:rPr>
      <w:b/>
      <w:i/>
      <w:kern w:val="28"/>
      <w:sz w:val="24"/>
    </w:rPr>
  </w:style>
  <w:style w:type="paragraph" w:customStyle="1" w:styleId="Body">
    <w:name w:val="Body"/>
    <w:aliases w:val="b"/>
    <w:basedOn w:val="OPCParaBase"/>
    <w:rsid w:val="00B17D2F"/>
    <w:pPr>
      <w:spacing w:before="240" w:line="240" w:lineRule="auto"/>
    </w:pPr>
    <w:rPr>
      <w:sz w:val="24"/>
    </w:rPr>
  </w:style>
  <w:style w:type="paragraph" w:customStyle="1" w:styleId="BodyNum">
    <w:name w:val="BodyNum"/>
    <w:aliases w:val="b1"/>
    <w:basedOn w:val="OPCParaBase"/>
    <w:link w:val="BodyNumChar"/>
    <w:rsid w:val="00B17D2F"/>
    <w:pPr>
      <w:numPr>
        <w:numId w:val="13"/>
      </w:numPr>
      <w:spacing w:before="240" w:line="240" w:lineRule="auto"/>
    </w:pPr>
    <w:rPr>
      <w:sz w:val="24"/>
    </w:rPr>
  </w:style>
  <w:style w:type="paragraph" w:customStyle="1" w:styleId="BodyPara">
    <w:name w:val="BodyPara"/>
    <w:aliases w:val="ba"/>
    <w:basedOn w:val="OPCParaBase"/>
    <w:rsid w:val="00B17D2F"/>
    <w:pPr>
      <w:numPr>
        <w:ilvl w:val="1"/>
        <w:numId w:val="13"/>
      </w:numPr>
      <w:spacing w:before="240" w:line="240" w:lineRule="auto"/>
    </w:pPr>
    <w:rPr>
      <w:sz w:val="24"/>
    </w:rPr>
  </w:style>
  <w:style w:type="paragraph" w:customStyle="1" w:styleId="BodyParaBullet">
    <w:name w:val="BodyParaBullet"/>
    <w:aliases w:val="bpb"/>
    <w:basedOn w:val="OPCParaBase"/>
    <w:rsid w:val="00B17D2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17D2F"/>
    <w:pPr>
      <w:numPr>
        <w:ilvl w:val="3"/>
        <w:numId w:val="13"/>
      </w:numPr>
      <w:spacing w:before="240" w:line="240" w:lineRule="auto"/>
    </w:pPr>
    <w:rPr>
      <w:sz w:val="24"/>
    </w:rPr>
  </w:style>
  <w:style w:type="numbering" w:customStyle="1" w:styleId="OPCBodyList">
    <w:name w:val="OPCBodyList"/>
    <w:uiPriority w:val="99"/>
    <w:rsid w:val="00B17D2F"/>
    <w:pPr>
      <w:numPr>
        <w:numId w:val="13"/>
      </w:numPr>
    </w:pPr>
  </w:style>
  <w:style w:type="paragraph" w:customStyle="1" w:styleId="Head1">
    <w:name w:val="Head 1"/>
    <w:aliases w:val="1"/>
    <w:basedOn w:val="OPCParaBase"/>
    <w:next w:val="BodyNum"/>
    <w:rsid w:val="00B17D2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17D2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17D2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17D2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17D2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17D2F"/>
    <w:pPr>
      <w:spacing w:before="122" w:line="198" w:lineRule="exact"/>
      <w:ind w:left="2353" w:hanging="709"/>
    </w:pPr>
    <w:rPr>
      <w:sz w:val="18"/>
    </w:rPr>
  </w:style>
  <w:style w:type="paragraph" w:styleId="Footer">
    <w:name w:val="footer"/>
    <w:link w:val="FooterChar"/>
    <w:rsid w:val="00B17D2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7D2F"/>
    <w:rPr>
      <w:rFonts w:eastAsia="Times New Roman" w:cs="Times New Roman"/>
      <w:sz w:val="22"/>
      <w:szCs w:val="24"/>
      <w:lang w:eastAsia="en-AU"/>
    </w:rPr>
  </w:style>
  <w:style w:type="character" w:styleId="PageNumber">
    <w:name w:val="page number"/>
    <w:basedOn w:val="DefaultParagraphFont"/>
    <w:rsid w:val="00B17D2F"/>
  </w:style>
  <w:style w:type="paragraph" w:customStyle="1" w:styleId="Issued">
    <w:name w:val="Issued"/>
    <w:basedOn w:val="Body"/>
    <w:rsid w:val="00B17D2F"/>
    <w:pPr>
      <w:spacing w:before="120"/>
    </w:pPr>
    <w:rPr>
      <w:b/>
      <w:sz w:val="28"/>
    </w:rPr>
  </w:style>
  <w:style w:type="paragraph" w:customStyle="1" w:styleId="Release">
    <w:name w:val="Release"/>
    <w:basedOn w:val="Body"/>
    <w:rsid w:val="00B17D2F"/>
    <w:rPr>
      <w:b/>
    </w:rPr>
  </w:style>
  <w:style w:type="character" w:customStyle="1" w:styleId="BodyNumChar">
    <w:name w:val="BodyNum Char"/>
    <w:aliases w:val="b1 Char"/>
    <w:basedOn w:val="DefaultParagraphFont"/>
    <w:link w:val="BodyNum"/>
    <w:locked/>
    <w:rsid w:val="00DE40B9"/>
    <w:rPr>
      <w:rFonts w:eastAsia="Times New Roman" w:cs="Times New Roman"/>
      <w:sz w:val="24"/>
      <w:lang w:eastAsia="en-AU"/>
    </w:rPr>
  </w:style>
  <w:style w:type="paragraph" w:styleId="BalloonText">
    <w:name w:val="Balloon Text"/>
    <w:basedOn w:val="Normal"/>
    <w:link w:val="BalloonTextChar"/>
    <w:uiPriority w:val="99"/>
    <w:semiHidden/>
    <w:unhideWhenUsed/>
    <w:rsid w:val="00B17D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2F"/>
    <w:rPr>
      <w:rFonts w:ascii="Tahoma" w:hAnsi="Tahoma" w:cs="Tahoma"/>
      <w:sz w:val="16"/>
      <w:szCs w:val="16"/>
    </w:rPr>
  </w:style>
  <w:style w:type="paragraph" w:customStyle="1" w:styleId="FileName">
    <w:name w:val="FileName"/>
    <w:basedOn w:val="Normal"/>
    <w:link w:val="FileNameChar"/>
    <w:rsid w:val="00B17D2F"/>
  </w:style>
  <w:style w:type="character" w:customStyle="1" w:styleId="FileNameChar">
    <w:name w:val="FileName Char"/>
    <w:basedOn w:val="DefaultParagraphFont"/>
    <w:link w:val="FileName"/>
    <w:rsid w:val="00DD4CF5"/>
    <w:rPr>
      <w:sz w:val="22"/>
    </w:rPr>
  </w:style>
  <w:style w:type="paragraph" w:customStyle="1" w:styleId="NoteDraftingDirection">
    <w:name w:val="Note Drafting Direction"/>
    <w:basedOn w:val="OPCParaBase"/>
    <w:rsid w:val="00B17D2F"/>
    <w:pPr>
      <w:spacing w:before="120"/>
      <w:ind w:left="1134" w:hanging="1134"/>
    </w:pPr>
    <w:rPr>
      <w:sz w:val="18"/>
    </w:rPr>
  </w:style>
  <w:style w:type="paragraph" w:customStyle="1" w:styleId="SOText">
    <w:name w:val="SO Text"/>
    <w:aliases w:val="sot"/>
    <w:link w:val="SOTextChar"/>
    <w:rsid w:val="00B17D2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7D2F"/>
    <w:rPr>
      <w:sz w:val="22"/>
    </w:rPr>
  </w:style>
  <w:style w:type="paragraph" w:customStyle="1" w:styleId="SOTextNote">
    <w:name w:val="SO TextNote"/>
    <w:aliases w:val="sont"/>
    <w:basedOn w:val="SOText"/>
    <w:qFormat/>
    <w:rsid w:val="00B17D2F"/>
    <w:pPr>
      <w:spacing w:before="122" w:line="198" w:lineRule="exact"/>
      <w:ind w:left="1843" w:hanging="709"/>
    </w:pPr>
    <w:rPr>
      <w:sz w:val="18"/>
    </w:rPr>
  </w:style>
  <w:style w:type="paragraph" w:customStyle="1" w:styleId="SOPara">
    <w:name w:val="SO Para"/>
    <w:aliases w:val="soa"/>
    <w:basedOn w:val="SOText"/>
    <w:link w:val="SOParaChar"/>
    <w:qFormat/>
    <w:rsid w:val="00B17D2F"/>
    <w:pPr>
      <w:tabs>
        <w:tab w:val="right" w:pos="1786"/>
      </w:tabs>
      <w:spacing w:before="40"/>
      <w:ind w:left="2070" w:hanging="936"/>
    </w:pPr>
  </w:style>
  <w:style w:type="character" w:customStyle="1" w:styleId="SOParaChar">
    <w:name w:val="SO Para Char"/>
    <w:aliases w:val="soa Char"/>
    <w:basedOn w:val="DefaultParagraphFont"/>
    <w:link w:val="SOPara"/>
    <w:rsid w:val="00B17D2F"/>
    <w:rPr>
      <w:sz w:val="22"/>
    </w:rPr>
  </w:style>
  <w:style w:type="paragraph" w:customStyle="1" w:styleId="TableHeading">
    <w:name w:val="TableHeading"/>
    <w:aliases w:val="th"/>
    <w:basedOn w:val="OPCParaBase"/>
    <w:next w:val="Tabletext"/>
    <w:rsid w:val="00B17D2F"/>
    <w:pPr>
      <w:keepNext/>
      <w:spacing w:before="60" w:line="240" w:lineRule="atLeast"/>
    </w:pPr>
    <w:rPr>
      <w:b/>
      <w:sz w:val="20"/>
    </w:rPr>
  </w:style>
  <w:style w:type="paragraph" w:customStyle="1" w:styleId="SOHeadBold">
    <w:name w:val="SO HeadBold"/>
    <w:aliases w:val="sohb"/>
    <w:basedOn w:val="SOText"/>
    <w:next w:val="SOText"/>
    <w:link w:val="SOHeadBoldChar"/>
    <w:qFormat/>
    <w:rsid w:val="00B17D2F"/>
    <w:rPr>
      <w:b/>
    </w:rPr>
  </w:style>
  <w:style w:type="character" w:customStyle="1" w:styleId="SOHeadBoldChar">
    <w:name w:val="SO HeadBold Char"/>
    <w:aliases w:val="sohb Char"/>
    <w:basedOn w:val="DefaultParagraphFont"/>
    <w:link w:val="SOHeadBold"/>
    <w:rsid w:val="00B17D2F"/>
    <w:rPr>
      <w:b/>
      <w:sz w:val="22"/>
    </w:rPr>
  </w:style>
  <w:style w:type="paragraph" w:customStyle="1" w:styleId="SOHeadItalic">
    <w:name w:val="SO HeadItalic"/>
    <w:aliases w:val="sohi"/>
    <w:basedOn w:val="SOText"/>
    <w:next w:val="SOText"/>
    <w:link w:val="SOHeadItalicChar"/>
    <w:qFormat/>
    <w:rsid w:val="00B17D2F"/>
    <w:rPr>
      <w:i/>
    </w:rPr>
  </w:style>
  <w:style w:type="character" w:customStyle="1" w:styleId="SOHeadItalicChar">
    <w:name w:val="SO HeadItalic Char"/>
    <w:aliases w:val="sohi Char"/>
    <w:basedOn w:val="DefaultParagraphFont"/>
    <w:link w:val="SOHeadItalic"/>
    <w:rsid w:val="00B17D2F"/>
    <w:rPr>
      <w:i/>
      <w:sz w:val="22"/>
    </w:rPr>
  </w:style>
  <w:style w:type="paragraph" w:customStyle="1" w:styleId="SOBullet">
    <w:name w:val="SO Bullet"/>
    <w:aliases w:val="sotb"/>
    <w:basedOn w:val="SOText"/>
    <w:link w:val="SOBulletChar"/>
    <w:qFormat/>
    <w:rsid w:val="00B17D2F"/>
    <w:pPr>
      <w:ind w:left="1559" w:hanging="425"/>
    </w:pPr>
  </w:style>
  <w:style w:type="character" w:customStyle="1" w:styleId="SOBulletChar">
    <w:name w:val="SO Bullet Char"/>
    <w:aliases w:val="sotb Char"/>
    <w:basedOn w:val="DefaultParagraphFont"/>
    <w:link w:val="SOBullet"/>
    <w:rsid w:val="00B17D2F"/>
    <w:rPr>
      <w:sz w:val="22"/>
    </w:rPr>
  </w:style>
  <w:style w:type="paragraph" w:customStyle="1" w:styleId="SOBulletNote">
    <w:name w:val="SO BulletNote"/>
    <w:aliases w:val="sonb"/>
    <w:basedOn w:val="SOTextNote"/>
    <w:link w:val="SOBulletNoteChar"/>
    <w:qFormat/>
    <w:rsid w:val="00B17D2F"/>
    <w:pPr>
      <w:tabs>
        <w:tab w:val="left" w:pos="1560"/>
      </w:tabs>
      <w:ind w:left="2268" w:hanging="1134"/>
    </w:pPr>
  </w:style>
  <w:style w:type="character" w:customStyle="1" w:styleId="SOBulletNoteChar">
    <w:name w:val="SO BulletNote Char"/>
    <w:aliases w:val="sonb Char"/>
    <w:basedOn w:val="DefaultParagraphFont"/>
    <w:link w:val="SOBulletNote"/>
    <w:rsid w:val="00B17D2F"/>
    <w:rPr>
      <w:sz w:val="18"/>
    </w:rPr>
  </w:style>
  <w:style w:type="paragraph" w:customStyle="1" w:styleId="SubPartCASA">
    <w:name w:val="SubPart(CASA)"/>
    <w:aliases w:val="csp"/>
    <w:basedOn w:val="OPCParaBase"/>
    <w:next w:val="ActHead3"/>
    <w:rsid w:val="00B17D2F"/>
    <w:pPr>
      <w:keepNext/>
      <w:keepLines/>
      <w:spacing w:before="280"/>
      <w:ind w:left="1134" w:hanging="1134"/>
      <w:outlineLvl w:val="1"/>
    </w:pPr>
    <w:rPr>
      <w:b/>
      <w:kern w:val="28"/>
      <w:sz w:val="32"/>
    </w:rPr>
  </w:style>
  <w:style w:type="paragraph" w:customStyle="1" w:styleId="FreeForm">
    <w:name w:val="FreeForm"/>
    <w:rsid w:val="00B17D2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823945">
      <w:bodyDiv w:val="1"/>
      <w:marLeft w:val="0"/>
      <w:marRight w:val="0"/>
      <w:marTop w:val="0"/>
      <w:marBottom w:val="0"/>
      <w:divBdr>
        <w:top w:val="none" w:sz="0" w:space="0" w:color="auto"/>
        <w:left w:val="none" w:sz="0" w:space="0" w:color="auto"/>
        <w:bottom w:val="none" w:sz="0" w:space="0" w:color="auto"/>
        <w:right w:val="none" w:sz="0" w:space="0" w:color="auto"/>
      </w:divBdr>
    </w:div>
    <w:div w:id="20438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Template>
  <TotalTime>0</TotalTime>
  <Pages>6</Pages>
  <Words>1730</Words>
  <Characters>9052</Characters>
  <Application>Microsoft Office Word</Application>
  <DocSecurity>12</DocSecurity>
  <Lines>188</Lines>
  <Paragraphs>108</Paragraphs>
  <ScaleCrop>false</ScaleCrop>
  <HeadingPairs>
    <vt:vector size="2" baseType="variant">
      <vt:variant>
        <vt:lpstr>Title</vt:lpstr>
      </vt:variant>
      <vt:variant>
        <vt:i4>1</vt:i4>
      </vt:variant>
    </vt:vector>
  </HeadingPairs>
  <TitlesOfParts>
    <vt:vector size="1" baseType="lpstr">
      <vt:lpstr>Drafting Direction No. 3.7 Tribunals and other administrative bodies—various matters</vt:lpstr>
    </vt:vector>
  </TitlesOfParts>
  <Company>Office of Parliamentary Counsel</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3.7 Tribunals and other administrative bodies—various matters</dc:title>
  <dc:subject/>
  <dc:creator>Janis Dogan</dc:creator>
  <cp:keywords/>
  <dc:description/>
  <cp:lastModifiedBy>Phong, Karen</cp:lastModifiedBy>
  <cp:revision>2</cp:revision>
  <cp:lastPrinted>2024-07-22T05:02:00Z</cp:lastPrinted>
  <dcterms:created xsi:type="dcterms:W3CDTF">2025-03-16T23:27:00Z</dcterms:created>
  <dcterms:modified xsi:type="dcterms:W3CDTF">2025-03-16T23:27:00Z</dcterms:modified>
  <cp:category>Other - Reissued by FPC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PC:D24/19478</vt:lpwstr>
  </property>
</Properties>
</file>