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15368" w14:textId="77777777" w:rsidR="00F6117F" w:rsidRPr="00FD274F" w:rsidRDefault="00F6117F" w:rsidP="00F6117F">
      <w:pPr>
        <w:pStyle w:val="Body"/>
      </w:pPr>
      <w:r w:rsidRPr="00FD274F">
        <w:rPr>
          <w:noProof/>
          <w:sz w:val="20"/>
        </w:rPr>
        <w:drawing>
          <wp:inline distT="0" distB="0" distL="0" distR="0" wp14:anchorId="78F62467" wp14:editId="15DF77DC">
            <wp:extent cx="3962400" cy="1000125"/>
            <wp:effectExtent l="0" t="0" r="0" b="9525"/>
            <wp:docPr id="3" name="Picture 3" descr="OPC/Commonwealt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62400" cy="1000125"/>
                    </a:xfrm>
                    <a:prstGeom prst="rect">
                      <a:avLst/>
                    </a:prstGeom>
                    <a:noFill/>
                    <a:ln w="9525">
                      <a:noFill/>
                      <a:miter lim="800000"/>
                      <a:headEnd/>
                      <a:tailEnd/>
                    </a:ln>
                  </pic:spPr>
                </pic:pic>
              </a:graphicData>
            </a:graphic>
          </wp:inline>
        </w:drawing>
      </w:r>
    </w:p>
    <w:p w14:paraId="7879726D" w14:textId="77777777" w:rsidR="00F6117F" w:rsidRPr="00FD274F" w:rsidRDefault="00F6117F" w:rsidP="00F6117F">
      <w:pPr>
        <w:pStyle w:val="Head1"/>
        <w:spacing w:before="3200"/>
        <w:ind w:left="284"/>
        <w:rPr>
          <w:sz w:val="44"/>
          <w:szCs w:val="44"/>
        </w:rPr>
      </w:pPr>
      <w:r w:rsidRPr="00FD274F">
        <w:rPr>
          <w:sz w:val="44"/>
          <w:szCs w:val="44"/>
        </w:rPr>
        <w:t>Instruments Handbook</w:t>
      </w:r>
    </w:p>
    <w:p w14:paraId="6627C1E5" w14:textId="5266719E" w:rsidR="00A13F3A" w:rsidRPr="00FD274F" w:rsidRDefault="00A13F3A" w:rsidP="00A13F3A">
      <w:pPr>
        <w:pStyle w:val="Release"/>
        <w:spacing w:before="6000"/>
        <w:ind w:left="284"/>
      </w:pPr>
      <w:r w:rsidRPr="00FD274F">
        <w:t xml:space="preserve">Document release </w:t>
      </w:r>
      <w:r w:rsidR="00805ED3">
        <w:t>[</w:t>
      </w:r>
      <w:r w:rsidRPr="00FD274F">
        <w:t>3.</w:t>
      </w:r>
      <w:r w:rsidR="00E14A65">
        <w:t>8</w:t>
      </w:r>
      <w:r w:rsidR="00805ED3">
        <w:t>]</w:t>
      </w:r>
    </w:p>
    <w:p w14:paraId="1E46699A" w14:textId="2F260AFE" w:rsidR="00A13F3A" w:rsidRPr="00FD274F" w:rsidRDefault="00A13F3A" w:rsidP="00A13F3A">
      <w:pPr>
        <w:pStyle w:val="Issued"/>
        <w:spacing w:before="0"/>
        <w:ind w:left="284"/>
      </w:pPr>
      <w:r w:rsidRPr="00E75DFA">
        <w:t xml:space="preserve">Reissued </w:t>
      </w:r>
      <w:r w:rsidR="005E17A0">
        <w:t xml:space="preserve">December </w:t>
      </w:r>
      <w:r w:rsidR="00805ED3">
        <w:t>202</w:t>
      </w:r>
      <w:r w:rsidR="00E14A65">
        <w:t>4</w:t>
      </w:r>
    </w:p>
    <w:p w14:paraId="784F6302" w14:textId="77777777" w:rsidR="00090F15" w:rsidRPr="00FD274F" w:rsidRDefault="00090F15" w:rsidP="00090F15">
      <w:pPr>
        <w:pStyle w:val="Body"/>
      </w:pPr>
    </w:p>
    <w:p w14:paraId="263C6BA5" w14:textId="77777777" w:rsidR="00354A1C" w:rsidRDefault="00354A1C">
      <w:pPr>
        <w:spacing w:line="240" w:lineRule="auto"/>
        <w:rPr>
          <w:rFonts w:ascii="Arial" w:eastAsia="Times New Roman" w:hAnsi="Arial" w:cs="Times New Roman"/>
          <w:b/>
          <w:kern w:val="28"/>
          <w:sz w:val="28"/>
          <w:lang w:eastAsia="en-AU"/>
        </w:rPr>
      </w:pPr>
      <w:r>
        <w:br w:type="page"/>
      </w:r>
    </w:p>
    <w:p w14:paraId="11A3923D" w14:textId="7855D4F8" w:rsidR="00354A1C" w:rsidRDefault="00354A1C" w:rsidP="00354A1C">
      <w:pPr>
        <w:pStyle w:val="Head1"/>
      </w:pPr>
      <w:bookmarkStart w:id="0" w:name="_Hlk178837574"/>
      <w:r>
        <w:lastRenderedPageBreak/>
        <w:t>Foreword</w:t>
      </w:r>
    </w:p>
    <w:p w14:paraId="4B2DD92B" w14:textId="77777777" w:rsidR="00354A1C" w:rsidRDefault="00354A1C" w:rsidP="00354A1C">
      <w:pPr>
        <w:pStyle w:val="BodyNum"/>
        <w:numPr>
          <w:ilvl w:val="0"/>
          <w:numId w:val="0"/>
        </w:numPr>
      </w:pPr>
      <w:r>
        <w:t>The Instruments Handbook is produced by the Office of Parliamentary Counsel (OPC) for departmental officers as an aid in preparing instruments and associated materials for registration on the Federal Register of Legislation.</w:t>
      </w:r>
    </w:p>
    <w:p w14:paraId="38F12A80" w14:textId="77777777" w:rsidR="00354A1C" w:rsidRDefault="00354A1C" w:rsidP="00354A1C">
      <w:pPr>
        <w:pStyle w:val="BodyNum"/>
        <w:numPr>
          <w:ilvl w:val="0"/>
          <w:numId w:val="0"/>
        </w:numPr>
      </w:pPr>
      <w:r>
        <w:t xml:space="preserve">On 1 January 2024, we released a new version of the Federal Register of Legislation (the Register), which was the culmination of an extraordinary project to completely redevelop and modernise the technology supporting the website not only to give greater flexibility to users of the Register, but also to allow for future improvements. It has been truly amazing to see our new Register grow and change as we continue to receive feedback from users of the </w:t>
      </w:r>
      <w:proofErr w:type="gramStart"/>
      <w:r>
        <w:t>Register</w:t>
      </w:r>
      <w:proofErr w:type="gramEnd"/>
      <w:r>
        <w:t xml:space="preserve"> and I will be thrilled to see the developments yet to come.</w:t>
      </w:r>
    </w:p>
    <w:p w14:paraId="16F84F36" w14:textId="77777777" w:rsidR="00354A1C" w:rsidRDefault="00354A1C" w:rsidP="00354A1C">
      <w:pPr>
        <w:pStyle w:val="BodyNum"/>
        <w:numPr>
          <w:ilvl w:val="0"/>
          <w:numId w:val="0"/>
        </w:numPr>
      </w:pPr>
      <w:r>
        <w:t>This edition of the Handbook incorporates changes to process and practice stemming from the new Register, general updates to content and minor editorial and presentational adjustments.</w:t>
      </w:r>
    </w:p>
    <w:p w14:paraId="4F0394DF" w14:textId="6E57880A" w:rsidR="00354A1C" w:rsidRDefault="00354A1C" w:rsidP="00354A1C">
      <w:pPr>
        <w:pStyle w:val="BodyNum"/>
        <w:numPr>
          <w:ilvl w:val="0"/>
          <w:numId w:val="0"/>
        </w:numPr>
      </w:pPr>
      <w:r>
        <w:t>In reading this Handbook, I want to gently remind you that dealing with instruments means you are dealing with the law. The law is fundamental to upholding democracy, social cohesion and the rights of individuals. It is essential that the law be clear, effective and accessible, and it is important that we get it right.</w:t>
      </w:r>
    </w:p>
    <w:p w14:paraId="57730913" w14:textId="77777777" w:rsidR="00354A1C" w:rsidRDefault="00354A1C" w:rsidP="00354A1C">
      <w:pPr>
        <w:pStyle w:val="BodyNum"/>
        <w:numPr>
          <w:ilvl w:val="0"/>
          <w:numId w:val="0"/>
        </w:numPr>
      </w:pPr>
      <w:r>
        <w:t>This Handbook offers guidance, support and models for best practice to assist you to ensure your instruments are clear, effective and accessible.</w:t>
      </w:r>
      <w:bookmarkEnd w:id="0"/>
      <w:r>
        <w:t xml:space="preserve"> If you need help in navigating the Handbook or understanding its contents, please remember we are only a phone call or email away. If you have suggestions on how we could improve the support we offer, we’d love to hear it.</w:t>
      </w:r>
    </w:p>
    <w:p w14:paraId="7330047A" w14:textId="77777777" w:rsidR="00354A1C" w:rsidRDefault="00354A1C" w:rsidP="00354A1C">
      <w:pPr>
        <w:pStyle w:val="BodyNum"/>
        <w:numPr>
          <w:ilvl w:val="0"/>
          <w:numId w:val="0"/>
        </w:numPr>
      </w:pPr>
      <w:r>
        <w:t xml:space="preserve">OPC’s mission is to provide clear, effective and accessible Commonwealth law for all </w:t>
      </w:r>
      <w:proofErr w:type="gramStart"/>
      <w:r>
        <w:t>Australians</w:t>
      </w:r>
      <w:proofErr w:type="gramEnd"/>
      <w:r>
        <w:t xml:space="preserve"> and we look forward to working with you to achieve our goal.</w:t>
      </w:r>
    </w:p>
    <w:p w14:paraId="1428AFB6" w14:textId="77777777" w:rsidR="00354A1C" w:rsidRDefault="00354A1C" w:rsidP="00354A1C">
      <w:pPr>
        <w:pStyle w:val="Body"/>
      </w:pPr>
      <w:r>
        <w:t>Yours sincerely</w:t>
      </w:r>
    </w:p>
    <w:p w14:paraId="77E9A877" w14:textId="77777777" w:rsidR="00354A1C" w:rsidRDefault="00354A1C" w:rsidP="00354A1C">
      <w:pPr>
        <w:pStyle w:val="Body"/>
      </w:pPr>
      <w:r>
        <w:rPr>
          <w:noProof/>
        </w:rPr>
        <mc:AlternateContent>
          <mc:Choice Requires="wpi">
            <w:drawing>
              <wp:anchor distT="0" distB="0" distL="114300" distR="114300" simplePos="0" relativeHeight="251659264" behindDoc="0" locked="0" layoutInCell="1" allowOverlap="1" wp14:anchorId="46549766" wp14:editId="21497C8B">
                <wp:simplePos x="0" y="0"/>
                <wp:positionH relativeFrom="column">
                  <wp:posOffset>-13648</wp:posOffset>
                </wp:positionH>
                <wp:positionV relativeFrom="paragraph">
                  <wp:posOffset>92132</wp:posOffset>
                </wp:positionV>
                <wp:extent cx="809554" cy="447485"/>
                <wp:effectExtent l="57150" t="38100" r="10160" b="48260"/>
                <wp:wrapNone/>
                <wp:docPr id="9" name="Ink 9" descr="Signature of Meredith Leigh, First Parliamentary Counsel"/>
                <wp:cNvGraphicFramePr/>
                <a:graphic xmlns:a="http://schemas.openxmlformats.org/drawingml/2006/main">
                  <a:graphicData uri="http://schemas.microsoft.com/office/word/2010/wordprocessingInk">
                    <w14:contentPart bwMode="auto" r:id="rId9">
                      <w14:nvContentPartPr>
                        <w14:cNvContentPartPr/>
                      </w14:nvContentPartPr>
                      <w14:xfrm>
                        <a:off x="0" y="0"/>
                        <a:ext cx="809554" cy="447485"/>
                      </w14:xfrm>
                    </w14:contentPart>
                  </a:graphicData>
                </a:graphic>
              </wp:anchor>
            </w:drawing>
          </mc:Choice>
          <mc:Fallback>
            <w:pict>
              <v:shapetype w14:anchorId="22BB7E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alt="Signature of Meredith Leigh, First Parliamentary Counsel" style="position:absolute;margin-left:-1.75pt;margin-top:6.55pt;width:65.2pt;height:36.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">
                <v:imagedata r:id="rId10" o:title="Signature of Meredith Leigh, First Parliamentary Counsel"/>
              </v:shape>
            </w:pict>
          </mc:Fallback>
        </mc:AlternateContent>
      </w:r>
    </w:p>
    <w:p w14:paraId="59F0C4C8" w14:textId="77777777" w:rsidR="00354A1C" w:rsidRDefault="00354A1C" w:rsidP="00354A1C">
      <w:pPr>
        <w:pStyle w:val="Body"/>
      </w:pPr>
    </w:p>
    <w:p w14:paraId="04BA07B3" w14:textId="77777777" w:rsidR="00354A1C" w:rsidRDefault="00354A1C" w:rsidP="00354A1C">
      <w:pPr>
        <w:pStyle w:val="Blocks"/>
      </w:pPr>
      <w:r>
        <w:t>Meredith Leigh</w:t>
      </w:r>
    </w:p>
    <w:p w14:paraId="6FC605BD" w14:textId="77777777" w:rsidR="00354A1C" w:rsidRDefault="00354A1C" w:rsidP="00354A1C">
      <w:pPr>
        <w:pStyle w:val="Blocks"/>
      </w:pPr>
      <w:r>
        <w:t>First Parliamentary Counsel</w:t>
      </w:r>
    </w:p>
    <w:p w14:paraId="1AD707D8" w14:textId="77777777" w:rsidR="00354A1C" w:rsidRDefault="00354A1C" w:rsidP="00354A1C">
      <w:pPr>
        <w:pStyle w:val="Blocks"/>
      </w:pPr>
      <w:r>
        <w:t>7 November 2024</w:t>
      </w:r>
    </w:p>
    <w:p w14:paraId="008B1A69" w14:textId="77777777" w:rsidR="00354A1C" w:rsidRDefault="00354A1C">
      <w:pPr>
        <w:spacing w:line="240" w:lineRule="auto"/>
        <w:rPr>
          <w:rFonts w:ascii="Arial" w:eastAsia="Times New Roman" w:hAnsi="Arial" w:cs="Times New Roman"/>
          <w:b/>
          <w:kern w:val="28"/>
          <w:sz w:val="28"/>
          <w:lang w:eastAsia="en-AU"/>
        </w:rPr>
      </w:pPr>
      <w:r>
        <w:br w:type="page"/>
      </w:r>
    </w:p>
    <w:p w14:paraId="3DDDBB87" w14:textId="76FA6F41" w:rsidR="00090F15" w:rsidRPr="00FD274F" w:rsidRDefault="00090F15" w:rsidP="00090F15">
      <w:pPr>
        <w:pStyle w:val="Head2"/>
        <w:pageBreakBefore/>
      </w:pPr>
      <w:bookmarkStart w:id="1" w:name="_Toc183694615"/>
      <w:r w:rsidRPr="00FD274F">
        <w:lastRenderedPageBreak/>
        <w:t>About this Handbook</w:t>
      </w:r>
      <w:bookmarkEnd w:id="1"/>
    </w:p>
    <w:p w14:paraId="7E7005D4" w14:textId="0BDD694B" w:rsidR="00090F15" w:rsidRPr="00FD274F" w:rsidRDefault="00090F15" w:rsidP="00090F15">
      <w:pPr>
        <w:pStyle w:val="Body"/>
      </w:pPr>
      <w:r w:rsidRPr="00FD274F">
        <w:t>The purpose of this Handbook is to provide information to help Commonwealth rule</w:t>
      </w:r>
      <w:r>
        <w:noBreakHyphen/>
      </w:r>
      <w:r w:rsidRPr="00FD274F">
        <w:t>makers and agencies make and manage legislative and notifiable instruments efficiently, effectively and in accordance with the relevant law. It should be read in conjunction with the following documents, as available on the Legi</w:t>
      </w:r>
      <w:r w:rsidRPr="00752D2B">
        <w:t xml:space="preserve">slation Register </w:t>
      </w:r>
      <w:r w:rsidR="00EB4855">
        <w:t>(</w:t>
      </w:r>
      <w:hyperlink r:id="rId11" w:history="1">
        <w:r w:rsidRPr="00752D2B">
          <w:rPr>
            <w:rStyle w:val="Hyperlink"/>
          </w:rPr>
          <w:t>https://www.legislation.gov.au</w:t>
        </w:r>
      </w:hyperlink>
      <w:r w:rsidR="00EB4855">
        <w:rPr>
          <w:rStyle w:val="Hyperlink"/>
        </w:rPr>
        <w:t>)</w:t>
      </w:r>
      <w:r w:rsidRPr="00FD274F">
        <w:t>:</w:t>
      </w:r>
    </w:p>
    <w:p w14:paraId="2A9C836A" w14:textId="540F12E6" w:rsidR="00090F15" w:rsidRPr="00FD274F" w:rsidRDefault="00090F15" w:rsidP="00090F15">
      <w:pPr>
        <w:pStyle w:val="BodyPara"/>
      </w:pPr>
      <w:bookmarkStart w:id="2" w:name="_Ref184283412"/>
      <w:r w:rsidRPr="00FD274F">
        <w:t xml:space="preserve">the </w:t>
      </w:r>
      <w:hyperlink r:id="rId12" w:history="1">
        <w:r w:rsidRPr="00752D2B">
          <w:rPr>
            <w:rStyle w:val="Hyperlink"/>
            <w:i/>
          </w:rPr>
          <w:t>Legislation Act 2003</w:t>
        </w:r>
        <w:r w:rsidRPr="00752D2B">
          <w:rPr>
            <w:rStyle w:val="Hyperlink"/>
          </w:rPr>
          <w:t xml:space="preserve"> (the LA)</w:t>
        </w:r>
      </w:hyperlink>
      <w:r w:rsidR="00E0263E">
        <w:rPr>
          <w:rStyle w:val="Hyperlink"/>
        </w:rPr>
        <w:t>;</w:t>
      </w:r>
      <w:bookmarkEnd w:id="2"/>
    </w:p>
    <w:p w14:paraId="516A347A" w14:textId="6154DBC4" w:rsidR="00090F15" w:rsidRPr="00FD274F" w:rsidRDefault="00090F15" w:rsidP="00090F15">
      <w:pPr>
        <w:pStyle w:val="BodyPara"/>
      </w:pPr>
      <w:r w:rsidRPr="00FD274F">
        <w:t>th</w:t>
      </w:r>
      <w:r w:rsidRPr="00752D2B">
        <w:t xml:space="preserve">e </w:t>
      </w:r>
      <w:hyperlink r:id="rId13" w:history="1">
        <w:r w:rsidRPr="00752D2B">
          <w:rPr>
            <w:rStyle w:val="Hyperlink"/>
            <w:i/>
          </w:rPr>
          <w:t>Legislation (Exemptions and Other Matters) Regulation 2015 (LEOMR)</w:t>
        </w:r>
      </w:hyperlink>
      <w:r w:rsidR="00E0263E">
        <w:rPr>
          <w:rStyle w:val="Hyperlink"/>
        </w:rPr>
        <w:t>;</w:t>
      </w:r>
    </w:p>
    <w:p w14:paraId="726C0449" w14:textId="0F7FE2B8" w:rsidR="00090F15" w:rsidRPr="00FD274F" w:rsidRDefault="00090F15" w:rsidP="00090F15">
      <w:pPr>
        <w:pStyle w:val="BodyPara"/>
      </w:pPr>
      <w:r w:rsidRPr="00FD274F">
        <w:t xml:space="preserve">the </w:t>
      </w:r>
      <w:hyperlink r:id="rId14" w:history="1">
        <w:r w:rsidRPr="00752D2B">
          <w:rPr>
            <w:rStyle w:val="Hyperlink"/>
            <w:i/>
          </w:rPr>
          <w:t>Legislation Rule 2016</w:t>
        </w:r>
      </w:hyperlink>
      <w:r w:rsidR="00E0263E">
        <w:rPr>
          <w:rStyle w:val="Hyperlink"/>
        </w:rPr>
        <w:t>;</w:t>
      </w:r>
    </w:p>
    <w:p w14:paraId="34ED47CD" w14:textId="75313354" w:rsidR="00090F15" w:rsidRPr="00433C0A" w:rsidRDefault="00090F15" w:rsidP="00090F15">
      <w:pPr>
        <w:pStyle w:val="BodyPara"/>
        <w:rPr>
          <w:rStyle w:val="Hyperlink"/>
          <w:color w:val="auto"/>
        </w:rPr>
      </w:pPr>
      <w:r w:rsidRPr="00433C0A">
        <w:t xml:space="preserve">the </w:t>
      </w:r>
      <w:hyperlink r:id="rId15" w:history="1">
        <w:r w:rsidRPr="00752D2B">
          <w:rPr>
            <w:rStyle w:val="Hyperlink"/>
            <w:i/>
          </w:rPr>
          <w:t>Legal Services Directions 2017</w:t>
        </w:r>
      </w:hyperlink>
      <w:r w:rsidRPr="00752D2B">
        <w:rPr>
          <w:rStyle w:val="Hyperlink"/>
          <w:color w:val="auto"/>
        </w:rPr>
        <w:t>.</w:t>
      </w:r>
    </w:p>
    <w:p w14:paraId="0DE850E1" w14:textId="7B8B0D9B" w:rsidR="00090F15" w:rsidRPr="00FD274F" w:rsidRDefault="00090F15" w:rsidP="00090F15">
      <w:pPr>
        <w:pStyle w:val="Body"/>
      </w:pPr>
      <w:r w:rsidRPr="00FD274F">
        <w:t xml:space="preserve">Questions and comments about the current Handbook </w:t>
      </w:r>
      <w:r>
        <w:t xml:space="preserve">are welcome at any time and </w:t>
      </w:r>
      <w:r w:rsidRPr="00FD274F">
        <w:t xml:space="preserve">should be emailed to </w:t>
      </w:r>
      <w:hyperlink r:id="rId16" w:history="1">
        <w:r w:rsidRPr="00E8267D">
          <w:rPr>
            <w:rStyle w:val="Hyperlink"/>
            <w:rFonts w:eastAsiaTheme="minorHAnsi"/>
            <w:szCs w:val="24"/>
            <w:lang w:eastAsia="en-US"/>
          </w:rPr>
          <w:t>lodge@legislation.gov.au</w:t>
        </w:r>
      </w:hyperlink>
      <w:r w:rsidRPr="00E8267D">
        <w:rPr>
          <w:rFonts w:eastAsiaTheme="minorHAnsi"/>
          <w:color w:val="1F497D"/>
          <w:szCs w:val="24"/>
          <w:lang w:eastAsia="en-US"/>
        </w:rPr>
        <w:t>.</w:t>
      </w:r>
    </w:p>
    <w:p w14:paraId="24736D34" w14:textId="77777777" w:rsidR="00090F15" w:rsidRPr="00FD274F" w:rsidRDefault="00090F15" w:rsidP="00090F15">
      <w:pPr>
        <w:pStyle w:val="Head2"/>
      </w:pPr>
      <w:bookmarkStart w:id="3" w:name="_Toc183694616"/>
      <w:r w:rsidRPr="00FD274F">
        <w:t>Abbreviation key</w:t>
      </w:r>
      <w:bookmarkEnd w:id="3"/>
    </w:p>
    <w:p w14:paraId="7B3136D5" w14:textId="77777777" w:rsidR="00090F15" w:rsidRPr="00FD274F" w:rsidRDefault="00090F15" w:rsidP="00090F1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13"/>
        <w:gridCol w:w="7613"/>
      </w:tblGrid>
      <w:tr w:rsidR="00090F15" w:rsidRPr="00FD274F" w14:paraId="2C177557" w14:textId="77777777" w:rsidTr="000C68CB">
        <w:trPr>
          <w:tblHeader/>
        </w:trPr>
        <w:tc>
          <w:tcPr>
            <w:tcW w:w="1413" w:type="dxa"/>
            <w:tcBorders>
              <w:top w:val="single" w:sz="12" w:space="0" w:color="auto"/>
              <w:bottom w:val="single" w:sz="12" w:space="0" w:color="auto"/>
            </w:tcBorders>
            <w:shd w:val="clear" w:color="auto" w:fill="auto"/>
          </w:tcPr>
          <w:p w14:paraId="2A118C81" w14:textId="77777777" w:rsidR="00090F15" w:rsidRPr="009A4D26" w:rsidRDefault="00090F15" w:rsidP="000C68CB">
            <w:pPr>
              <w:pStyle w:val="TableHeading"/>
            </w:pPr>
            <w:r w:rsidRPr="009A4D26">
              <w:t>Abbreviation</w:t>
            </w:r>
          </w:p>
        </w:tc>
        <w:tc>
          <w:tcPr>
            <w:tcW w:w="7613" w:type="dxa"/>
            <w:tcBorders>
              <w:top w:val="single" w:sz="12" w:space="0" w:color="auto"/>
              <w:bottom w:val="single" w:sz="12" w:space="0" w:color="auto"/>
            </w:tcBorders>
            <w:shd w:val="clear" w:color="auto" w:fill="auto"/>
          </w:tcPr>
          <w:p w14:paraId="7E4805E7" w14:textId="77777777" w:rsidR="00090F15" w:rsidRPr="009A4D26" w:rsidRDefault="00090F15" w:rsidP="000C68CB">
            <w:pPr>
              <w:pStyle w:val="TableHeading"/>
            </w:pPr>
            <w:r w:rsidRPr="009A4D26">
              <w:t xml:space="preserve">Meaning </w:t>
            </w:r>
          </w:p>
        </w:tc>
      </w:tr>
      <w:tr w:rsidR="00090F15" w:rsidRPr="00FD274F" w14:paraId="7A4A73D0" w14:textId="77777777" w:rsidTr="000C68CB">
        <w:tc>
          <w:tcPr>
            <w:tcW w:w="1413" w:type="dxa"/>
            <w:tcBorders>
              <w:top w:val="single" w:sz="12" w:space="0" w:color="auto"/>
            </w:tcBorders>
            <w:shd w:val="clear" w:color="auto" w:fill="auto"/>
          </w:tcPr>
          <w:p w14:paraId="1AFD5F5A" w14:textId="77777777" w:rsidR="00090F15" w:rsidRPr="009A4D26" w:rsidRDefault="00090F15" w:rsidP="000C68CB">
            <w:pPr>
              <w:pStyle w:val="Tabletext"/>
            </w:pPr>
            <w:r w:rsidRPr="009A4D26">
              <w:t>AGD</w:t>
            </w:r>
            <w:r w:rsidRPr="009A4D26">
              <w:tab/>
            </w:r>
          </w:p>
        </w:tc>
        <w:tc>
          <w:tcPr>
            <w:tcW w:w="7613" w:type="dxa"/>
            <w:tcBorders>
              <w:top w:val="single" w:sz="12" w:space="0" w:color="auto"/>
            </w:tcBorders>
            <w:shd w:val="clear" w:color="auto" w:fill="auto"/>
          </w:tcPr>
          <w:p w14:paraId="053FC3E2" w14:textId="77777777" w:rsidR="00090F15" w:rsidRPr="009A4D26" w:rsidRDefault="00090F15" w:rsidP="000C68CB">
            <w:pPr>
              <w:pStyle w:val="Tabletext"/>
            </w:pPr>
            <w:r w:rsidRPr="009A4D26">
              <w:t>Attorney</w:t>
            </w:r>
            <w:r w:rsidRPr="009A4D26">
              <w:noBreakHyphen/>
              <w:t>General’s Department</w:t>
            </w:r>
          </w:p>
        </w:tc>
      </w:tr>
      <w:tr w:rsidR="00C1051A" w:rsidRPr="00FD274F" w14:paraId="5376BC72" w14:textId="77777777" w:rsidTr="000C68CB">
        <w:tc>
          <w:tcPr>
            <w:tcW w:w="1413" w:type="dxa"/>
            <w:shd w:val="clear" w:color="auto" w:fill="auto"/>
          </w:tcPr>
          <w:p w14:paraId="4EAAE58E" w14:textId="359C0A8E" w:rsidR="00C1051A" w:rsidRPr="009A4D26" w:rsidRDefault="00C1051A" w:rsidP="00C1051A">
            <w:pPr>
              <w:pStyle w:val="Tabletext"/>
            </w:pPr>
            <w:proofErr w:type="spellStart"/>
            <w:r w:rsidRPr="009A4D26">
              <w:t>ExCo</w:t>
            </w:r>
            <w:proofErr w:type="spellEnd"/>
          </w:p>
        </w:tc>
        <w:tc>
          <w:tcPr>
            <w:tcW w:w="7613" w:type="dxa"/>
            <w:shd w:val="clear" w:color="auto" w:fill="auto"/>
          </w:tcPr>
          <w:p w14:paraId="0D355E7E" w14:textId="3E4DC72C" w:rsidR="00C1051A" w:rsidRPr="009A4D26" w:rsidRDefault="00C1051A" w:rsidP="00C1051A">
            <w:pPr>
              <w:pStyle w:val="Tabletext"/>
            </w:pPr>
            <w:r w:rsidRPr="009A4D26">
              <w:t>Federal Executive Council</w:t>
            </w:r>
          </w:p>
        </w:tc>
      </w:tr>
      <w:tr w:rsidR="00C1051A" w:rsidRPr="00FD274F" w14:paraId="751EF5BC" w14:textId="77777777" w:rsidTr="000C68CB">
        <w:tc>
          <w:tcPr>
            <w:tcW w:w="1413" w:type="dxa"/>
            <w:shd w:val="clear" w:color="auto" w:fill="auto"/>
          </w:tcPr>
          <w:p w14:paraId="05E56CE1" w14:textId="77777777" w:rsidR="00C1051A" w:rsidRPr="009A4D26" w:rsidRDefault="00C1051A" w:rsidP="00C1051A">
            <w:pPr>
              <w:pStyle w:val="Tabletext"/>
            </w:pPr>
            <w:r w:rsidRPr="009A4D26">
              <w:t>LA</w:t>
            </w:r>
            <w:r w:rsidRPr="009A4D26">
              <w:tab/>
            </w:r>
          </w:p>
        </w:tc>
        <w:tc>
          <w:tcPr>
            <w:tcW w:w="7613" w:type="dxa"/>
            <w:shd w:val="clear" w:color="auto" w:fill="auto"/>
          </w:tcPr>
          <w:p w14:paraId="4D8EAA10" w14:textId="2095E953" w:rsidR="00C1051A" w:rsidRPr="009A4D26" w:rsidRDefault="00C1051A" w:rsidP="00C1051A">
            <w:pPr>
              <w:pStyle w:val="Tabletext"/>
            </w:pPr>
            <w:r w:rsidRPr="009A4D26">
              <w:t xml:space="preserve">the </w:t>
            </w:r>
            <w:hyperlink r:id="rId17" w:history="1">
              <w:r w:rsidRPr="009A4D26">
                <w:rPr>
                  <w:rStyle w:val="Hyperlink"/>
                  <w:i/>
                </w:rPr>
                <w:t>Legislation Act 2003</w:t>
              </w:r>
            </w:hyperlink>
            <w:r w:rsidRPr="009A4D26">
              <w:rPr>
                <w:rStyle w:val="Hyperlink"/>
                <w:color w:val="000000" w:themeColor="text1"/>
              </w:rPr>
              <w:t xml:space="preserve">, </w:t>
            </w:r>
            <w:r w:rsidRPr="009A4D26">
              <w:rPr>
                <w:rStyle w:val="Hyperlink"/>
                <w:color w:val="000000" w:themeColor="text1"/>
                <w:spacing w:val="-2"/>
              </w:rPr>
              <w:t xml:space="preserve">previously known as the </w:t>
            </w:r>
            <w:r w:rsidRPr="009A4D26">
              <w:rPr>
                <w:rStyle w:val="Hyperlink"/>
                <w:i/>
                <w:color w:val="000000" w:themeColor="text1"/>
                <w:spacing w:val="-2"/>
              </w:rPr>
              <w:t>Legislative Instruments Act 2003</w:t>
            </w:r>
          </w:p>
        </w:tc>
      </w:tr>
      <w:tr w:rsidR="00C1051A" w:rsidRPr="00FD274F" w14:paraId="7D54CB7D" w14:textId="77777777" w:rsidTr="000C68CB">
        <w:tc>
          <w:tcPr>
            <w:tcW w:w="1413" w:type="dxa"/>
            <w:shd w:val="clear" w:color="auto" w:fill="auto"/>
          </w:tcPr>
          <w:p w14:paraId="3FC629E7" w14:textId="77777777" w:rsidR="00C1051A" w:rsidRPr="009A4D26" w:rsidRDefault="00C1051A" w:rsidP="00C1051A">
            <w:pPr>
              <w:pStyle w:val="Tabletext"/>
            </w:pPr>
            <w:r>
              <w:t>LIA</w:t>
            </w:r>
          </w:p>
        </w:tc>
        <w:tc>
          <w:tcPr>
            <w:tcW w:w="7613" w:type="dxa"/>
            <w:shd w:val="clear" w:color="auto" w:fill="auto"/>
          </w:tcPr>
          <w:p w14:paraId="30425F75" w14:textId="77777777" w:rsidR="00C1051A" w:rsidRPr="009A4D26" w:rsidRDefault="00C1051A" w:rsidP="00C1051A">
            <w:pPr>
              <w:pStyle w:val="Tabletext"/>
            </w:pPr>
            <w:r>
              <w:t xml:space="preserve">the </w:t>
            </w:r>
            <w:r w:rsidRPr="00FD6A45">
              <w:rPr>
                <w:i/>
              </w:rPr>
              <w:t>Legislative Instruments Act 2003</w:t>
            </w:r>
          </w:p>
        </w:tc>
      </w:tr>
      <w:tr w:rsidR="00C1051A" w:rsidRPr="00FD274F" w14:paraId="51B5403C" w14:textId="77777777" w:rsidTr="000C68CB">
        <w:tc>
          <w:tcPr>
            <w:tcW w:w="1413" w:type="dxa"/>
            <w:shd w:val="clear" w:color="auto" w:fill="auto"/>
          </w:tcPr>
          <w:p w14:paraId="390F7F42" w14:textId="77777777" w:rsidR="00C1051A" w:rsidRPr="009A4D26" w:rsidRDefault="00C1051A" w:rsidP="00C1051A">
            <w:pPr>
              <w:pStyle w:val="Tabletext"/>
            </w:pPr>
            <w:r w:rsidRPr="009A4D26">
              <w:t>LEOMR</w:t>
            </w:r>
            <w:r w:rsidRPr="009A4D26">
              <w:tab/>
            </w:r>
          </w:p>
        </w:tc>
        <w:tc>
          <w:tcPr>
            <w:tcW w:w="7613" w:type="dxa"/>
            <w:shd w:val="clear" w:color="auto" w:fill="auto"/>
          </w:tcPr>
          <w:p w14:paraId="2291E2C4" w14:textId="3224CBED" w:rsidR="00C1051A" w:rsidRPr="009A4D26" w:rsidRDefault="00C1051A" w:rsidP="00C1051A">
            <w:pPr>
              <w:pStyle w:val="Tabletext"/>
              <w:rPr>
                <w:i/>
              </w:rPr>
            </w:pPr>
            <w:r w:rsidRPr="009A4D26">
              <w:t xml:space="preserve">the </w:t>
            </w:r>
            <w:hyperlink r:id="rId18" w:history="1">
              <w:r w:rsidRPr="009A4D26">
                <w:rPr>
                  <w:rStyle w:val="Hyperlink"/>
                  <w:i/>
                </w:rPr>
                <w:t>Legislation (Exemptions and Other Matters) Regulation 2015</w:t>
              </w:r>
            </w:hyperlink>
          </w:p>
        </w:tc>
      </w:tr>
      <w:tr w:rsidR="00C1051A" w:rsidRPr="00FD274F" w14:paraId="51D6CFEB" w14:textId="77777777" w:rsidTr="000C68CB">
        <w:tc>
          <w:tcPr>
            <w:tcW w:w="1413" w:type="dxa"/>
            <w:shd w:val="clear" w:color="auto" w:fill="auto"/>
          </w:tcPr>
          <w:p w14:paraId="316E1F21" w14:textId="5752AB12" w:rsidR="00C1051A" w:rsidRPr="009A4D26" w:rsidRDefault="00C1051A" w:rsidP="00C1051A">
            <w:pPr>
              <w:pStyle w:val="Tabletext"/>
            </w:pPr>
            <w:r>
              <w:t>OIA</w:t>
            </w:r>
          </w:p>
        </w:tc>
        <w:tc>
          <w:tcPr>
            <w:tcW w:w="7613" w:type="dxa"/>
            <w:shd w:val="clear" w:color="auto" w:fill="auto"/>
          </w:tcPr>
          <w:p w14:paraId="68AD0CF4" w14:textId="06EBEDB9" w:rsidR="00C1051A" w:rsidRPr="009A4D26" w:rsidRDefault="00C1051A" w:rsidP="00C1051A">
            <w:pPr>
              <w:pStyle w:val="Tabletext"/>
            </w:pPr>
            <w:r w:rsidRPr="009A4D26">
              <w:t xml:space="preserve">Office of </w:t>
            </w:r>
            <w:r>
              <w:t>Impact Analysis</w:t>
            </w:r>
          </w:p>
        </w:tc>
      </w:tr>
      <w:tr w:rsidR="00C1051A" w:rsidRPr="00FD274F" w14:paraId="355FAD8D" w14:textId="77777777" w:rsidTr="000C68CB">
        <w:tc>
          <w:tcPr>
            <w:tcW w:w="1413" w:type="dxa"/>
            <w:shd w:val="clear" w:color="auto" w:fill="auto"/>
          </w:tcPr>
          <w:p w14:paraId="38F35E10" w14:textId="77777777" w:rsidR="00C1051A" w:rsidRPr="009A4D26" w:rsidRDefault="00C1051A" w:rsidP="00C1051A">
            <w:pPr>
              <w:pStyle w:val="Tabletext"/>
            </w:pPr>
            <w:r w:rsidRPr="009A4D26">
              <w:t>OPC</w:t>
            </w:r>
          </w:p>
        </w:tc>
        <w:tc>
          <w:tcPr>
            <w:tcW w:w="7613" w:type="dxa"/>
            <w:shd w:val="clear" w:color="auto" w:fill="auto"/>
          </w:tcPr>
          <w:p w14:paraId="6B6C50AB" w14:textId="77777777" w:rsidR="00C1051A" w:rsidRPr="009A4D26" w:rsidRDefault="00C1051A" w:rsidP="00C1051A">
            <w:pPr>
              <w:pStyle w:val="Tabletext"/>
            </w:pPr>
            <w:r w:rsidRPr="00D90FD0">
              <w:t>Office of Parliamentary Counsel</w:t>
            </w:r>
            <w:r w:rsidRPr="009A4D26">
              <w:rPr>
                <w:rStyle w:val="Hyperlink"/>
              </w:rPr>
              <w:t>,</w:t>
            </w:r>
            <w:r w:rsidRPr="009A4D26">
              <w:t xml:space="preserve"> an independent statutory authority accountable to the Attorney</w:t>
            </w:r>
            <w:r w:rsidRPr="009A4D26">
              <w:noBreakHyphen/>
              <w:t>General</w:t>
            </w:r>
          </w:p>
        </w:tc>
      </w:tr>
      <w:tr w:rsidR="00C1051A" w:rsidRPr="00FD274F" w14:paraId="3DBAC180" w14:textId="77777777" w:rsidTr="000C68CB">
        <w:tc>
          <w:tcPr>
            <w:tcW w:w="1413" w:type="dxa"/>
            <w:tcBorders>
              <w:bottom w:val="single" w:sz="4" w:space="0" w:color="auto"/>
            </w:tcBorders>
            <w:shd w:val="clear" w:color="auto" w:fill="auto"/>
          </w:tcPr>
          <w:p w14:paraId="3291D6C3" w14:textId="77777777" w:rsidR="00C1051A" w:rsidRPr="009A4D26" w:rsidRDefault="00C1051A" w:rsidP="00C1051A">
            <w:pPr>
              <w:pStyle w:val="Tabletext"/>
            </w:pPr>
            <w:r w:rsidRPr="009A4D26">
              <w:t>Register</w:t>
            </w:r>
          </w:p>
        </w:tc>
        <w:tc>
          <w:tcPr>
            <w:tcW w:w="7613" w:type="dxa"/>
            <w:tcBorders>
              <w:bottom w:val="single" w:sz="4" w:space="0" w:color="auto"/>
            </w:tcBorders>
            <w:shd w:val="clear" w:color="auto" w:fill="auto"/>
          </w:tcPr>
          <w:p w14:paraId="1FE8B6D5" w14:textId="77777777" w:rsidR="00C1051A" w:rsidRPr="009A4D26" w:rsidRDefault="00C1051A" w:rsidP="00C1051A">
            <w:pPr>
              <w:pStyle w:val="Tabletext"/>
            </w:pPr>
            <w:r w:rsidRPr="009A4D26">
              <w:t>the Federal Register of Legislation</w:t>
            </w:r>
          </w:p>
        </w:tc>
      </w:tr>
      <w:tr w:rsidR="00C1051A" w:rsidRPr="00FD274F" w14:paraId="5D4EF335" w14:textId="77777777" w:rsidTr="000C68CB">
        <w:tc>
          <w:tcPr>
            <w:tcW w:w="1413" w:type="dxa"/>
            <w:tcBorders>
              <w:bottom w:val="single" w:sz="4" w:space="0" w:color="auto"/>
            </w:tcBorders>
            <w:shd w:val="clear" w:color="auto" w:fill="auto"/>
          </w:tcPr>
          <w:p w14:paraId="5398C35E" w14:textId="77777777" w:rsidR="00C1051A" w:rsidRPr="009A4D26" w:rsidRDefault="00C1051A" w:rsidP="00C1051A">
            <w:pPr>
              <w:pStyle w:val="Tabletext"/>
            </w:pPr>
            <w:r w:rsidRPr="009A4D26">
              <w:t>Rule</w:t>
            </w:r>
          </w:p>
        </w:tc>
        <w:tc>
          <w:tcPr>
            <w:tcW w:w="7613" w:type="dxa"/>
            <w:tcBorders>
              <w:bottom w:val="single" w:sz="4" w:space="0" w:color="auto"/>
            </w:tcBorders>
            <w:shd w:val="clear" w:color="auto" w:fill="auto"/>
          </w:tcPr>
          <w:p w14:paraId="268BD3F4" w14:textId="48B01478" w:rsidR="00C1051A" w:rsidRPr="009A4D26" w:rsidRDefault="00C1051A" w:rsidP="00C1051A">
            <w:pPr>
              <w:pStyle w:val="Tabletext"/>
            </w:pPr>
            <w:r w:rsidRPr="009A4D26">
              <w:t xml:space="preserve">the </w:t>
            </w:r>
            <w:hyperlink r:id="rId19" w:history="1">
              <w:r w:rsidRPr="009A4D26">
                <w:rPr>
                  <w:rStyle w:val="Hyperlink"/>
                  <w:i/>
                </w:rPr>
                <w:t>Legislation Rule 2016</w:t>
              </w:r>
            </w:hyperlink>
          </w:p>
        </w:tc>
      </w:tr>
      <w:tr w:rsidR="00C1051A" w:rsidRPr="00FD274F" w14:paraId="66531915" w14:textId="77777777" w:rsidTr="000C68CB">
        <w:tc>
          <w:tcPr>
            <w:tcW w:w="1413" w:type="dxa"/>
            <w:tcBorders>
              <w:bottom w:val="single" w:sz="4" w:space="0" w:color="auto"/>
            </w:tcBorders>
            <w:shd w:val="clear" w:color="auto" w:fill="auto"/>
          </w:tcPr>
          <w:p w14:paraId="38D5219B" w14:textId="77777777" w:rsidR="00C1051A" w:rsidRPr="009A4D26" w:rsidRDefault="00C1051A" w:rsidP="00C1051A">
            <w:pPr>
              <w:pStyle w:val="Tabletext"/>
            </w:pPr>
            <w:r w:rsidRPr="009A4D26">
              <w:t>s</w:t>
            </w:r>
          </w:p>
        </w:tc>
        <w:tc>
          <w:tcPr>
            <w:tcW w:w="7613" w:type="dxa"/>
            <w:tcBorders>
              <w:bottom w:val="single" w:sz="4" w:space="0" w:color="auto"/>
            </w:tcBorders>
            <w:shd w:val="clear" w:color="auto" w:fill="auto"/>
          </w:tcPr>
          <w:p w14:paraId="6376F99E" w14:textId="77777777" w:rsidR="00C1051A" w:rsidRPr="009A4D26" w:rsidRDefault="00C1051A" w:rsidP="00C1051A">
            <w:pPr>
              <w:pStyle w:val="Tabletext"/>
            </w:pPr>
            <w:r w:rsidRPr="009A4D26">
              <w:t>section (or equivalent)</w:t>
            </w:r>
          </w:p>
        </w:tc>
      </w:tr>
      <w:tr w:rsidR="00C1051A" w:rsidRPr="00FD274F" w14:paraId="62E76EDB" w14:textId="77777777" w:rsidTr="000C68CB">
        <w:tc>
          <w:tcPr>
            <w:tcW w:w="1413" w:type="dxa"/>
            <w:tcBorders>
              <w:bottom w:val="single" w:sz="12" w:space="0" w:color="auto"/>
            </w:tcBorders>
            <w:shd w:val="clear" w:color="auto" w:fill="auto"/>
          </w:tcPr>
          <w:p w14:paraId="1CF6300B" w14:textId="77777777" w:rsidR="00C1051A" w:rsidRPr="00FD274F" w:rsidRDefault="00C1051A" w:rsidP="00C1051A">
            <w:pPr>
              <w:pStyle w:val="Tabletext"/>
            </w:pPr>
            <w:r>
              <w:t>SDLC</w:t>
            </w:r>
          </w:p>
        </w:tc>
        <w:tc>
          <w:tcPr>
            <w:tcW w:w="7613" w:type="dxa"/>
            <w:tcBorders>
              <w:bottom w:val="single" w:sz="12" w:space="0" w:color="auto"/>
            </w:tcBorders>
            <w:shd w:val="clear" w:color="auto" w:fill="auto"/>
          </w:tcPr>
          <w:p w14:paraId="2B9DE1AD" w14:textId="77777777" w:rsidR="00C1051A" w:rsidRPr="009A4D26" w:rsidRDefault="00C1051A" w:rsidP="00C1051A">
            <w:pPr>
              <w:pStyle w:val="Tabletext"/>
            </w:pPr>
            <w:r w:rsidRPr="009A4D26">
              <w:t>Senate Standing Committee for the Scrutiny of Delegated Legislation</w:t>
            </w:r>
          </w:p>
        </w:tc>
      </w:tr>
    </w:tbl>
    <w:p w14:paraId="34EAE617" w14:textId="77777777" w:rsidR="00727ED5" w:rsidRPr="00FD274F" w:rsidRDefault="00727ED5" w:rsidP="004855B6">
      <w:pPr>
        <w:pStyle w:val="Head2"/>
        <w:pageBreakBefore/>
        <w:spacing w:before="0" w:after="240"/>
      </w:pPr>
      <w:bookmarkStart w:id="4" w:name="_Toc183694617"/>
      <w:r w:rsidRPr="00FD274F">
        <w:lastRenderedPageBreak/>
        <w:t>Contents</w:t>
      </w:r>
      <w:bookmarkEnd w:id="4"/>
    </w:p>
    <w:p w14:paraId="58152E8B" w14:textId="5EDA9FE9" w:rsidR="00C41883" w:rsidRDefault="00727ED5">
      <w:pPr>
        <w:pStyle w:val="TOC2"/>
        <w:rPr>
          <w:rFonts w:asciiTheme="minorHAnsi" w:eastAsiaTheme="minorEastAsia" w:hAnsiTheme="minorHAnsi" w:cstheme="minorBidi"/>
          <w:b w:val="0"/>
          <w:noProof/>
          <w:kern w:val="0"/>
          <w:sz w:val="22"/>
          <w:szCs w:val="22"/>
        </w:rPr>
      </w:pPr>
      <w:r w:rsidRPr="00805ED3">
        <w:fldChar w:fldCharType="begin"/>
      </w:r>
      <w:r w:rsidRPr="00FD274F">
        <w:instrText xml:space="preserve"> TOC \o "2-9" </w:instrText>
      </w:r>
      <w:r w:rsidRPr="00805ED3">
        <w:fldChar w:fldCharType="separate"/>
      </w:r>
      <w:r w:rsidR="00C41883">
        <w:rPr>
          <w:noProof/>
        </w:rPr>
        <w:t>About this Handbook</w:t>
      </w:r>
      <w:r w:rsidR="00C41883">
        <w:rPr>
          <w:noProof/>
        </w:rPr>
        <w:tab/>
      </w:r>
      <w:r w:rsidR="00C41883">
        <w:rPr>
          <w:noProof/>
        </w:rPr>
        <w:fldChar w:fldCharType="begin"/>
      </w:r>
      <w:r w:rsidR="00C41883">
        <w:rPr>
          <w:noProof/>
        </w:rPr>
        <w:instrText xml:space="preserve"> PAGEREF _Toc183694615 \h </w:instrText>
      </w:r>
      <w:r w:rsidR="00C41883">
        <w:rPr>
          <w:noProof/>
        </w:rPr>
      </w:r>
      <w:r w:rsidR="00C41883">
        <w:rPr>
          <w:noProof/>
        </w:rPr>
        <w:fldChar w:fldCharType="separate"/>
      </w:r>
      <w:r w:rsidR="00833171">
        <w:rPr>
          <w:noProof/>
        </w:rPr>
        <w:t>iii</w:t>
      </w:r>
      <w:r w:rsidR="00C41883">
        <w:rPr>
          <w:noProof/>
        </w:rPr>
        <w:fldChar w:fldCharType="end"/>
      </w:r>
    </w:p>
    <w:p w14:paraId="3FA77D23" w14:textId="1810C9E4" w:rsidR="00C41883" w:rsidRDefault="00C41883">
      <w:pPr>
        <w:pStyle w:val="TOC2"/>
        <w:rPr>
          <w:rFonts w:asciiTheme="minorHAnsi" w:eastAsiaTheme="minorEastAsia" w:hAnsiTheme="minorHAnsi" w:cstheme="minorBidi"/>
          <w:b w:val="0"/>
          <w:noProof/>
          <w:kern w:val="0"/>
          <w:sz w:val="22"/>
          <w:szCs w:val="22"/>
        </w:rPr>
      </w:pPr>
      <w:r>
        <w:rPr>
          <w:noProof/>
        </w:rPr>
        <w:t>Abbreviation key</w:t>
      </w:r>
      <w:r>
        <w:rPr>
          <w:noProof/>
        </w:rPr>
        <w:tab/>
      </w:r>
      <w:r>
        <w:rPr>
          <w:noProof/>
        </w:rPr>
        <w:fldChar w:fldCharType="begin"/>
      </w:r>
      <w:r>
        <w:rPr>
          <w:noProof/>
        </w:rPr>
        <w:instrText xml:space="preserve"> PAGEREF _Toc183694616 \h </w:instrText>
      </w:r>
      <w:r>
        <w:rPr>
          <w:noProof/>
        </w:rPr>
      </w:r>
      <w:r>
        <w:rPr>
          <w:noProof/>
        </w:rPr>
        <w:fldChar w:fldCharType="separate"/>
      </w:r>
      <w:r w:rsidR="00833171">
        <w:rPr>
          <w:noProof/>
        </w:rPr>
        <w:t>iii</w:t>
      </w:r>
      <w:r>
        <w:rPr>
          <w:noProof/>
        </w:rPr>
        <w:fldChar w:fldCharType="end"/>
      </w:r>
    </w:p>
    <w:p w14:paraId="17787E1C" w14:textId="30163F7A" w:rsidR="00C41883" w:rsidRDefault="00C41883">
      <w:pPr>
        <w:pStyle w:val="TOC2"/>
        <w:rPr>
          <w:rFonts w:asciiTheme="minorHAnsi" w:eastAsiaTheme="minorEastAsia" w:hAnsiTheme="minorHAnsi" w:cstheme="minorBidi"/>
          <w:b w:val="0"/>
          <w:noProof/>
          <w:kern w:val="0"/>
          <w:sz w:val="22"/>
          <w:szCs w:val="22"/>
        </w:rPr>
      </w:pPr>
      <w:r>
        <w:rPr>
          <w:noProof/>
        </w:rPr>
        <w:t>Contents</w:t>
      </w:r>
      <w:r>
        <w:rPr>
          <w:noProof/>
        </w:rPr>
        <w:tab/>
      </w:r>
      <w:r w:rsidR="00A94B31">
        <w:rPr>
          <w:noProof/>
        </w:rPr>
        <w:tab/>
      </w:r>
      <w:r>
        <w:rPr>
          <w:noProof/>
        </w:rPr>
        <w:fldChar w:fldCharType="begin"/>
      </w:r>
      <w:r>
        <w:rPr>
          <w:noProof/>
        </w:rPr>
        <w:instrText xml:space="preserve"> PAGEREF _Toc183694617 \h </w:instrText>
      </w:r>
      <w:r>
        <w:rPr>
          <w:noProof/>
        </w:rPr>
      </w:r>
      <w:r>
        <w:rPr>
          <w:noProof/>
        </w:rPr>
        <w:fldChar w:fldCharType="separate"/>
      </w:r>
      <w:r w:rsidR="00833171">
        <w:rPr>
          <w:noProof/>
        </w:rPr>
        <w:t>iv</w:t>
      </w:r>
      <w:r>
        <w:rPr>
          <w:noProof/>
        </w:rPr>
        <w:fldChar w:fldCharType="end"/>
      </w:r>
    </w:p>
    <w:p w14:paraId="048ABC36" w14:textId="3FB9F1FC" w:rsidR="00C41883" w:rsidRDefault="00C41883">
      <w:pPr>
        <w:pStyle w:val="TOC2"/>
        <w:rPr>
          <w:rFonts w:asciiTheme="minorHAnsi" w:eastAsiaTheme="minorEastAsia" w:hAnsiTheme="minorHAnsi" w:cstheme="minorBidi"/>
          <w:b w:val="0"/>
          <w:noProof/>
          <w:kern w:val="0"/>
          <w:sz w:val="22"/>
          <w:szCs w:val="22"/>
        </w:rPr>
      </w:pPr>
      <w:r>
        <w:rPr>
          <w:noProof/>
        </w:rPr>
        <w:t>Part 1—Matters relevant to all instruments</w:t>
      </w:r>
      <w:r>
        <w:rPr>
          <w:noProof/>
        </w:rPr>
        <w:tab/>
      </w:r>
      <w:r>
        <w:rPr>
          <w:noProof/>
        </w:rPr>
        <w:fldChar w:fldCharType="begin"/>
      </w:r>
      <w:r>
        <w:rPr>
          <w:noProof/>
        </w:rPr>
        <w:instrText xml:space="preserve"> PAGEREF _Toc183694618 \h </w:instrText>
      </w:r>
      <w:r>
        <w:rPr>
          <w:noProof/>
        </w:rPr>
      </w:r>
      <w:r>
        <w:rPr>
          <w:noProof/>
        </w:rPr>
        <w:fldChar w:fldCharType="separate"/>
      </w:r>
      <w:r w:rsidR="00833171">
        <w:rPr>
          <w:noProof/>
        </w:rPr>
        <w:t>1</w:t>
      </w:r>
      <w:r>
        <w:rPr>
          <w:noProof/>
        </w:rPr>
        <w:fldChar w:fldCharType="end"/>
      </w:r>
    </w:p>
    <w:p w14:paraId="59631465" w14:textId="1FFF9AE5" w:rsidR="00C41883" w:rsidRDefault="00C41883">
      <w:pPr>
        <w:pStyle w:val="TOC2"/>
        <w:rPr>
          <w:rFonts w:asciiTheme="minorHAnsi" w:eastAsiaTheme="minorEastAsia" w:hAnsiTheme="minorHAnsi" w:cstheme="minorBidi"/>
          <w:b w:val="0"/>
          <w:noProof/>
          <w:kern w:val="0"/>
          <w:sz w:val="22"/>
          <w:szCs w:val="22"/>
        </w:rPr>
      </w:pPr>
      <w:r>
        <w:rPr>
          <w:noProof/>
        </w:rPr>
        <w:t>Chapter 1—Introduction</w:t>
      </w:r>
      <w:r>
        <w:rPr>
          <w:noProof/>
        </w:rPr>
        <w:tab/>
      </w:r>
      <w:r>
        <w:rPr>
          <w:noProof/>
        </w:rPr>
        <w:fldChar w:fldCharType="begin"/>
      </w:r>
      <w:r>
        <w:rPr>
          <w:noProof/>
        </w:rPr>
        <w:instrText xml:space="preserve"> PAGEREF _Toc183694619 \h </w:instrText>
      </w:r>
      <w:r>
        <w:rPr>
          <w:noProof/>
        </w:rPr>
      </w:r>
      <w:r>
        <w:rPr>
          <w:noProof/>
        </w:rPr>
        <w:fldChar w:fldCharType="separate"/>
      </w:r>
      <w:r w:rsidR="00833171">
        <w:rPr>
          <w:noProof/>
        </w:rPr>
        <w:t>1</w:t>
      </w:r>
      <w:r>
        <w:rPr>
          <w:noProof/>
        </w:rPr>
        <w:fldChar w:fldCharType="end"/>
      </w:r>
    </w:p>
    <w:p w14:paraId="49124A0C" w14:textId="34791EA6" w:rsidR="00C41883" w:rsidRDefault="00C41883">
      <w:pPr>
        <w:pStyle w:val="TOC3"/>
        <w:rPr>
          <w:rFonts w:asciiTheme="minorHAnsi" w:eastAsiaTheme="minorEastAsia" w:hAnsiTheme="minorHAnsi" w:cstheme="minorBidi"/>
          <w:b w:val="0"/>
          <w:noProof/>
          <w:kern w:val="0"/>
          <w:szCs w:val="22"/>
        </w:rPr>
      </w:pPr>
      <w:r>
        <w:rPr>
          <w:noProof/>
        </w:rPr>
        <w:t>Background</w:t>
      </w:r>
      <w:r w:rsidR="00A94B31">
        <w:rPr>
          <w:noProof/>
        </w:rPr>
        <w:tab/>
      </w:r>
      <w:r>
        <w:rPr>
          <w:noProof/>
        </w:rPr>
        <w:tab/>
      </w:r>
      <w:r>
        <w:rPr>
          <w:noProof/>
        </w:rPr>
        <w:fldChar w:fldCharType="begin"/>
      </w:r>
      <w:r>
        <w:rPr>
          <w:noProof/>
        </w:rPr>
        <w:instrText xml:space="preserve"> PAGEREF _Toc183694620 \h </w:instrText>
      </w:r>
      <w:r>
        <w:rPr>
          <w:noProof/>
        </w:rPr>
      </w:r>
      <w:r>
        <w:rPr>
          <w:noProof/>
        </w:rPr>
        <w:fldChar w:fldCharType="separate"/>
      </w:r>
      <w:r w:rsidR="00833171">
        <w:rPr>
          <w:noProof/>
        </w:rPr>
        <w:t>1</w:t>
      </w:r>
      <w:r>
        <w:rPr>
          <w:noProof/>
        </w:rPr>
        <w:fldChar w:fldCharType="end"/>
      </w:r>
    </w:p>
    <w:p w14:paraId="5DAF82A7" w14:textId="1298B1FF" w:rsidR="00C41883" w:rsidRDefault="00C41883">
      <w:pPr>
        <w:pStyle w:val="TOC3"/>
        <w:rPr>
          <w:rFonts w:asciiTheme="minorHAnsi" w:eastAsiaTheme="minorEastAsia" w:hAnsiTheme="minorHAnsi" w:cstheme="minorBidi"/>
          <w:b w:val="0"/>
          <w:noProof/>
          <w:kern w:val="0"/>
          <w:szCs w:val="22"/>
        </w:rPr>
      </w:pPr>
      <w:r>
        <w:rPr>
          <w:noProof/>
        </w:rPr>
        <w:t>The Legislative Instruments Act 2003 (the LIA)</w:t>
      </w:r>
      <w:r>
        <w:rPr>
          <w:noProof/>
        </w:rPr>
        <w:tab/>
      </w:r>
      <w:r>
        <w:rPr>
          <w:noProof/>
        </w:rPr>
        <w:fldChar w:fldCharType="begin"/>
      </w:r>
      <w:r>
        <w:rPr>
          <w:noProof/>
        </w:rPr>
        <w:instrText xml:space="preserve"> PAGEREF _Toc183694621 \h </w:instrText>
      </w:r>
      <w:r>
        <w:rPr>
          <w:noProof/>
        </w:rPr>
      </w:r>
      <w:r>
        <w:rPr>
          <w:noProof/>
        </w:rPr>
        <w:fldChar w:fldCharType="separate"/>
      </w:r>
      <w:r w:rsidR="00833171">
        <w:rPr>
          <w:noProof/>
        </w:rPr>
        <w:t>2</w:t>
      </w:r>
      <w:r>
        <w:rPr>
          <w:noProof/>
        </w:rPr>
        <w:fldChar w:fldCharType="end"/>
      </w:r>
    </w:p>
    <w:p w14:paraId="313427C5" w14:textId="6D6C35C2" w:rsidR="00C41883" w:rsidRDefault="00C41883">
      <w:pPr>
        <w:pStyle w:val="TOC3"/>
        <w:rPr>
          <w:rFonts w:asciiTheme="minorHAnsi" w:eastAsiaTheme="minorEastAsia" w:hAnsiTheme="minorHAnsi" w:cstheme="minorBidi"/>
          <w:b w:val="0"/>
          <w:noProof/>
          <w:kern w:val="0"/>
          <w:szCs w:val="22"/>
        </w:rPr>
      </w:pPr>
      <w:r>
        <w:rPr>
          <w:noProof/>
        </w:rPr>
        <w:t>The Legislation Act 2003 (the LA)</w:t>
      </w:r>
      <w:r>
        <w:rPr>
          <w:noProof/>
        </w:rPr>
        <w:tab/>
      </w:r>
      <w:r>
        <w:rPr>
          <w:noProof/>
        </w:rPr>
        <w:fldChar w:fldCharType="begin"/>
      </w:r>
      <w:r>
        <w:rPr>
          <w:noProof/>
        </w:rPr>
        <w:instrText xml:space="preserve"> PAGEREF _Toc183694622 \h </w:instrText>
      </w:r>
      <w:r>
        <w:rPr>
          <w:noProof/>
        </w:rPr>
      </w:r>
      <w:r>
        <w:rPr>
          <w:noProof/>
        </w:rPr>
        <w:fldChar w:fldCharType="separate"/>
      </w:r>
      <w:r w:rsidR="00833171">
        <w:rPr>
          <w:noProof/>
        </w:rPr>
        <w:t>2</w:t>
      </w:r>
      <w:r>
        <w:rPr>
          <w:noProof/>
        </w:rPr>
        <w:fldChar w:fldCharType="end"/>
      </w:r>
    </w:p>
    <w:p w14:paraId="38E68802" w14:textId="0EB0DD4A" w:rsidR="00C41883" w:rsidRDefault="00C41883">
      <w:pPr>
        <w:pStyle w:val="TOC3"/>
        <w:rPr>
          <w:rFonts w:asciiTheme="minorHAnsi" w:eastAsiaTheme="minorEastAsia" w:hAnsiTheme="minorHAnsi" w:cstheme="minorBidi"/>
          <w:b w:val="0"/>
          <w:noProof/>
          <w:kern w:val="0"/>
          <w:szCs w:val="22"/>
        </w:rPr>
      </w:pPr>
      <w:r>
        <w:rPr>
          <w:noProof/>
        </w:rPr>
        <w:t>Sunsetting Review</w:t>
      </w:r>
      <w:r>
        <w:rPr>
          <w:noProof/>
        </w:rPr>
        <w:tab/>
      </w:r>
      <w:r>
        <w:rPr>
          <w:noProof/>
        </w:rPr>
        <w:fldChar w:fldCharType="begin"/>
      </w:r>
      <w:r>
        <w:rPr>
          <w:noProof/>
        </w:rPr>
        <w:instrText xml:space="preserve"> PAGEREF _Toc183694623 \h </w:instrText>
      </w:r>
      <w:r>
        <w:rPr>
          <w:noProof/>
        </w:rPr>
      </w:r>
      <w:r>
        <w:rPr>
          <w:noProof/>
        </w:rPr>
        <w:fldChar w:fldCharType="separate"/>
      </w:r>
      <w:r w:rsidR="00833171">
        <w:rPr>
          <w:noProof/>
        </w:rPr>
        <w:t>2</w:t>
      </w:r>
      <w:r>
        <w:rPr>
          <w:noProof/>
        </w:rPr>
        <w:fldChar w:fldCharType="end"/>
      </w:r>
    </w:p>
    <w:p w14:paraId="7EFC8D97" w14:textId="7D031C96" w:rsidR="00C41883" w:rsidRDefault="00C41883">
      <w:pPr>
        <w:pStyle w:val="TOC3"/>
        <w:rPr>
          <w:rFonts w:asciiTheme="minorHAnsi" w:eastAsiaTheme="minorEastAsia" w:hAnsiTheme="minorHAnsi" w:cstheme="minorBidi"/>
          <w:b w:val="0"/>
          <w:noProof/>
          <w:kern w:val="0"/>
          <w:szCs w:val="22"/>
        </w:rPr>
      </w:pPr>
      <w:r>
        <w:rPr>
          <w:noProof/>
        </w:rPr>
        <w:t>Further statutory reviews</w:t>
      </w:r>
      <w:r>
        <w:rPr>
          <w:noProof/>
        </w:rPr>
        <w:tab/>
      </w:r>
      <w:r>
        <w:rPr>
          <w:noProof/>
        </w:rPr>
        <w:fldChar w:fldCharType="begin"/>
      </w:r>
      <w:r>
        <w:rPr>
          <w:noProof/>
        </w:rPr>
        <w:instrText xml:space="preserve"> PAGEREF _Toc183694624 \h </w:instrText>
      </w:r>
      <w:r>
        <w:rPr>
          <w:noProof/>
        </w:rPr>
      </w:r>
      <w:r>
        <w:rPr>
          <w:noProof/>
        </w:rPr>
        <w:fldChar w:fldCharType="separate"/>
      </w:r>
      <w:r w:rsidR="00833171">
        <w:rPr>
          <w:noProof/>
        </w:rPr>
        <w:t>3</w:t>
      </w:r>
      <w:r>
        <w:rPr>
          <w:noProof/>
        </w:rPr>
        <w:fldChar w:fldCharType="end"/>
      </w:r>
    </w:p>
    <w:p w14:paraId="39D0C408" w14:textId="11525747" w:rsidR="00C41883" w:rsidRDefault="00C41883">
      <w:pPr>
        <w:pStyle w:val="TOC2"/>
        <w:rPr>
          <w:rFonts w:asciiTheme="minorHAnsi" w:eastAsiaTheme="minorEastAsia" w:hAnsiTheme="minorHAnsi" w:cstheme="minorBidi"/>
          <w:b w:val="0"/>
          <w:noProof/>
          <w:kern w:val="0"/>
          <w:sz w:val="22"/>
          <w:szCs w:val="22"/>
        </w:rPr>
      </w:pPr>
      <w:r>
        <w:rPr>
          <w:noProof/>
        </w:rPr>
        <w:t>Chapter 2—Key concepts</w:t>
      </w:r>
      <w:r>
        <w:rPr>
          <w:noProof/>
        </w:rPr>
        <w:tab/>
      </w:r>
      <w:r>
        <w:rPr>
          <w:noProof/>
        </w:rPr>
        <w:fldChar w:fldCharType="begin"/>
      </w:r>
      <w:r>
        <w:rPr>
          <w:noProof/>
        </w:rPr>
        <w:instrText xml:space="preserve"> PAGEREF _Toc183694625 \h </w:instrText>
      </w:r>
      <w:r>
        <w:rPr>
          <w:noProof/>
        </w:rPr>
      </w:r>
      <w:r>
        <w:rPr>
          <w:noProof/>
        </w:rPr>
        <w:fldChar w:fldCharType="separate"/>
      </w:r>
      <w:r w:rsidR="00833171">
        <w:rPr>
          <w:noProof/>
        </w:rPr>
        <w:t>4</w:t>
      </w:r>
      <w:r>
        <w:rPr>
          <w:noProof/>
        </w:rPr>
        <w:fldChar w:fldCharType="end"/>
      </w:r>
    </w:p>
    <w:p w14:paraId="18FD2938" w14:textId="377C85CE" w:rsidR="00C41883" w:rsidRDefault="00C41883">
      <w:pPr>
        <w:pStyle w:val="TOC3"/>
        <w:rPr>
          <w:rFonts w:asciiTheme="minorHAnsi" w:eastAsiaTheme="minorEastAsia" w:hAnsiTheme="minorHAnsi" w:cstheme="minorBidi"/>
          <w:b w:val="0"/>
          <w:noProof/>
          <w:kern w:val="0"/>
          <w:szCs w:val="22"/>
        </w:rPr>
      </w:pPr>
      <w:r>
        <w:rPr>
          <w:noProof/>
        </w:rPr>
        <w:t>Who is a rule</w:t>
      </w:r>
      <w:r>
        <w:rPr>
          <w:noProof/>
        </w:rPr>
        <w:noBreakHyphen/>
        <w:t>maker?</w:t>
      </w:r>
      <w:r>
        <w:rPr>
          <w:noProof/>
        </w:rPr>
        <w:tab/>
      </w:r>
      <w:r>
        <w:rPr>
          <w:noProof/>
        </w:rPr>
        <w:fldChar w:fldCharType="begin"/>
      </w:r>
      <w:r>
        <w:rPr>
          <w:noProof/>
        </w:rPr>
        <w:instrText xml:space="preserve"> PAGEREF _Toc183694626 \h </w:instrText>
      </w:r>
      <w:r>
        <w:rPr>
          <w:noProof/>
        </w:rPr>
      </w:r>
      <w:r>
        <w:rPr>
          <w:noProof/>
        </w:rPr>
        <w:fldChar w:fldCharType="separate"/>
      </w:r>
      <w:r w:rsidR="00833171">
        <w:rPr>
          <w:noProof/>
        </w:rPr>
        <w:t>4</w:t>
      </w:r>
      <w:r>
        <w:rPr>
          <w:noProof/>
        </w:rPr>
        <w:fldChar w:fldCharType="end"/>
      </w:r>
    </w:p>
    <w:p w14:paraId="432319AB" w14:textId="32B8333A" w:rsidR="00C41883" w:rsidRDefault="00C41883">
      <w:pPr>
        <w:pStyle w:val="TOC3"/>
        <w:rPr>
          <w:rFonts w:asciiTheme="minorHAnsi" w:eastAsiaTheme="minorEastAsia" w:hAnsiTheme="minorHAnsi" w:cstheme="minorBidi"/>
          <w:b w:val="0"/>
          <w:noProof/>
          <w:kern w:val="0"/>
          <w:szCs w:val="22"/>
        </w:rPr>
      </w:pPr>
      <w:r>
        <w:rPr>
          <w:noProof/>
        </w:rPr>
        <w:t>What is an instrument?</w:t>
      </w:r>
      <w:r>
        <w:rPr>
          <w:noProof/>
        </w:rPr>
        <w:tab/>
      </w:r>
      <w:r>
        <w:rPr>
          <w:noProof/>
        </w:rPr>
        <w:fldChar w:fldCharType="begin"/>
      </w:r>
      <w:r>
        <w:rPr>
          <w:noProof/>
        </w:rPr>
        <w:instrText xml:space="preserve"> PAGEREF _Toc183694627 \h </w:instrText>
      </w:r>
      <w:r>
        <w:rPr>
          <w:noProof/>
        </w:rPr>
      </w:r>
      <w:r>
        <w:rPr>
          <w:noProof/>
        </w:rPr>
        <w:fldChar w:fldCharType="separate"/>
      </w:r>
      <w:r w:rsidR="00833171">
        <w:rPr>
          <w:noProof/>
        </w:rPr>
        <w:t>5</w:t>
      </w:r>
      <w:r>
        <w:rPr>
          <w:noProof/>
        </w:rPr>
        <w:fldChar w:fldCharType="end"/>
      </w:r>
    </w:p>
    <w:p w14:paraId="349C842C" w14:textId="7EA10D86" w:rsidR="00C41883" w:rsidRDefault="00C41883">
      <w:pPr>
        <w:pStyle w:val="TOC4"/>
        <w:rPr>
          <w:rFonts w:asciiTheme="minorHAnsi" w:eastAsiaTheme="minorEastAsia" w:hAnsiTheme="minorHAnsi" w:cstheme="minorBidi"/>
          <w:b w:val="0"/>
          <w:noProof/>
          <w:kern w:val="0"/>
          <w:sz w:val="22"/>
          <w:szCs w:val="22"/>
        </w:rPr>
      </w:pPr>
      <w:r>
        <w:rPr>
          <w:noProof/>
        </w:rPr>
        <w:t>Instruments that commence, amend or repeal registered laws</w:t>
      </w:r>
      <w:r>
        <w:rPr>
          <w:noProof/>
        </w:rPr>
        <w:tab/>
      </w:r>
      <w:r>
        <w:rPr>
          <w:noProof/>
        </w:rPr>
        <w:fldChar w:fldCharType="begin"/>
      </w:r>
      <w:r>
        <w:rPr>
          <w:noProof/>
        </w:rPr>
        <w:instrText xml:space="preserve"> PAGEREF _Toc183694628 \h </w:instrText>
      </w:r>
      <w:r>
        <w:rPr>
          <w:noProof/>
        </w:rPr>
      </w:r>
      <w:r>
        <w:rPr>
          <w:noProof/>
        </w:rPr>
        <w:fldChar w:fldCharType="separate"/>
      </w:r>
      <w:r w:rsidR="00833171">
        <w:rPr>
          <w:noProof/>
        </w:rPr>
        <w:t>5</w:t>
      </w:r>
      <w:r>
        <w:rPr>
          <w:noProof/>
        </w:rPr>
        <w:fldChar w:fldCharType="end"/>
      </w:r>
    </w:p>
    <w:p w14:paraId="738757A9" w14:textId="6598E473" w:rsidR="00C41883" w:rsidRDefault="00C41883">
      <w:pPr>
        <w:pStyle w:val="TOC4"/>
        <w:rPr>
          <w:rFonts w:asciiTheme="minorHAnsi" w:eastAsiaTheme="minorEastAsia" w:hAnsiTheme="minorHAnsi" w:cstheme="minorBidi"/>
          <w:b w:val="0"/>
          <w:noProof/>
          <w:kern w:val="0"/>
          <w:sz w:val="22"/>
          <w:szCs w:val="22"/>
        </w:rPr>
      </w:pPr>
      <w:r>
        <w:rPr>
          <w:noProof/>
        </w:rPr>
        <w:t>Instruments declared to be legislative instruments</w:t>
      </w:r>
      <w:r>
        <w:rPr>
          <w:noProof/>
        </w:rPr>
        <w:tab/>
      </w:r>
      <w:r>
        <w:rPr>
          <w:noProof/>
        </w:rPr>
        <w:fldChar w:fldCharType="begin"/>
      </w:r>
      <w:r>
        <w:rPr>
          <w:noProof/>
        </w:rPr>
        <w:instrText xml:space="preserve"> PAGEREF _Toc183694629 \h </w:instrText>
      </w:r>
      <w:r>
        <w:rPr>
          <w:noProof/>
        </w:rPr>
      </w:r>
      <w:r>
        <w:rPr>
          <w:noProof/>
        </w:rPr>
        <w:fldChar w:fldCharType="separate"/>
      </w:r>
      <w:r w:rsidR="00833171">
        <w:rPr>
          <w:noProof/>
        </w:rPr>
        <w:t>6</w:t>
      </w:r>
      <w:r>
        <w:rPr>
          <w:noProof/>
        </w:rPr>
        <w:fldChar w:fldCharType="end"/>
      </w:r>
    </w:p>
    <w:p w14:paraId="2A3AD9C5" w14:textId="3088E1CD" w:rsidR="00C41883" w:rsidRDefault="00C41883">
      <w:pPr>
        <w:pStyle w:val="TOC4"/>
        <w:rPr>
          <w:rFonts w:asciiTheme="minorHAnsi" w:eastAsiaTheme="minorEastAsia" w:hAnsiTheme="minorHAnsi" w:cstheme="minorBidi"/>
          <w:b w:val="0"/>
          <w:noProof/>
          <w:kern w:val="0"/>
          <w:sz w:val="22"/>
          <w:szCs w:val="22"/>
        </w:rPr>
      </w:pPr>
      <w:r>
        <w:rPr>
          <w:noProof/>
        </w:rPr>
        <w:t>Instruments declared to be notifiable instruments</w:t>
      </w:r>
      <w:r>
        <w:rPr>
          <w:noProof/>
        </w:rPr>
        <w:tab/>
      </w:r>
      <w:r>
        <w:rPr>
          <w:noProof/>
        </w:rPr>
        <w:fldChar w:fldCharType="begin"/>
      </w:r>
      <w:r>
        <w:rPr>
          <w:noProof/>
        </w:rPr>
        <w:instrText xml:space="preserve"> PAGEREF _Toc183694630 \h </w:instrText>
      </w:r>
      <w:r>
        <w:rPr>
          <w:noProof/>
        </w:rPr>
      </w:r>
      <w:r>
        <w:rPr>
          <w:noProof/>
        </w:rPr>
        <w:fldChar w:fldCharType="separate"/>
      </w:r>
      <w:r w:rsidR="00833171">
        <w:rPr>
          <w:noProof/>
        </w:rPr>
        <w:t>6</w:t>
      </w:r>
      <w:r>
        <w:rPr>
          <w:noProof/>
        </w:rPr>
        <w:fldChar w:fldCharType="end"/>
      </w:r>
    </w:p>
    <w:p w14:paraId="2EC11948" w14:textId="776E416B" w:rsidR="00C41883" w:rsidRDefault="00C41883">
      <w:pPr>
        <w:pStyle w:val="TOC4"/>
        <w:rPr>
          <w:rFonts w:asciiTheme="minorHAnsi" w:eastAsiaTheme="minorEastAsia" w:hAnsiTheme="minorHAnsi" w:cstheme="minorBidi"/>
          <w:b w:val="0"/>
          <w:noProof/>
          <w:kern w:val="0"/>
          <w:sz w:val="22"/>
          <w:szCs w:val="22"/>
        </w:rPr>
      </w:pPr>
      <w:r>
        <w:rPr>
          <w:noProof/>
        </w:rPr>
        <w:t>Other instruments</w:t>
      </w:r>
      <w:r>
        <w:rPr>
          <w:noProof/>
        </w:rPr>
        <w:tab/>
      </w:r>
      <w:r>
        <w:rPr>
          <w:noProof/>
        </w:rPr>
        <w:fldChar w:fldCharType="begin"/>
      </w:r>
      <w:r>
        <w:rPr>
          <w:noProof/>
        </w:rPr>
        <w:instrText xml:space="preserve"> PAGEREF _Toc183694631 \h </w:instrText>
      </w:r>
      <w:r>
        <w:rPr>
          <w:noProof/>
        </w:rPr>
      </w:r>
      <w:r>
        <w:rPr>
          <w:noProof/>
        </w:rPr>
        <w:fldChar w:fldCharType="separate"/>
      </w:r>
      <w:r w:rsidR="00833171">
        <w:rPr>
          <w:noProof/>
        </w:rPr>
        <w:t>7</w:t>
      </w:r>
      <w:r>
        <w:rPr>
          <w:noProof/>
        </w:rPr>
        <w:fldChar w:fldCharType="end"/>
      </w:r>
    </w:p>
    <w:p w14:paraId="40F3BA45" w14:textId="6A83867C" w:rsidR="00C41883" w:rsidRDefault="00C41883">
      <w:pPr>
        <w:pStyle w:val="TOC3"/>
        <w:rPr>
          <w:rFonts w:asciiTheme="minorHAnsi" w:eastAsiaTheme="minorEastAsia" w:hAnsiTheme="minorHAnsi" w:cstheme="minorBidi"/>
          <w:b w:val="0"/>
          <w:noProof/>
          <w:kern w:val="0"/>
          <w:szCs w:val="22"/>
        </w:rPr>
      </w:pPr>
      <w:r>
        <w:rPr>
          <w:noProof/>
        </w:rPr>
        <w:t>If there is uncertainty about the status of an instrument</w:t>
      </w:r>
      <w:r>
        <w:rPr>
          <w:noProof/>
        </w:rPr>
        <w:tab/>
      </w:r>
      <w:r>
        <w:rPr>
          <w:noProof/>
        </w:rPr>
        <w:fldChar w:fldCharType="begin"/>
      </w:r>
      <w:r>
        <w:rPr>
          <w:noProof/>
        </w:rPr>
        <w:instrText xml:space="preserve"> PAGEREF _Toc183694632 \h </w:instrText>
      </w:r>
      <w:r>
        <w:rPr>
          <w:noProof/>
        </w:rPr>
      </w:r>
      <w:r>
        <w:rPr>
          <w:noProof/>
        </w:rPr>
        <w:fldChar w:fldCharType="separate"/>
      </w:r>
      <w:r w:rsidR="00833171">
        <w:rPr>
          <w:noProof/>
        </w:rPr>
        <w:t>8</w:t>
      </w:r>
      <w:r>
        <w:rPr>
          <w:noProof/>
        </w:rPr>
        <w:fldChar w:fldCharType="end"/>
      </w:r>
    </w:p>
    <w:p w14:paraId="613DBE1C" w14:textId="55D519FD" w:rsidR="00C41883" w:rsidRDefault="00C41883">
      <w:pPr>
        <w:pStyle w:val="TOC4"/>
        <w:rPr>
          <w:rFonts w:asciiTheme="minorHAnsi" w:eastAsiaTheme="minorEastAsia" w:hAnsiTheme="minorHAnsi" w:cstheme="minorBidi"/>
          <w:b w:val="0"/>
          <w:noProof/>
          <w:kern w:val="0"/>
          <w:sz w:val="22"/>
          <w:szCs w:val="22"/>
        </w:rPr>
      </w:pPr>
      <w:r>
        <w:rPr>
          <w:noProof/>
        </w:rPr>
        <w:t>For new instruments</w:t>
      </w:r>
      <w:r>
        <w:rPr>
          <w:noProof/>
        </w:rPr>
        <w:tab/>
      </w:r>
      <w:r>
        <w:rPr>
          <w:noProof/>
        </w:rPr>
        <w:fldChar w:fldCharType="begin"/>
      </w:r>
      <w:r>
        <w:rPr>
          <w:noProof/>
        </w:rPr>
        <w:instrText xml:space="preserve"> PAGEREF _Toc183694633 \h </w:instrText>
      </w:r>
      <w:r>
        <w:rPr>
          <w:noProof/>
        </w:rPr>
      </w:r>
      <w:r>
        <w:rPr>
          <w:noProof/>
        </w:rPr>
        <w:fldChar w:fldCharType="separate"/>
      </w:r>
      <w:r w:rsidR="00833171">
        <w:rPr>
          <w:noProof/>
        </w:rPr>
        <w:t>8</w:t>
      </w:r>
      <w:r>
        <w:rPr>
          <w:noProof/>
        </w:rPr>
        <w:fldChar w:fldCharType="end"/>
      </w:r>
    </w:p>
    <w:p w14:paraId="18B3183C" w14:textId="6596E0CE" w:rsidR="00C41883" w:rsidRDefault="00C41883">
      <w:pPr>
        <w:pStyle w:val="TOC4"/>
        <w:rPr>
          <w:rFonts w:asciiTheme="minorHAnsi" w:eastAsiaTheme="minorEastAsia" w:hAnsiTheme="minorHAnsi" w:cstheme="minorBidi"/>
          <w:b w:val="0"/>
          <w:noProof/>
          <w:kern w:val="0"/>
          <w:sz w:val="22"/>
          <w:szCs w:val="22"/>
        </w:rPr>
      </w:pPr>
      <w:r>
        <w:rPr>
          <w:noProof/>
        </w:rPr>
        <w:t>For older instruments</w:t>
      </w:r>
      <w:r>
        <w:rPr>
          <w:noProof/>
        </w:rPr>
        <w:tab/>
      </w:r>
      <w:r>
        <w:rPr>
          <w:noProof/>
        </w:rPr>
        <w:fldChar w:fldCharType="begin"/>
      </w:r>
      <w:r>
        <w:rPr>
          <w:noProof/>
        </w:rPr>
        <w:instrText xml:space="preserve"> PAGEREF _Toc183694634 \h </w:instrText>
      </w:r>
      <w:r>
        <w:rPr>
          <w:noProof/>
        </w:rPr>
      </w:r>
      <w:r>
        <w:rPr>
          <w:noProof/>
        </w:rPr>
        <w:fldChar w:fldCharType="separate"/>
      </w:r>
      <w:r w:rsidR="00833171">
        <w:rPr>
          <w:noProof/>
        </w:rPr>
        <w:t>9</w:t>
      </w:r>
      <w:r>
        <w:rPr>
          <w:noProof/>
        </w:rPr>
        <w:fldChar w:fldCharType="end"/>
      </w:r>
    </w:p>
    <w:p w14:paraId="29B56408" w14:textId="4313BE22" w:rsidR="00C41883" w:rsidRDefault="00C41883">
      <w:pPr>
        <w:pStyle w:val="TOC3"/>
        <w:rPr>
          <w:rFonts w:asciiTheme="minorHAnsi" w:eastAsiaTheme="minorEastAsia" w:hAnsiTheme="minorHAnsi" w:cstheme="minorBidi"/>
          <w:b w:val="0"/>
          <w:noProof/>
          <w:kern w:val="0"/>
          <w:szCs w:val="22"/>
        </w:rPr>
      </w:pPr>
      <w:r>
        <w:rPr>
          <w:noProof/>
        </w:rPr>
        <w:t>What is the Federal Register of Legislation?</w:t>
      </w:r>
      <w:r>
        <w:rPr>
          <w:noProof/>
        </w:rPr>
        <w:tab/>
      </w:r>
      <w:r>
        <w:rPr>
          <w:noProof/>
        </w:rPr>
        <w:fldChar w:fldCharType="begin"/>
      </w:r>
      <w:r>
        <w:rPr>
          <w:noProof/>
        </w:rPr>
        <w:instrText xml:space="preserve"> PAGEREF _Toc183694635 \h </w:instrText>
      </w:r>
      <w:r>
        <w:rPr>
          <w:noProof/>
        </w:rPr>
      </w:r>
      <w:r>
        <w:rPr>
          <w:noProof/>
        </w:rPr>
        <w:fldChar w:fldCharType="separate"/>
      </w:r>
      <w:r w:rsidR="00833171">
        <w:rPr>
          <w:noProof/>
        </w:rPr>
        <w:t>9</w:t>
      </w:r>
      <w:r>
        <w:rPr>
          <w:noProof/>
        </w:rPr>
        <w:fldChar w:fldCharType="end"/>
      </w:r>
    </w:p>
    <w:p w14:paraId="2ECB3D28" w14:textId="1B2B7763" w:rsidR="00C41883" w:rsidRDefault="00C41883">
      <w:pPr>
        <w:pStyle w:val="TOC2"/>
        <w:rPr>
          <w:rFonts w:asciiTheme="minorHAnsi" w:eastAsiaTheme="minorEastAsia" w:hAnsiTheme="minorHAnsi" w:cstheme="minorBidi"/>
          <w:b w:val="0"/>
          <w:noProof/>
          <w:kern w:val="0"/>
          <w:sz w:val="22"/>
          <w:szCs w:val="22"/>
        </w:rPr>
      </w:pPr>
      <w:r w:rsidRPr="00587CC0">
        <w:rPr>
          <w:rFonts w:cs="Arial"/>
          <w:noProof/>
        </w:rPr>
        <w:t>Chapter 3—Drafting and interpretation of instruments</w:t>
      </w:r>
      <w:r>
        <w:rPr>
          <w:noProof/>
        </w:rPr>
        <w:tab/>
      </w:r>
      <w:r>
        <w:rPr>
          <w:noProof/>
        </w:rPr>
        <w:fldChar w:fldCharType="begin"/>
      </w:r>
      <w:r>
        <w:rPr>
          <w:noProof/>
        </w:rPr>
        <w:instrText xml:space="preserve"> PAGEREF _Toc183694636 \h </w:instrText>
      </w:r>
      <w:r>
        <w:rPr>
          <w:noProof/>
        </w:rPr>
      </w:r>
      <w:r>
        <w:rPr>
          <w:noProof/>
        </w:rPr>
        <w:fldChar w:fldCharType="separate"/>
      </w:r>
      <w:r w:rsidR="00833171">
        <w:rPr>
          <w:noProof/>
        </w:rPr>
        <w:t>11</w:t>
      </w:r>
      <w:r>
        <w:rPr>
          <w:noProof/>
        </w:rPr>
        <w:fldChar w:fldCharType="end"/>
      </w:r>
    </w:p>
    <w:p w14:paraId="45F5EE7D" w14:textId="42F0CC60" w:rsidR="00C41883" w:rsidRDefault="00C41883">
      <w:pPr>
        <w:pStyle w:val="TOC3"/>
        <w:rPr>
          <w:rFonts w:asciiTheme="minorHAnsi" w:eastAsiaTheme="minorEastAsia" w:hAnsiTheme="minorHAnsi" w:cstheme="minorBidi"/>
          <w:b w:val="0"/>
          <w:noProof/>
          <w:kern w:val="0"/>
          <w:szCs w:val="22"/>
        </w:rPr>
      </w:pPr>
      <w:r>
        <w:rPr>
          <w:noProof/>
        </w:rPr>
        <w:t>Drafting of legislative instruments</w:t>
      </w:r>
      <w:r>
        <w:rPr>
          <w:noProof/>
        </w:rPr>
        <w:tab/>
      </w:r>
      <w:r>
        <w:rPr>
          <w:noProof/>
        </w:rPr>
        <w:fldChar w:fldCharType="begin"/>
      </w:r>
      <w:r>
        <w:rPr>
          <w:noProof/>
        </w:rPr>
        <w:instrText xml:space="preserve"> PAGEREF _Toc183694637 \h </w:instrText>
      </w:r>
      <w:r>
        <w:rPr>
          <w:noProof/>
        </w:rPr>
      </w:r>
      <w:r>
        <w:rPr>
          <w:noProof/>
        </w:rPr>
        <w:fldChar w:fldCharType="separate"/>
      </w:r>
      <w:r w:rsidR="00833171">
        <w:rPr>
          <w:noProof/>
        </w:rPr>
        <w:t>11</w:t>
      </w:r>
      <w:r>
        <w:rPr>
          <w:noProof/>
        </w:rPr>
        <w:fldChar w:fldCharType="end"/>
      </w:r>
    </w:p>
    <w:p w14:paraId="06CB0BC7" w14:textId="059ED8D1" w:rsidR="00C41883" w:rsidRDefault="00C41883">
      <w:pPr>
        <w:pStyle w:val="TOC3"/>
        <w:rPr>
          <w:rFonts w:asciiTheme="minorHAnsi" w:eastAsiaTheme="minorEastAsia" w:hAnsiTheme="minorHAnsi" w:cstheme="minorBidi"/>
          <w:b w:val="0"/>
          <w:noProof/>
          <w:kern w:val="0"/>
          <w:szCs w:val="22"/>
        </w:rPr>
      </w:pPr>
      <w:r>
        <w:rPr>
          <w:noProof/>
        </w:rPr>
        <w:t>General principles for interpretation of instruments</w:t>
      </w:r>
      <w:r>
        <w:rPr>
          <w:noProof/>
        </w:rPr>
        <w:tab/>
      </w:r>
      <w:r>
        <w:rPr>
          <w:noProof/>
        </w:rPr>
        <w:fldChar w:fldCharType="begin"/>
      </w:r>
      <w:r>
        <w:rPr>
          <w:noProof/>
        </w:rPr>
        <w:instrText xml:space="preserve"> PAGEREF _Toc183694638 \h </w:instrText>
      </w:r>
      <w:r>
        <w:rPr>
          <w:noProof/>
        </w:rPr>
      </w:r>
      <w:r>
        <w:rPr>
          <w:noProof/>
        </w:rPr>
        <w:fldChar w:fldCharType="separate"/>
      </w:r>
      <w:r w:rsidR="00833171">
        <w:rPr>
          <w:noProof/>
        </w:rPr>
        <w:t>12</w:t>
      </w:r>
      <w:r>
        <w:rPr>
          <w:noProof/>
        </w:rPr>
        <w:fldChar w:fldCharType="end"/>
      </w:r>
    </w:p>
    <w:p w14:paraId="368F8704" w14:textId="58BFF8D5" w:rsidR="00C41883" w:rsidRDefault="00C41883">
      <w:pPr>
        <w:pStyle w:val="TOC3"/>
        <w:rPr>
          <w:rFonts w:asciiTheme="minorHAnsi" w:eastAsiaTheme="minorEastAsia" w:hAnsiTheme="minorHAnsi" w:cstheme="minorBidi"/>
          <w:b w:val="0"/>
          <w:noProof/>
          <w:kern w:val="0"/>
          <w:szCs w:val="22"/>
        </w:rPr>
      </w:pPr>
      <w:r>
        <w:rPr>
          <w:noProof/>
        </w:rPr>
        <w:t>What should be included in an instrument</w:t>
      </w:r>
      <w:r>
        <w:rPr>
          <w:noProof/>
        </w:rPr>
        <w:tab/>
      </w:r>
      <w:r>
        <w:rPr>
          <w:noProof/>
        </w:rPr>
        <w:fldChar w:fldCharType="begin"/>
      </w:r>
      <w:r>
        <w:rPr>
          <w:noProof/>
        </w:rPr>
        <w:instrText xml:space="preserve"> PAGEREF _Toc183694639 \h </w:instrText>
      </w:r>
      <w:r>
        <w:rPr>
          <w:noProof/>
        </w:rPr>
      </w:r>
      <w:r>
        <w:rPr>
          <w:noProof/>
        </w:rPr>
        <w:fldChar w:fldCharType="separate"/>
      </w:r>
      <w:r w:rsidR="00833171">
        <w:rPr>
          <w:noProof/>
        </w:rPr>
        <w:t>12</w:t>
      </w:r>
      <w:r>
        <w:rPr>
          <w:noProof/>
        </w:rPr>
        <w:fldChar w:fldCharType="end"/>
      </w:r>
    </w:p>
    <w:p w14:paraId="3B3B875C" w14:textId="11C16F80" w:rsidR="00C41883" w:rsidRDefault="00C41883">
      <w:pPr>
        <w:pStyle w:val="TOC4"/>
        <w:rPr>
          <w:rFonts w:asciiTheme="minorHAnsi" w:eastAsiaTheme="minorEastAsia" w:hAnsiTheme="minorHAnsi" w:cstheme="minorBidi"/>
          <w:b w:val="0"/>
          <w:noProof/>
          <w:kern w:val="0"/>
          <w:sz w:val="22"/>
          <w:szCs w:val="22"/>
        </w:rPr>
      </w:pPr>
      <w:r>
        <w:rPr>
          <w:noProof/>
        </w:rPr>
        <w:t>Recommended approach</w:t>
      </w:r>
      <w:r>
        <w:rPr>
          <w:noProof/>
        </w:rPr>
        <w:tab/>
      </w:r>
      <w:r>
        <w:rPr>
          <w:noProof/>
        </w:rPr>
        <w:fldChar w:fldCharType="begin"/>
      </w:r>
      <w:r>
        <w:rPr>
          <w:noProof/>
        </w:rPr>
        <w:instrText xml:space="preserve"> PAGEREF _Toc183694640 \h </w:instrText>
      </w:r>
      <w:r>
        <w:rPr>
          <w:noProof/>
        </w:rPr>
      </w:r>
      <w:r>
        <w:rPr>
          <w:noProof/>
        </w:rPr>
        <w:fldChar w:fldCharType="separate"/>
      </w:r>
      <w:r w:rsidR="00833171">
        <w:rPr>
          <w:noProof/>
        </w:rPr>
        <w:t>13</w:t>
      </w:r>
      <w:r>
        <w:rPr>
          <w:noProof/>
        </w:rPr>
        <w:fldChar w:fldCharType="end"/>
      </w:r>
    </w:p>
    <w:p w14:paraId="75C4A544" w14:textId="428FE607" w:rsidR="00C41883" w:rsidRDefault="00C41883">
      <w:pPr>
        <w:pStyle w:val="TOC4"/>
        <w:rPr>
          <w:rFonts w:asciiTheme="minorHAnsi" w:eastAsiaTheme="minorEastAsia" w:hAnsiTheme="minorHAnsi" w:cstheme="minorBidi"/>
          <w:b w:val="0"/>
          <w:noProof/>
          <w:kern w:val="0"/>
          <w:sz w:val="22"/>
          <w:szCs w:val="22"/>
        </w:rPr>
      </w:pPr>
      <w:r>
        <w:rPr>
          <w:noProof/>
        </w:rPr>
        <w:t>Use of other approaches</w:t>
      </w:r>
      <w:r>
        <w:rPr>
          <w:noProof/>
        </w:rPr>
        <w:tab/>
      </w:r>
      <w:r>
        <w:rPr>
          <w:noProof/>
        </w:rPr>
        <w:fldChar w:fldCharType="begin"/>
      </w:r>
      <w:r>
        <w:rPr>
          <w:noProof/>
        </w:rPr>
        <w:instrText xml:space="preserve"> PAGEREF _Toc183694641 \h </w:instrText>
      </w:r>
      <w:r>
        <w:rPr>
          <w:noProof/>
        </w:rPr>
      </w:r>
      <w:r>
        <w:rPr>
          <w:noProof/>
        </w:rPr>
        <w:fldChar w:fldCharType="separate"/>
      </w:r>
      <w:r w:rsidR="00833171">
        <w:rPr>
          <w:noProof/>
        </w:rPr>
        <w:t>17</w:t>
      </w:r>
      <w:r>
        <w:rPr>
          <w:noProof/>
        </w:rPr>
        <w:fldChar w:fldCharType="end"/>
      </w:r>
    </w:p>
    <w:p w14:paraId="14052189" w14:textId="16E23EA0" w:rsidR="00C41883" w:rsidRDefault="00C41883">
      <w:pPr>
        <w:pStyle w:val="TOC3"/>
        <w:rPr>
          <w:rFonts w:asciiTheme="minorHAnsi" w:eastAsiaTheme="minorEastAsia" w:hAnsiTheme="minorHAnsi" w:cstheme="minorBidi"/>
          <w:b w:val="0"/>
          <w:noProof/>
          <w:kern w:val="0"/>
          <w:szCs w:val="22"/>
        </w:rPr>
      </w:pPr>
      <w:r>
        <w:rPr>
          <w:noProof/>
        </w:rPr>
        <w:t>Default rules on commencement of instrument or provision</w:t>
      </w:r>
      <w:r>
        <w:rPr>
          <w:noProof/>
        </w:rPr>
        <w:tab/>
      </w:r>
      <w:r>
        <w:rPr>
          <w:noProof/>
        </w:rPr>
        <w:fldChar w:fldCharType="begin"/>
      </w:r>
      <w:r>
        <w:rPr>
          <w:noProof/>
        </w:rPr>
        <w:instrText xml:space="preserve"> PAGEREF _Toc183694642 \h </w:instrText>
      </w:r>
      <w:r>
        <w:rPr>
          <w:noProof/>
        </w:rPr>
      </w:r>
      <w:r>
        <w:rPr>
          <w:noProof/>
        </w:rPr>
        <w:fldChar w:fldCharType="separate"/>
      </w:r>
      <w:r w:rsidR="00833171">
        <w:rPr>
          <w:noProof/>
        </w:rPr>
        <w:t>18</w:t>
      </w:r>
      <w:r>
        <w:rPr>
          <w:noProof/>
        </w:rPr>
        <w:fldChar w:fldCharType="end"/>
      </w:r>
    </w:p>
    <w:p w14:paraId="23E433C0" w14:textId="2ACCA9C6" w:rsidR="00C41883" w:rsidRDefault="00C41883">
      <w:pPr>
        <w:pStyle w:val="TOC3"/>
        <w:rPr>
          <w:rFonts w:asciiTheme="minorHAnsi" w:eastAsiaTheme="minorEastAsia" w:hAnsiTheme="minorHAnsi" w:cstheme="minorBidi"/>
          <w:b w:val="0"/>
          <w:noProof/>
          <w:kern w:val="0"/>
          <w:szCs w:val="22"/>
        </w:rPr>
      </w:pPr>
      <w:r>
        <w:rPr>
          <w:noProof/>
        </w:rPr>
        <w:t>Default rules on amendment or repeal</w:t>
      </w:r>
      <w:r>
        <w:rPr>
          <w:noProof/>
        </w:rPr>
        <w:tab/>
      </w:r>
      <w:r>
        <w:rPr>
          <w:noProof/>
        </w:rPr>
        <w:fldChar w:fldCharType="begin"/>
      </w:r>
      <w:r>
        <w:rPr>
          <w:noProof/>
        </w:rPr>
        <w:instrText xml:space="preserve"> PAGEREF _Toc183694643 \h </w:instrText>
      </w:r>
      <w:r>
        <w:rPr>
          <w:noProof/>
        </w:rPr>
      </w:r>
      <w:r>
        <w:rPr>
          <w:noProof/>
        </w:rPr>
        <w:fldChar w:fldCharType="separate"/>
      </w:r>
      <w:r w:rsidR="00833171">
        <w:rPr>
          <w:noProof/>
        </w:rPr>
        <w:t>19</w:t>
      </w:r>
      <w:r>
        <w:rPr>
          <w:noProof/>
        </w:rPr>
        <w:fldChar w:fldCharType="end"/>
      </w:r>
    </w:p>
    <w:p w14:paraId="04A22252" w14:textId="11A87D93" w:rsidR="00C41883" w:rsidRDefault="00C41883">
      <w:pPr>
        <w:pStyle w:val="TOC4"/>
        <w:rPr>
          <w:rFonts w:asciiTheme="minorHAnsi" w:eastAsiaTheme="minorEastAsia" w:hAnsiTheme="minorHAnsi" w:cstheme="minorBidi"/>
          <w:b w:val="0"/>
          <w:noProof/>
          <w:kern w:val="0"/>
          <w:sz w:val="22"/>
          <w:szCs w:val="22"/>
        </w:rPr>
      </w:pPr>
      <w:r>
        <w:rPr>
          <w:noProof/>
        </w:rPr>
        <w:t>Amending and repealing instruments</w:t>
      </w:r>
      <w:r>
        <w:rPr>
          <w:noProof/>
        </w:rPr>
        <w:tab/>
      </w:r>
      <w:r>
        <w:rPr>
          <w:noProof/>
        </w:rPr>
        <w:fldChar w:fldCharType="begin"/>
      </w:r>
      <w:r>
        <w:rPr>
          <w:noProof/>
        </w:rPr>
        <w:instrText xml:space="preserve"> PAGEREF _Toc183694644 \h </w:instrText>
      </w:r>
      <w:r>
        <w:rPr>
          <w:noProof/>
        </w:rPr>
      </w:r>
      <w:r>
        <w:rPr>
          <w:noProof/>
        </w:rPr>
        <w:fldChar w:fldCharType="separate"/>
      </w:r>
      <w:r w:rsidR="00833171">
        <w:rPr>
          <w:noProof/>
        </w:rPr>
        <w:t>20</w:t>
      </w:r>
      <w:r>
        <w:rPr>
          <w:noProof/>
        </w:rPr>
        <w:fldChar w:fldCharType="end"/>
      </w:r>
    </w:p>
    <w:p w14:paraId="5B0B67E6" w14:textId="22F410BC" w:rsidR="00C41883" w:rsidRDefault="00C41883">
      <w:pPr>
        <w:pStyle w:val="TOC4"/>
        <w:rPr>
          <w:rFonts w:asciiTheme="minorHAnsi" w:eastAsiaTheme="minorEastAsia" w:hAnsiTheme="minorHAnsi" w:cstheme="minorBidi"/>
          <w:b w:val="0"/>
          <w:noProof/>
          <w:kern w:val="0"/>
          <w:sz w:val="22"/>
          <w:szCs w:val="22"/>
        </w:rPr>
      </w:pPr>
      <w:r>
        <w:rPr>
          <w:noProof/>
        </w:rPr>
        <w:t>Certain instruments will be subject to automatic repeal</w:t>
      </w:r>
      <w:r>
        <w:rPr>
          <w:noProof/>
        </w:rPr>
        <w:tab/>
      </w:r>
      <w:r>
        <w:rPr>
          <w:noProof/>
        </w:rPr>
        <w:fldChar w:fldCharType="begin"/>
      </w:r>
      <w:r>
        <w:rPr>
          <w:noProof/>
        </w:rPr>
        <w:instrText xml:space="preserve"> PAGEREF _Toc183694645 \h </w:instrText>
      </w:r>
      <w:r>
        <w:rPr>
          <w:noProof/>
        </w:rPr>
      </w:r>
      <w:r>
        <w:rPr>
          <w:noProof/>
        </w:rPr>
        <w:fldChar w:fldCharType="separate"/>
      </w:r>
      <w:r w:rsidR="00833171">
        <w:rPr>
          <w:noProof/>
        </w:rPr>
        <w:t>22</w:t>
      </w:r>
      <w:r>
        <w:rPr>
          <w:noProof/>
        </w:rPr>
        <w:fldChar w:fldCharType="end"/>
      </w:r>
    </w:p>
    <w:p w14:paraId="5F9DC0AA" w14:textId="1FE7EE7D" w:rsidR="00C41883" w:rsidRDefault="00C41883">
      <w:pPr>
        <w:pStyle w:val="TOC4"/>
        <w:rPr>
          <w:rFonts w:asciiTheme="minorHAnsi" w:eastAsiaTheme="minorEastAsia" w:hAnsiTheme="minorHAnsi" w:cstheme="minorBidi"/>
          <w:b w:val="0"/>
          <w:noProof/>
          <w:kern w:val="0"/>
          <w:sz w:val="22"/>
          <w:szCs w:val="22"/>
        </w:rPr>
      </w:pPr>
      <w:r>
        <w:rPr>
          <w:noProof/>
        </w:rPr>
        <w:t>Use of self</w:t>
      </w:r>
      <w:r>
        <w:rPr>
          <w:noProof/>
        </w:rPr>
        <w:noBreakHyphen/>
        <w:t>repealing provisions</w:t>
      </w:r>
      <w:r>
        <w:rPr>
          <w:noProof/>
        </w:rPr>
        <w:tab/>
      </w:r>
      <w:r>
        <w:rPr>
          <w:noProof/>
        </w:rPr>
        <w:fldChar w:fldCharType="begin"/>
      </w:r>
      <w:r>
        <w:rPr>
          <w:noProof/>
        </w:rPr>
        <w:instrText xml:space="preserve"> PAGEREF _Toc183694646 \h </w:instrText>
      </w:r>
      <w:r>
        <w:rPr>
          <w:noProof/>
        </w:rPr>
      </w:r>
      <w:r>
        <w:rPr>
          <w:noProof/>
        </w:rPr>
        <w:fldChar w:fldCharType="separate"/>
      </w:r>
      <w:r w:rsidR="00833171">
        <w:rPr>
          <w:noProof/>
        </w:rPr>
        <w:t>23</w:t>
      </w:r>
      <w:r>
        <w:rPr>
          <w:noProof/>
        </w:rPr>
        <w:fldChar w:fldCharType="end"/>
      </w:r>
    </w:p>
    <w:p w14:paraId="41F518FE" w14:textId="7EB2C109" w:rsidR="00C41883" w:rsidRDefault="00C41883">
      <w:pPr>
        <w:pStyle w:val="TOC3"/>
        <w:rPr>
          <w:rFonts w:asciiTheme="minorHAnsi" w:eastAsiaTheme="minorEastAsia" w:hAnsiTheme="minorHAnsi" w:cstheme="minorBidi"/>
          <w:b w:val="0"/>
          <w:noProof/>
          <w:kern w:val="0"/>
          <w:szCs w:val="22"/>
        </w:rPr>
      </w:pPr>
      <w:r>
        <w:rPr>
          <w:noProof/>
        </w:rPr>
        <w:t>Default rules on incorporating documents by reference</w:t>
      </w:r>
      <w:r>
        <w:rPr>
          <w:noProof/>
        </w:rPr>
        <w:tab/>
      </w:r>
      <w:r>
        <w:rPr>
          <w:noProof/>
        </w:rPr>
        <w:fldChar w:fldCharType="begin"/>
      </w:r>
      <w:r>
        <w:rPr>
          <w:noProof/>
        </w:rPr>
        <w:instrText xml:space="preserve"> PAGEREF _Toc183694647 \h </w:instrText>
      </w:r>
      <w:r>
        <w:rPr>
          <w:noProof/>
        </w:rPr>
      </w:r>
      <w:r>
        <w:rPr>
          <w:noProof/>
        </w:rPr>
        <w:fldChar w:fldCharType="separate"/>
      </w:r>
      <w:r w:rsidR="00833171">
        <w:rPr>
          <w:noProof/>
        </w:rPr>
        <w:t>23</w:t>
      </w:r>
      <w:r>
        <w:rPr>
          <w:noProof/>
        </w:rPr>
        <w:fldChar w:fldCharType="end"/>
      </w:r>
    </w:p>
    <w:p w14:paraId="72CC9CF1" w14:textId="02BC5DAC" w:rsidR="00C41883" w:rsidRDefault="00C41883">
      <w:pPr>
        <w:pStyle w:val="TOC3"/>
        <w:rPr>
          <w:rFonts w:asciiTheme="minorHAnsi" w:eastAsiaTheme="minorEastAsia" w:hAnsiTheme="minorHAnsi" w:cstheme="minorBidi"/>
          <w:b w:val="0"/>
          <w:noProof/>
          <w:kern w:val="0"/>
          <w:szCs w:val="22"/>
        </w:rPr>
      </w:pPr>
      <w:r>
        <w:rPr>
          <w:noProof/>
        </w:rPr>
        <w:t>Scope to delegate power</w:t>
      </w:r>
      <w:r>
        <w:rPr>
          <w:noProof/>
        </w:rPr>
        <w:tab/>
      </w:r>
      <w:r>
        <w:rPr>
          <w:noProof/>
        </w:rPr>
        <w:fldChar w:fldCharType="begin"/>
      </w:r>
      <w:r>
        <w:rPr>
          <w:noProof/>
        </w:rPr>
        <w:instrText xml:space="preserve"> PAGEREF _Toc183694648 \h </w:instrText>
      </w:r>
      <w:r>
        <w:rPr>
          <w:noProof/>
        </w:rPr>
      </w:r>
      <w:r>
        <w:rPr>
          <w:noProof/>
        </w:rPr>
        <w:fldChar w:fldCharType="separate"/>
      </w:r>
      <w:r w:rsidR="00833171">
        <w:rPr>
          <w:noProof/>
        </w:rPr>
        <w:t>24</w:t>
      </w:r>
      <w:r>
        <w:rPr>
          <w:noProof/>
        </w:rPr>
        <w:fldChar w:fldCharType="end"/>
      </w:r>
    </w:p>
    <w:p w14:paraId="2EADAD22" w14:textId="46FA9130" w:rsidR="00C41883" w:rsidRDefault="00C41883">
      <w:pPr>
        <w:pStyle w:val="TOC4"/>
        <w:rPr>
          <w:rFonts w:asciiTheme="minorHAnsi" w:eastAsiaTheme="minorEastAsia" w:hAnsiTheme="minorHAnsi" w:cstheme="minorBidi"/>
          <w:b w:val="0"/>
          <w:noProof/>
          <w:kern w:val="0"/>
          <w:sz w:val="22"/>
          <w:szCs w:val="22"/>
        </w:rPr>
      </w:pPr>
      <w:r>
        <w:rPr>
          <w:noProof/>
        </w:rPr>
        <w:t>Delegating a power to make a legislative instrument</w:t>
      </w:r>
      <w:r>
        <w:rPr>
          <w:noProof/>
        </w:rPr>
        <w:tab/>
      </w:r>
      <w:r>
        <w:rPr>
          <w:noProof/>
        </w:rPr>
        <w:fldChar w:fldCharType="begin"/>
      </w:r>
      <w:r>
        <w:rPr>
          <w:noProof/>
        </w:rPr>
        <w:instrText xml:space="preserve"> PAGEREF _Toc183694649 \h </w:instrText>
      </w:r>
      <w:r>
        <w:rPr>
          <w:noProof/>
        </w:rPr>
      </w:r>
      <w:r>
        <w:rPr>
          <w:noProof/>
        </w:rPr>
        <w:fldChar w:fldCharType="separate"/>
      </w:r>
      <w:r w:rsidR="00833171">
        <w:rPr>
          <w:noProof/>
        </w:rPr>
        <w:t>24</w:t>
      </w:r>
      <w:r>
        <w:rPr>
          <w:noProof/>
        </w:rPr>
        <w:fldChar w:fldCharType="end"/>
      </w:r>
    </w:p>
    <w:p w14:paraId="57D7B443" w14:textId="53D575ED" w:rsidR="00C41883" w:rsidRDefault="00C41883">
      <w:pPr>
        <w:pStyle w:val="TOC4"/>
        <w:rPr>
          <w:rFonts w:asciiTheme="minorHAnsi" w:eastAsiaTheme="minorEastAsia" w:hAnsiTheme="minorHAnsi" w:cstheme="minorBidi"/>
          <w:b w:val="0"/>
          <w:noProof/>
          <w:kern w:val="0"/>
          <w:sz w:val="22"/>
          <w:szCs w:val="22"/>
        </w:rPr>
      </w:pPr>
      <w:r>
        <w:rPr>
          <w:noProof/>
        </w:rPr>
        <w:t>Legislative instruments that delegate power</w:t>
      </w:r>
      <w:r>
        <w:rPr>
          <w:noProof/>
        </w:rPr>
        <w:tab/>
      </w:r>
      <w:r>
        <w:rPr>
          <w:noProof/>
        </w:rPr>
        <w:fldChar w:fldCharType="begin"/>
      </w:r>
      <w:r>
        <w:rPr>
          <w:noProof/>
        </w:rPr>
        <w:instrText xml:space="preserve"> PAGEREF _Toc183694650 \h </w:instrText>
      </w:r>
      <w:r>
        <w:rPr>
          <w:noProof/>
        </w:rPr>
      </w:r>
      <w:r>
        <w:rPr>
          <w:noProof/>
        </w:rPr>
        <w:fldChar w:fldCharType="separate"/>
      </w:r>
      <w:r w:rsidR="00833171">
        <w:rPr>
          <w:noProof/>
        </w:rPr>
        <w:t>25</w:t>
      </w:r>
      <w:r>
        <w:rPr>
          <w:noProof/>
        </w:rPr>
        <w:fldChar w:fldCharType="end"/>
      </w:r>
    </w:p>
    <w:p w14:paraId="092B500D" w14:textId="610E51E3" w:rsidR="00C41883" w:rsidRDefault="00C41883">
      <w:pPr>
        <w:pStyle w:val="TOC3"/>
        <w:rPr>
          <w:rFonts w:asciiTheme="minorHAnsi" w:eastAsiaTheme="minorEastAsia" w:hAnsiTheme="minorHAnsi" w:cstheme="minorBidi"/>
          <w:b w:val="0"/>
          <w:noProof/>
          <w:kern w:val="0"/>
          <w:szCs w:val="22"/>
        </w:rPr>
      </w:pPr>
      <w:r>
        <w:rPr>
          <w:noProof/>
        </w:rPr>
        <w:t>Offences, infringement notices and enforcement powers</w:t>
      </w:r>
      <w:r>
        <w:rPr>
          <w:noProof/>
        </w:rPr>
        <w:tab/>
      </w:r>
      <w:r>
        <w:rPr>
          <w:noProof/>
        </w:rPr>
        <w:fldChar w:fldCharType="begin"/>
      </w:r>
      <w:r>
        <w:rPr>
          <w:noProof/>
        </w:rPr>
        <w:instrText xml:space="preserve"> PAGEREF _Toc183694651 \h </w:instrText>
      </w:r>
      <w:r>
        <w:rPr>
          <w:noProof/>
        </w:rPr>
      </w:r>
      <w:r>
        <w:rPr>
          <w:noProof/>
        </w:rPr>
        <w:fldChar w:fldCharType="separate"/>
      </w:r>
      <w:r w:rsidR="00833171">
        <w:rPr>
          <w:noProof/>
        </w:rPr>
        <w:t>26</w:t>
      </w:r>
      <w:r>
        <w:rPr>
          <w:noProof/>
        </w:rPr>
        <w:fldChar w:fldCharType="end"/>
      </w:r>
    </w:p>
    <w:p w14:paraId="5DAAB0CD" w14:textId="2A7043B5" w:rsidR="00C41883" w:rsidRDefault="00C41883">
      <w:pPr>
        <w:pStyle w:val="TOC3"/>
        <w:rPr>
          <w:rFonts w:asciiTheme="minorHAnsi" w:eastAsiaTheme="minorEastAsia" w:hAnsiTheme="minorHAnsi" w:cstheme="minorBidi"/>
          <w:b w:val="0"/>
          <w:noProof/>
          <w:kern w:val="0"/>
          <w:szCs w:val="22"/>
        </w:rPr>
      </w:pPr>
      <w:r>
        <w:rPr>
          <w:noProof/>
        </w:rPr>
        <w:t>Gender</w:t>
      </w:r>
      <w:r>
        <w:rPr>
          <w:noProof/>
        </w:rPr>
        <w:noBreakHyphen/>
        <w:t>specific and gender</w:t>
      </w:r>
      <w:r>
        <w:rPr>
          <w:noProof/>
        </w:rPr>
        <w:noBreakHyphen/>
        <w:t>neutral language</w:t>
      </w:r>
      <w:r>
        <w:rPr>
          <w:noProof/>
        </w:rPr>
        <w:tab/>
      </w:r>
      <w:r>
        <w:rPr>
          <w:noProof/>
        </w:rPr>
        <w:fldChar w:fldCharType="begin"/>
      </w:r>
      <w:r>
        <w:rPr>
          <w:noProof/>
        </w:rPr>
        <w:instrText xml:space="preserve"> PAGEREF _Toc183694652 \h </w:instrText>
      </w:r>
      <w:r>
        <w:rPr>
          <w:noProof/>
        </w:rPr>
      </w:r>
      <w:r>
        <w:rPr>
          <w:noProof/>
        </w:rPr>
        <w:fldChar w:fldCharType="separate"/>
      </w:r>
      <w:r w:rsidR="00833171">
        <w:rPr>
          <w:noProof/>
        </w:rPr>
        <w:t>26</w:t>
      </w:r>
      <w:r>
        <w:rPr>
          <w:noProof/>
        </w:rPr>
        <w:fldChar w:fldCharType="end"/>
      </w:r>
    </w:p>
    <w:p w14:paraId="784D9D82" w14:textId="18A2243D" w:rsidR="00C41883" w:rsidRDefault="00C41883">
      <w:pPr>
        <w:pStyle w:val="TOC3"/>
        <w:rPr>
          <w:rFonts w:asciiTheme="minorHAnsi" w:eastAsiaTheme="minorEastAsia" w:hAnsiTheme="minorHAnsi" w:cstheme="minorBidi"/>
          <w:b w:val="0"/>
          <w:noProof/>
          <w:kern w:val="0"/>
          <w:szCs w:val="22"/>
        </w:rPr>
      </w:pPr>
      <w:r>
        <w:rPr>
          <w:noProof/>
        </w:rPr>
        <w:t>Security</w:t>
      </w:r>
      <w:r>
        <w:rPr>
          <w:noProof/>
        </w:rPr>
        <w:tab/>
      </w:r>
      <w:r w:rsidR="00A94B31">
        <w:rPr>
          <w:noProof/>
        </w:rPr>
        <w:tab/>
      </w:r>
      <w:r>
        <w:rPr>
          <w:noProof/>
        </w:rPr>
        <w:fldChar w:fldCharType="begin"/>
      </w:r>
      <w:r>
        <w:rPr>
          <w:noProof/>
        </w:rPr>
        <w:instrText xml:space="preserve"> PAGEREF _Toc183694653 \h </w:instrText>
      </w:r>
      <w:r>
        <w:rPr>
          <w:noProof/>
        </w:rPr>
      </w:r>
      <w:r>
        <w:rPr>
          <w:noProof/>
        </w:rPr>
        <w:fldChar w:fldCharType="separate"/>
      </w:r>
      <w:r w:rsidR="00833171">
        <w:rPr>
          <w:noProof/>
        </w:rPr>
        <w:t>26</w:t>
      </w:r>
      <w:r>
        <w:rPr>
          <w:noProof/>
        </w:rPr>
        <w:fldChar w:fldCharType="end"/>
      </w:r>
    </w:p>
    <w:p w14:paraId="54A079CA" w14:textId="1892D5DF" w:rsidR="00C41883" w:rsidRDefault="00C41883">
      <w:pPr>
        <w:pStyle w:val="TOC3"/>
        <w:rPr>
          <w:rFonts w:asciiTheme="minorHAnsi" w:eastAsiaTheme="minorEastAsia" w:hAnsiTheme="minorHAnsi" w:cstheme="minorBidi"/>
          <w:b w:val="0"/>
          <w:noProof/>
          <w:kern w:val="0"/>
          <w:szCs w:val="22"/>
        </w:rPr>
      </w:pPr>
      <w:r>
        <w:rPr>
          <w:noProof/>
        </w:rPr>
        <w:t>Privacy</w:t>
      </w:r>
      <w:r>
        <w:rPr>
          <w:noProof/>
        </w:rPr>
        <w:tab/>
      </w:r>
      <w:r w:rsidR="00A94B31">
        <w:rPr>
          <w:noProof/>
        </w:rPr>
        <w:tab/>
      </w:r>
      <w:r>
        <w:rPr>
          <w:noProof/>
        </w:rPr>
        <w:fldChar w:fldCharType="begin"/>
      </w:r>
      <w:r>
        <w:rPr>
          <w:noProof/>
        </w:rPr>
        <w:instrText xml:space="preserve"> PAGEREF _Toc183694654 \h </w:instrText>
      </w:r>
      <w:r>
        <w:rPr>
          <w:noProof/>
        </w:rPr>
      </w:r>
      <w:r>
        <w:rPr>
          <w:noProof/>
        </w:rPr>
        <w:fldChar w:fldCharType="separate"/>
      </w:r>
      <w:r w:rsidR="00833171">
        <w:rPr>
          <w:noProof/>
        </w:rPr>
        <w:t>27</w:t>
      </w:r>
      <w:r>
        <w:rPr>
          <w:noProof/>
        </w:rPr>
        <w:fldChar w:fldCharType="end"/>
      </w:r>
    </w:p>
    <w:p w14:paraId="2B6D1413" w14:textId="72C19A5A" w:rsidR="00C41883" w:rsidRDefault="00C41883">
      <w:pPr>
        <w:pStyle w:val="TOC3"/>
        <w:rPr>
          <w:rFonts w:asciiTheme="minorHAnsi" w:eastAsiaTheme="minorEastAsia" w:hAnsiTheme="minorHAnsi" w:cstheme="minorBidi"/>
          <w:b w:val="0"/>
          <w:noProof/>
          <w:kern w:val="0"/>
          <w:szCs w:val="22"/>
        </w:rPr>
      </w:pPr>
      <w:r>
        <w:rPr>
          <w:noProof/>
        </w:rPr>
        <w:lastRenderedPageBreak/>
        <w:t>Copyright</w:t>
      </w:r>
      <w:r>
        <w:rPr>
          <w:noProof/>
        </w:rPr>
        <w:tab/>
      </w:r>
      <w:r w:rsidR="00A94B31">
        <w:rPr>
          <w:noProof/>
        </w:rPr>
        <w:tab/>
      </w:r>
      <w:r>
        <w:rPr>
          <w:noProof/>
        </w:rPr>
        <w:fldChar w:fldCharType="begin"/>
      </w:r>
      <w:r>
        <w:rPr>
          <w:noProof/>
        </w:rPr>
        <w:instrText xml:space="preserve"> PAGEREF _Toc183694655 \h </w:instrText>
      </w:r>
      <w:r>
        <w:rPr>
          <w:noProof/>
        </w:rPr>
      </w:r>
      <w:r>
        <w:rPr>
          <w:noProof/>
        </w:rPr>
        <w:fldChar w:fldCharType="separate"/>
      </w:r>
      <w:r w:rsidR="00833171">
        <w:rPr>
          <w:noProof/>
        </w:rPr>
        <w:t>27</w:t>
      </w:r>
      <w:r>
        <w:rPr>
          <w:noProof/>
        </w:rPr>
        <w:fldChar w:fldCharType="end"/>
      </w:r>
    </w:p>
    <w:p w14:paraId="12A7E0A4" w14:textId="5094032E" w:rsidR="00C41883" w:rsidRDefault="00C41883">
      <w:pPr>
        <w:pStyle w:val="TOC3"/>
        <w:rPr>
          <w:rFonts w:asciiTheme="minorHAnsi" w:eastAsiaTheme="minorEastAsia" w:hAnsiTheme="minorHAnsi" w:cstheme="minorBidi"/>
          <w:b w:val="0"/>
          <w:noProof/>
          <w:kern w:val="0"/>
          <w:szCs w:val="22"/>
        </w:rPr>
      </w:pPr>
      <w:r>
        <w:rPr>
          <w:noProof/>
        </w:rPr>
        <w:t>Technical considerations</w:t>
      </w:r>
      <w:r>
        <w:rPr>
          <w:noProof/>
        </w:rPr>
        <w:tab/>
      </w:r>
      <w:r>
        <w:rPr>
          <w:noProof/>
        </w:rPr>
        <w:fldChar w:fldCharType="begin"/>
      </w:r>
      <w:r>
        <w:rPr>
          <w:noProof/>
        </w:rPr>
        <w:instrText xml:space="preserve"> PAGEREF _Toc183694656 \h </w:instrText>
      </w:r>
      <w:r>
        <w:rPr>
          <w:noProof/>
        </w:rPr>
      </w:r>
      <w:r>
        <w:rPr>
          <w:noProof/>
        </w:rPr>
        <w:fldChar w:fldCharType="separate"/>
      </w:r>
      <w:r w:rsidR="00833171">
        <w:rPr>
          <w:noProof/>
        </w:rPr>
        <w:t>27</w:t>
      </w:r>
      <w:r>
        <w:rPr>
          <w:noProof/>
        </w:rPr>
        <w:fldChar w:fldCharType="end"/>
      </w:r>
    </w:p>
    <w:p w14:paraId="4D61AED9" w14:textId="293119E7" w:rsidR="00C41883" w:rsidRDefault="00C41883">
      <w:pPr>
        <w:pStyle w:val="TOC4"/>
        <w:rPr>
          <w:rFonts w:asciiTheme="minorHAnsi" w:eastAsiaTheme="minorEastAsia" w:hAnsiTheme="minorHAnsi" w:cstheme="minorBidi"/>
          <w:b w:val="0"/>
          <w:noProof/>
          <w:kern w:val="0"/>
          <w:sz w:val="22"/>
          <w:szCs w:val="22"/>
        </w:rPr>
      </w:pPr>
      <w:r>
        <w:rPr>
          <w:noProof/>
        </w:rPr>
        <w:t>Accessibility</w:t>
      </w:r>
      <w:r>
        <w:rPr>
          <w:noProof/>
        </w:rPr>
        <w:tab/>
      </w:r>
      <w:r w:rsidR="00A94B31">
        <w:rPr>
          <w:noProof/>
        </w:rPr>
        <w:tab/>
      </w:r>
      <w:r>
        <w:rPr>
          <w:noProof/>
        </w:rPr>
        <w:fldChar w:fldCharType="begin"/>
      </w:r>
      <w:r>
        <w:rPr>
          <w:noProof/>
        </w:rPr>
        <w:instrText xml:space="preserve"> PAGEREF _Toc183694657 \h </w:instrText>
      </w:r>
      <w:r>
        <w:rPr>
          <w:noProof/>
        </w:rPr>
      </w:r>
      <w:r>
        <w:rPr>
          <w:noProof/>
        </w:rPr>
        <w:fldChar w:fldCharType="separate"/>
      </w:r>
      <w:r w:rsidR="00833171">
        <w:rPr>
          <w:noProof/>
        </w:rPr>
        <w:t>27</w:t>
      </w:r>
      <w:r>
        <w:rPr>
          <w:noProof/>
        </w:rPr>
        <w:fldChar w:fldCharType="end"/>
      </w:r>
    </w:p>
    <w:p w14:paraId="377D884F" w14:textId="419B881C" w:rsidR="00C41883" w:rsidRDefault="00C41883">
      <w:pPr>
        <w:pStyle w:val="TOC4"/>
        <w:rPr>
          <w:rFonts w:asciiTheme="minorHAnsi" w:eastAsiaTheme="minorEastAsia" w:hAnsiTheme="minorHAnsi" w:cstheme="minorBidi"/>
          <w:b w:val="0"/>
          <w:noProof/>
          <w:kern w:val="0"/>
          <w:sz w:val="22"/>
          <w:szCs w:val="22"/>
        </w:rPr>
      </w:pPr>
      <w:r>
        <w:rPr>
          <w:noProof/>
        </w:rPr>
        <w:t>Word or RTF format</w:t>
      </w:r>
      <w:r>
        <w:rPr>
          <w:noProof/>
        </w:rPr>
        <w:tab/>
      </w:r>
      <w:r>
        <w:rPr>
          <w:noProof/>
        </w:rPr>
        <w:fldChar w:fldCharType="begin"/>
      </w:r>
      <w:r>
        <w:rPr>
          <w:noProof/>
        </w:rPr>
        <w:instrText xml:space="preserve"> PAGEREF _Toc183694658 \h </w:instrText>
      </w:r>
      <w:r>
        <w:rPr>
          <w:noProof/>
        </w:rPr>
      </w:r>
      <w:r>
        <w:rPr>
          <w:noProof/>
        </w:rPr>
        <w:fldChar w:fldCharType="separate"/>
      </w:r>
      <w:r w:rsidR="00833171">
        <w:rPr>
          <w:noProof/>
        </w:rPr>
        <w:t>27</w:t>
      </w:r>
      <w:r>
        <w:rPr>
          <w:noProof/>
        </w:rPr>
        <w:fldChar w:fldCharType="end"/>
      </w:r>
    </w:p>
    <w:p w14:paraId="65E3117E" w14:textId="4797BCBC" w:rsidR="00C41883" w:rsidRDefault="00C41883">
      <w:pPr>
        <w:pStyle w:val="TOC4"/>
        <w:rPr>
          <w:rFonts w:asciiTheme="minorHAnsi" w:eastAsiaTheme="minorEastAsia" w:hAnsiTheme="minorHAnsi" w:cstheme="minorBidi"/>
          <w:b w:val="0"/>
          <w:noProof/>
          <w:kern w:val="0"/>
          <w:sz w:val="22"/>
          <w:szCs w:val="22"/>
        </w:rPr>
      </w:pPr>
      <w:r>
        <w:rPr>
          <w:noProof/>
        </w:rPr>
        <w:t>Alternative text</w:t>
      </w:r>
      <w:r>
        <w:rPr>
          <w:noProof/>
        </w:rPr>
        <w:tab/>
      </w:r>
      <w:r>
        <w:rPr>
          <w:noProof/>
        </w:rPr>
        <w:fldChar w:fldCharType="begin"/>
      </w:r>
      <w:r>
        <w:rPr>
          <w:noProof/>
        </w:rPr>
        <w:instrText xml:space="preserve"> PAGEREF _Toc183694659 \h </w:instrText>
      </w:r>
      <w:r>
        <w:rPr>
          <w:noProof/>
        </w:rPr>
      </w:r>
      <w:r>
        <w:rPr>
          <w:noProof/>
        </w:rPr>
        <w:fldChar w:fldCharType="separate"/>
      </w:r>
      <w:r w:rsidR="00833171">
        <w:rPr>
          <w:noProof/>
        </w:rPr>
        <w:t>28</w:t>
      </w:r>
      <w:r>
        <w:rPr>
          <w:noProof/>
        </w:rPr>
        <w:fldChar w:fldCharType="end"/>
      </w:r>
    </w:p>
    <w:p w14:paraId="532303F6" w14:textId="0FC8FA85" w:rsidR="00C41883" w:rsidRDefault="00C41883">
      <w:pPr>
        <w:pStyle w:val="TOC4"/>
        <w:rPr>
          <w:rFonts w:asciiTheme="minorHAnsi" w:eastAsiaTheme="minorEastAsia" w:hAnsiTheme="minorHAnsi" w:cstheme="minorBidi"/>
          <w:b w:val="0"/>
          <w:noProof/>
          <w:kern w:val="0"/>
          <w:sz w:val="22"/>
          <w:szCs w:val="22"/>
        </w:rPr>
      </w:pPr>
      <w:r>
        <w:rPr>
          <w:noProof/>
        </w:rPr>
        <w:t>Other considerations</w:t>
      </w:r>
      <w:r>
        <w:rPr>
          <w:noProof/>
        </w:rPr>
        <w:tab/>
      </w:r>
      <w:r>
        <w:rPr>
          <w:noProof/>
        </w:rPr>
        <w:fldChar w:fldCharType="begin"/>
      </w:r>
      <w:r>
        <w:rPr>
          <w:noProof/>
        </w:rPr>
        <w:instrText xml:space="preserve"> PAGEREF _Toc183694660 \h </w:instrText>
      </w:r>
      <w:r>
        <w:rPr>
          <w:noProof/>
        </w:rPr>
      </w:r>
      <w:r>
        <w:rPr>
          <w:noProof/>
        </w:rPr>
        <w:fldChar w:fldCharType="separate"/>
      </w:r>
      <w:r w:rsidR="00833171">
        <w:rPr>
          <w:noProof/>
        </w:rPr>
        <w:t>28</w:t>
      </w:r>
      <w:r>
        <w:rPr>
          <w:noProof/>
        </w:rPr>
        <w:fldChar w:fldCharType="end"/>
      </w:r>
    </w:p>
    <w:p w14:paraId="015BD182" w14:textId="19D6DE15" w:rsidR="00C41883" w:rsidRDefault="00C41883">
      <w:pPr>
        <w:pStyle w:val="TOC4"/>
        <w:rPr>
          <w:rFonts w:asciiTheme="minorHAnsi" w:eastAsiaTheme="minorEastAsia" w:hAnsiTheme="minorHAnsi" w:cstheme="minorBidi"/>
          <w:b w:val="0"/>
          <w:noProof/>
          <w:kern w:val="0"/>
          <w:sz w:val="22"/>
          <w:szCs w:val="22"/>
        </w:rPr>
      </w:pPr>
      <w:r>
        <w:rPr>
          <w:noProof/>
        </w:rPr>
        <w:t>Preventable issues</w:t>
      </w:r>
      <w:r>
        <w:rPr>
          <w:noProof/>
        </w:rPr>
        <w:tab/>
      </w:r>
      <w:r>
        <w:rPr>
          <w:noProof/>
        </w:rPr>
        <w:fldChar w:fldCharType="begin"/>
      </w:r>
      <w:r>
        <w:rPr>
          <w:noProof/>
        </w:rPr>
        <w:instrText xml:space="preserve"> PAGEREF _Toc183694661 \h </w:instrText>
      </w:r>
      <w:r>
        <w:rPr>
          <w:noProof/>
        </w:rPr>
      </w:r>
      <w:r>
        <w:rPr>
          <w:noProof/>
        </w:rPr>
        <w:fldChar w:fldCharType="separate"/>
      </w:r>
      <w:r w:rsidR="00833171">
        <w:rPr>
          <w:noProof/>
        </w:rPr>
        <w:t>28</w:t>
      </w:r>
      <w:r>
        <w:rPr>
          <w:noProof/>
        </w:rPr>
        <w:fldChar w:fldCharType="end"/>
      </w:r>
    </w:p>
    <w:p w14:paraId="3A81133C" w14:textId="5BCD7080" w:rsidR="00C41883" w:rsidRDefault="00C41883">
      <w:pPr>
        <w:pStyle w:val="TOC4"/>
        <w:rPr>
          <w:rFonts w:asciiTheme="minorHAnsi" w:eastAsiaTheme="minorEastAsia" w:hAnsiTheme="minorHAnsi" w:cstheme="minorBidi"/>
          <w:b w:val="0"/>
          <w:noProof/>
          <w:kern w:val="0"/>
          <w:sz w:val="22"/>
          <w:szCs w:val="22"/>
        </w:rPr>
      </w:pPr>
      <w:r>
        <w:rPr>
          <w:noProof/>
        </w:rPr>
        <w:t>Footers</w:t>
      </w:r>
      <w:r>
        <w:rPr>
          <w:noProof/>
        </w:rPr>
        <w:tab/>
      </w:r>
      <w:r w:rsidR="00A94B31">
        <w:rPr>
          <w:noProof/>
        </w:rPr>
        <w:tab/>
      </w:r>
      <w:r>
        <w:rPr>
          <w:noProof/>
        </w:rPr>
        <w:fldChar w:fldCharType="begin"/>
      </w:r>
      <w:r>
        <w:rPr>
          <w:noProof/>
        </w:rPr>
        <w:instrText xml:space="preserve"> PAGEREF _Toc183694662 \h </w:instrText>
      </w:r>
      <w:r>
        <w:rPr>
          <w:noProof/>
        </w:rPr>
      </w:r>
      <w:r>
        <w:rPr>
          <w:noProof/>
        </w:rPr>
        <w:fldChar w:fldCharType="separate"/>
      </w:r>
      <w:r w:rsidR="00833171">
        <w:rPr>
          <w:noProof/>
        </w:rPr>
        <w:t>29</w:t>
      </w:r>
      <w:r>
        <w:rPr>
          <w:noProof/>
        </w:rPr>
        <w:fldChar w:fldCharType="end"/>
      </w:r>
    </w:p>
    <w:p w14:paraId="04CBC8AE" w14:textId="07B00A5C" w:rsidR="00C41883" w:rsidRDefault="00C41883">
      <w:pPr>
        <w:pStyle w:val="TOC4"/>
        <w:rPr>
          <w:rFonts w:asciiTheme="minorHAnsi" w:eastAsiaTheme="minorEastAsia" w:hAnsiTheme="minorHAnsi" w:cstheme="minorBidi"/>
          <w:b w:val="0"/>
          <w:noProof/>
          <w:kern w:val="0"/>
          <w:sz w:val="22"/>
          <w:szCs w:val="22"/>
        </w:rPr>
      </w:pPr>
      <w:r>
        <w:rPr>
          <w:noProof/>
        </w:rPr>
        <w:t>Resolving issues</w:t>
      </w:r>
      <w:r>
        <w:rPr>
          <w:noProof/>
        </w:rPr>
        <w:tab/>
      </w:r>
      <w:r>
        <w:rPr>
          <w:noProof/>
        </w:rPr>
        <w:fldChar w:fldCharType="begin"/>
      </w:r>
      <w:r>
        <w:rPr>
          <w:noProof/>
        </w:rPr>
        <w:instrText xml:space="preserve"> PAGEREF _Toc183694663 \h </w:instrText>
      </w:r>
      <w:r>
        <w:rPr>
          <w:noProof/>
        </w:rPr>
      </w:r>
      <w:r>
        <w:rPr>
          <w:noProof/>
        </w:rPr>
        <w:fldChar w:fldCharType="separate"/>
      </w:r>
      <w:r w:rsidR="00833171">
        <w:rPr>
          <w:noProof/>
        </w:rPr>
        <w:t>29</w:t>
      </w:r>
      <w:r>
        <w:rPr>
          <w:noProof/>
        </w:rPr>
        <w:fldChar w:fldCharType="end"/>
      </w:r>
    </w:p>
    <w:p w14:paraId="18DE7F06" w14:textId="56634B29" w:rsidR="00C41883" w:rsidRDefault="00C41883">
      <w:pPr>
        <w:pStyle w:val="TOC3"/>
        <w:rPr>
          <w:rFonts w:asciiTheme="minorHAnsi" w:eastAsiaTheme="minorEastAsia" w:hAnsiTheme="minorHAnsi" w:cstheme="minorBidi"/>
          <w:b w:val="0"/>
          <w:noProof/>
          <w:kern w:val="0"/>
          <w:szCs w:val="22"/>
        </w:rPr>
      </w:pPr>
      <w:r>
        <w:rPr>
          <w:noProof/>
        </w:rPr>
        <w:t>Improving drafting standards</w:t>
      </w:r>
      <w:r>
        <w:rPr>
          <w:noProof/>
        </w:rPr>
        <w:tab/>
      </w:r>
      <w:r>
        <w:rPr>
          <w:noProof/>
        </w:rPr>
        <w:fldChar w:fldCharType="begin"/>
      </w:r>
      <w:r>
        <w:rPr>
          <w:noProof/>
        </w:rPr>
        <w:instrText xml:space="preserve"> PAGEREF _Toc183694664 \h </w:instrText>
      </w:r>
      <w:r>
        <w:rPr>
          <w:noProof/>
        </w:rPr>
      </w:r>
      <w:r>
        <w:rPr>
          <w:noProof/>
        </w:rPr>
        <w:fldChar w:fldCharType="separate"/>
      </w:r>
      <w:r w:rsidR="00833171">
        <w:rPr>
          <w:noProof/>
        </w:rPr>
        <w:t>29</w:t>
      </w:r>
      <w:r>
        <w:rPr>
          <w:noProof/>
        </w:rPr>
        <w:fldChar w:fldCharType="end"/>
      </w:r>
    </w:p>
    <w:p w14:paraId="2ABBCB6B" w14:textId="5B31DA4B" w:rsidR="00C41883" w:rsidRDefault="00C41883">
      <w:pPr>
        <w:pStyle w:val="TOC2"/>
        <w:rPr>
          <w:rFonts w:asciiTheme="minorHAnsi" w:eastAsiaTheme="minorEastAsia" w:hAnsiTheme="minorHAnsi" w:cstheme="minorBidi"/>
          <w:b w:val="0"/>
          <w:noProof/>
          <w:kern w:val="0"/>
          <w:sz w:val="22"/>
          <w:szCs w:val="22"/>
        </w:rPr>
      </w:pPr>
      <w:r>
        <w:rPr>
          <w:noProof/>
        </w:rPr>
        <w:t>Chapter 4—Lodgement and registration of instruments</w:t>
      </w:r>
      <w:r>
        <w:rPr>
          <w:noProof/>
        </w:rPr>
        <w:tab/>
      </w:r>
      <w:r>
        <w:rPr>
          <w:noProof/>
        </w:rPr>
        <w:fldChar w:fldCharType="begin"/>
      </w:r>
      <w:r>
        <w:rPr>
          <w:noProof/>
        </w:rPr>
        <w:instrText xml:space="preserve"> PAGEREF _Toc183694665 \h </w:instrText>
      </w:r>
      <w:r>
        <w:rPr>
          <w:noProof/>
        </w:rPr>
      </w:r>
      <w:r>
        <w:rPr>
          <w:noProof/>
        </w:rPr>
        <w:fldChar w:fldCharType="separate"/>
      </w:r>
      <w:r w:rsidR="00833171">
        <w:rPr>
          <w:noProof/>
        </w:rPr>
        <w:t>30</w:t>
      </w:r>
      <w:r>
        <w:rPr>
          <w:noProof/>
        </w:rPr>
        <w:fldChar w:fldCharType="end"/>
      </w:r>
    </w:p>
    <w:p w14:paraId="0177913B" w14:textId="16F70425" w:rsidR="00C41883" w:rsidRDefault="00C41883">
      <w:pPr>
        <w:pStyle w:val="TOC3"/>
        <w:rPr>
          <w:rFonts w:asciiTheme="minorHAnsi" w:eastAsiaTheme="minorEastAsia" w:hAnsiTheme="minorHAnsi" w:cstheme="minorBidi"/>
          <w:b w:val="0"/>
          <w:noProof/>
          <w:kern w:val="0"/>
          <w:szCs w:val="22"/>
        </w:rPr>
      </w:pPr>
      <w:r>
        <w:rPr>
          <w:noProof/>
        </w:rPr>
        <w:t>Requirement to lodge instruments with OPC</w:t>
      </w:r>
      <w:r>
        <w:rPr>
          <w:noProof/>
        </w:rPr>
        <w:tab/>
      </w:r>
      <w:r>
        <w:rPr>
          <w:noProof/>
        </w:rPr>
        <w:fldChar w:fldCharType="begin"/>
      </w:r>
      <w:r>
        <w:rPr>
          <w:noProof/>
        </w:rPr>
        <w:instrText xml:space="preserve"> PAGEREF _Toc183694666 \h </w:instrText>
      </w:r>
      <w:r>
        <w:rPr>
          <w:noProof/>
        </w:rPr>
      </w:r>
      <w:r>
        <w:rPr>
          <w:noProof/>
        </w:rPr>
        <w:fldChar w:fldCharType="separate"/>
      </w:r>
      <w:r w:rsidR="00833171">
        <w:rPr>
          <w:noProof/>
        </w:rPr>
        <w:t>30</w:t>
      </w:r>
      <w:r>
        <w:rPr>
          <w:noProof/>
        </w:rPr>
        <w:fldChar w:fldCharType="end"/>
      </w:r>
    </w:p>
    <w:p w14:paraId="630B313D" w14:textId="0B93C8E3" w:rsidR="00C41883" w:rsidRDefault="00C41883">
      <w:pPr>
        <w:pStyle w:val="TOC4"/>
        <w:rPr>
          <w:rFonts w:asciiTheme="minorHAnsi" w:eastAsiaTheme="minorEastAsia" w:hAnsiTheme="minorHAnsi" w:cstheme="minorBidi"/>
          <w:b w:val="0"/>
          <w:noProof/>
          <w:kern w:val="0"/>
          <w:sz w:val="22"/>
          <w:szCs w:val="22"/>
        </w:rPr>
      </w:pPr>
      <w:r>
        <w:rPr>
          <w:noProof/>
        </w:rPr>
        <w:t>Step 1: Create online lodgement</w:t>
      </w:r>
      <w:r>
        <w:rPr>
          <w:noProof/>
        </w:rPr>
        <w:tab/>
      </w:r>
      <w:r>
        <w:rPr>
          <w:noProof/>
        </w:rPr>
        <w:fldChar w:fldCharType="begin"/>
      </w:r>
      <w:r>
        <w:rPr>
          <w:noProof/>
        </w:rPr>
        <w:instrText xml:space="preserve"> PAGEREF _Toc183694667 \h </w:instrText>
      </w:r>
      <w:r>
        <w:rPr>
          <w:noProof/>
        </w:rPr>
      </w:r>
      <w:r>
        <w:rPr>
          <w:noProof/>
        </w:rPr>
        <w:fldChar w:fldCharType="separate"/>
      </w:r>
      <w:r w:rsidR="00833171">
        <w:rPr>
          <w:noProof/>
        </w:rPr>
        <w:t>31</w:t>
      </w:r>
      <w:r>
        <w:rPr>
          <w:noProof/>
        </w:rPr>
        <w:fldChar w:fldCharType="end"/>
      </w:r>
    </w:p>
    <w:p w14:paraId="3F6CE2D4" w14:textId="53D5744A" w:rsidR="00C41883" w:rsidRDefault="00C41883">
      <w:pPr>
        <w:pStyle w:val="TOC4"/>
        <w:rPr>
          <w:rFonts w:asciiTheme="minorHAnsi" w:eastAsiaTheme="minorEastAsia" w:hAnsiTheme="minorHAnsi" w:cstheme="minorBidi"/>
          <w:b w:val="0"/>
          <w:noProof/>
          <w:kern w:val="0"/>
          <w:sz w:val="22"/>
          <w:szCs w:val="22"/>
        </w:rPr>
      </w:pPr>
      <w:r>
        <w:rPr>
          <w:noProof/>
        </w:rPr>
        <w:t>Step 2: Attach electronic version of instrument</w:t>
      </w:r>
      <w:r>
        <w:rPr>
          <w:noProof/>
        </w:rPr>
        <w:tab/>
      </w:r>
      <w:r>
        <w:rPr>
          <w:noProof/>
        </w:rPr>
        <w:fldChar w:fldCharType="begin"/>
      </w:r>
      <w:r>
        <w:rPr>
          <w:noProof/>
        </w:rPr>
        <w:instrText xml:space="preserve"> PAGEREF _Toc183694668 \h </w:instrText>
      </w:r>
      <w:r>
        <w:rPr>
          <w:noProof/>
        </w:rPr>
      </w:r>
      <w:r>
        <w:rPr>
          <w:noProof/>
        </w:rPr>
        <w:fldChar w:fldCharType="separate"/>
      </w:r>
      <w:r w:rsidR="00833171">
        <w:rPr>
          <w:noProof/>
        </w:rPr>
        <w:t>32</w:t>
      </w:r>
      <w:r>
        <w:rPr>
          <w:noProof/>
        </w:rPr>
        <w:fldChar w:fldCharType="end"/>
      </w:r>
    </w:p>
    <w:p w14:paraId="4F46B302" w14:textId="79C7600F" w:rsidR="00C41883" w:rsidRDefault="00C41883">
      <w:pPr>
        <w:pStyle w:val="TOC4"/>
        <w:rPr>
          <w:rFonts w:asciiTheme="minorHAnsi" w:eastAsiaTheme="minorEastAsia" w:hAnsiTheme="minorHAnsi" w:cstheme="minorBidi"/>
          <w:b w:val="0"/>
          <w:noProof/>
          <w:kern w:val="0"/>
          <w:sz w:val="22"/>
          <w:szCs w:val="22"/>
        </w:rPr>
      </w:pPr>
      <w:r>
        <w:rPr>
          <w:noProof/>
        </w:rPr>
        <w:t>Step 3: If required—attach explanatory statement or other documents</w:t>
      </w:r>
      <w:r>
        <w:rPr>
          <w:noProof/>
        </w:rPr>
        <w:tab/>
      </w:r>
      <w:r>
        <w:rPr>
          <w:noProof/>
        </w:rPr>
        <w:fldChar w:fldCharType="begin"/>
      </w:r>
      <w:r>
        <w:rPr>
          <w:noProof/>
        </w:rPr>
        <w:instrText xml:space="preserve"> PAGEREF _Toc183694669 \h </w:instrText>
      </w:r>
      <w:r>
        <w:rPr>
          <w:noProof/>
        </w:rPr>
      </w:r>
      <w:r>
        <w:rPr>
          <w:noProof/>
        </w:rPr>
        <w:fldChar w:fldCharType="separate"/>
      </w:r>
      <w:r w:rsidR="00833171">
        <w:rPr>
          <w:noProof/>
        </w:rPr>
        <w:t>32</w:t>
      </w:r>
      <w:r>
        <w:rPr>
          <w:noProof/>
        </w:rPr>
        <w:fldChar w:fldCharType="end"/>
      </w:r>
    </w:p>
    <w:p w14:paraId="664E4551" w14:textId="230994B1" w:rsidR="00C41883" w:rsidRDefault="00C41883">
      <w:pPr>
        <w:pStyle w:val="TOC4"/>
        <w:rPr>
          <w:rFonts w:asciiTheme="minorHAnsi" w:eastAsiaTheme="minorEastAsia" w:hAnsiTheme="minorHAnsi" w:cstheme="minorBidi"/>
          <w:b w:val="0"/>
          <w:noProof/>
          <w:kern w:val="0"/>
          <w:sz w:val="22"/>
          <w:szCs w:val="22"/>
        </w:rPr>
      </w:pPr>
      <w:r>
        <w:rPr>
          <w:noProof/>
        </w:rPr>
        <w:t>Step 4: Certify the online lodgement</w:t>
      </w:r>
      <w:r>
        <w:rPr>
          <w:noProof/>
        </w:rPr>
        <w:tab/>
      </w:r>
      <w:r>
        <w:rPr>
          <w:noProof/>
        </w:rPr>
        <w:fldChar w:fldCharType="begin"/>
      </w:r>
      <w:r>
        <w:rPr>
          <w:noProof/>
        </w:rPr>
        <w:instrText xml:space="preserve"> PAGEREF _Toc183694670 \h </w:instrText>
      </w:r>
      <w:r>
        <w:rPr>
          <w:noProof/>
        </w:rPr>
      </w:r>
      <w:r>
        <w:rPr>
          <w:noProof/>
        </w:rPr>
        <w:fldChar w:fldCharType="separate"/>
      </w:r>
      <w:r w:rsidR="00833171">
        <w:rPr>
          <w:noProof/>
        </w:rPr>
        <w:t>33</w:t>
      </w:r>
      <w:r>
        <w:rPr>
          <w:noProof/>
        </w:rPr>
        <w:fldChar w:fldCharType="end"/>
      </w:r>
    </w:p>
    <w:p w14:paraId="63C61C59" w14:textId="4F07E62B" w:rsidR="00C41883" w:rsidRDefault="00C41883">
      <w:pPr>
        <w:pStyle w:val="TOC4"/>
        <w:rPr>
          <w:rFonts w:asciiTheme="minorHAnsi" w:eastAsiaTheme="minorEastAsia" w:hAnsiTheme="minorHAnsi" w:cstheme="minorBidi"/>
          <w:b w:val="0"/>
          <w:noProof/>
          <w:kern w:val="0"/>
          <w:sz w:val="22"/>
          <w:szCs w:val="22"/>
        </w:rPr>
      </w:pPr>
      <w:r>
        <w:rPr>
          <w:noProof/>
        </w:rPr>
        <w:t>Standard timeframes for registration</w:t>
      </w:r>
      <w:r>
        <w:rPr>
          <w:noProof/>
        </w:rPr>
        <w:tab/>
      </w:r>
      <w:r>
        <w:rPr>
          <w:noProof/>
        </w:rPr>
        <w:fldChar w:fldCharType="begin"/>
      </w:r>
      <w:r>
        <w:rPr>
          <w:noProof/>
        </w:rPr>
        <w:instrText xml:space="preserve"> PAGEREF _Toc183694671 \h </w:instrText>
      </w:r>
      <w:r>
        <w:rPr>
          <w:noProof/>
        </w:rPr>
      </w:r>
      <w:r>
        <w:rPr>
          <w:noProof/>
        </w:rPr>
        <w:fldChar w:fldCharType="separate"/>
      </w:r>
      <w:r w:rsidR="00833171">
        <w:rPr>
          <w:noProof/>
        </w:rPr>
        <w:t>34</w:t>
      </w:r>
      <w:r>
        <w:rPr>
          <w:noProof/>
        </w:rPr>
        <w:fldChar w:fldCharType="end"/>
      </w:r>
    </w:p>
    <w:p w14:paraId="423A8010" w14:textId="48E5A551" w:rsidR="00C41883" w:rsidRDefault="00C41883">
      <w:pPr>
        <w:pStyle w:val="TOC4"/>
        <w:rPr>
          <w:rFonts w:asciiTheme="minorHAnsi" w:eastAsiaTheme="minorEastAsia" w:hAnsiTheme="minorHAnsi" w:cstheme="minorBidi"/>
          <w:b w:val="0"/>
          <w:noProof/>
          <w:kern w:val="0"/>
          <w:sz w:val="22"/>
          <w:szCs w:val="22"/>
        </w:rPr>
      </w:pPr>
      <w:r>
        <w:rPr>
          <w:noProof/>
        </w:rPr>
        <w:t>Fees for standard and additional services</w:t>
      </w:r>
      <w:r>
        <w:rPr>
          <w:noProof/>
        </w:rPr>
        <w:tab/>
      </w:r>
      <w:r>
        <w:rPr>
          <w:noProof/>
        </w:rPr>
        <w:fldChar w:fldCharType="begin"/>
      </w:r>
      <w:r>
        <w:rPr>
          <w:noProof/>
        </w:rPr>
        <w:instrText xml:space="preserve"> PAGEREF _Toc183694672 \h </w:instrText>
      </w:r>
      <w:r>
        <w:rPr>
          <w:noProof/>
        </w:rPr>
      </w:r>
      <w:r>
        <w:rPr>
          <w:noProof/>
        </w:rPr>
        <w:fldChar w:fldCharType="separate"/>
      </w:r>
      <w:r w:rsidR="00833171">
        <w:rPr>
          <w:noProof/>
        </w:rPr>
        <w:t>35</w:t>
      </w:r>
      <w:r>
        <w:rPr>
          <w:noProof/>
        </w:rPr>
        <w:fldChar w:fldCharType="end"/>
      </w:r>
    </w:p>
    <w:p w14:paraId="594FB7B5" w14:textId="0B62722C" w:rsidR="00C41883" w:rsidRDefault="00C41883">
      <w:pPr>
        <w:pStyle w:val="TOC3"/>
        <w:rPr>
          <w:rFonts w:asciiTheme="minorHAnsi" w:eastAsiaTheme="minorEastAsia" w:hAnsiTheme="minorHAnsi" w:cstheme="minorBidi"/>
          <w:b w:val="0"/>
          <w:noProof/>
          <w:kern w:val="0"/>
          <w:szCs w:val="22"/>
        </w:rPr>
      </w:pPr>
      <w:r>
        <w:rPr>
          <w:noProof/>
        </w:rPr>
        <w:t>Requirement for gazettal or notification in addition to registration</w:t>
      </w:r>
      <w:r>
        <w:rPr>
          <w:noProof/>
        </w:rPr>
        <w:tab/>
      </w:r>
      <w:r>
        <w:rPr>
          <w:noProof/>
        </w:rPr>
        <w:fldChar w:fldCharType="begin"/>
      </w:r>
      <w:r>
        <w:rPr>
          <w:noProof/>
        </w:rPr>
        <w:instrText xml:space="preserve"> PAGEREF _Toc183694673 \h </w:instrText>
      </w:r>
      <w:r>
        <w:rPr>
          <w:noProof/>
        </w:rPr>
      </w:r>
      <w:r>
        <w:rPr>
          <w:noProof/>
        </w:rPr>
        <w:fldChar w:fldCharType="separate"/>
      </w:r>
      <w:r w:rsidR="00833171">
        <w:rPr>
          <w:noProof/>
        </w:rPr>
        <w:t>36</w:t>
      </w:r>
      <w:r>
        <w:rPr>
          <w:noProof/>
        </w:rPr>
        <w:fldChar w:fldCharType="end"/>
      </w:r>
    </w:p>
    <w:p w14:paraId="6247890C" w14:textId="79C10CA8" w:rsidR="00C41883" w:rsidRDefault="00C41883">
      <w:pPr>
        <w:pStyle w:val="TOC4"/>
        <w:rPr>
          <w:rFonts w:asciiTheme="minorHAnsi" w:eastAsiaTheme="minorEastAsia" w:hAnsiTheme="minorHAnsi" w:cstheme="minorBidi"/>
          <w:b w:val="0"/>
          <w:noProof/>
          <w:kern w:val="0"/>
          <w:sz w:val="22"/>
          <w:szCs w:val="22"/>
        </w:rPr>
      </w:pPr>
      <w:r>
        <w:rPr>
          <w:noProof/>
        </w:rPr>
        <w:t>Benefits of registering notifiable instruments instead of gazettes</w:t>
      </w:r>
      <w:r>
        <w:rPr>
          <w:noProof/>
        </w:rPr>
        <w:tab/>
      </w:r>
      <w:r>
        <w:rPr>
          <w:noProof/>
        </w:rPr>
        <w:fldChar w:fldCharType="begin"/>
      </w:r>
      <w:r>
        <w:rPr>
          <w:noProof/>
        </w:rPr>
        <w:instrText xml:space="preserve"> PAGEREF _Toc183694674 \h </w:instrText>
      </w:r>
      <w:r>
        <w:rPr>
          <w:noProof/>
        </w:rPr>
      </w:r>
      <w:r>
        <w:rPr>
          <w:noProof/>
        </w:rPr>
        <w:fldChar w:fldCharType="separate"/>
      </w:r>
      <w:r w:rsidR="00833171">
        <w:rPr>
          <w:noProof/>
        </w:rPr>
        <w:t>36</w:t>
      </w:r>
      <w:r>
        <w:rPr>
          <w:noProof/>
        </w:rPr>
        <w:fldChar w:fldCharType="end"/>
      </w:r>
    </w:p>
    <w:p w14:paraId="6D617995" w14:textId="365E058B" w:rsidR="00C41883" w:rsidRDefault="00C41883">
      <w:pPr>
        <w:pStyle w:val="TOC4"/>
        <w:rPr>
          <w:rFonts w:asciiTheme="minorHAnsi" w:eastAsiaTheme="minorEastAsia" w:hAnsiTheme="minorHAnsi" w:cstheme="minorBidi"/>
          <w:b w:val="0"/>
          <w:noProof/>
          <w:kern w:val="0"/>
          <w:sz w:val="22"/>
          <w:szCs w:val="22"/>
        </w:rPr>
      </w:pPr>
      <w:r>
        <w:rPr>
          <w:noProof/>
        </w:rPr>
        <w:t>If an instrument is to be notified/published in addition to registration</w:t>
      </w:r>
      <w:r>
        <w:rPr>
          <w:noProof/>
        </w:rPr>
        <w:tab/>
      </w:r>
      <w:r>
        <w:rPr>
          <w:noProof/>
        </w:rPr>
        <w:fldChar w:fldCharType="begin"/>
      </w:r>
      <w:r>
        <w:rPr>
          <w:noProof/>
        </w:rPr>
        <w:instrText xml:space="preserve"> PAGEREF _Toc183694675 \h </w:instrText>
      </w:r>
      <w:r>
        <w:rPr>
          <w:noProof/>
        </w:rPr>
      </w:r>
      <w:r>
        <w:rPr>
          <w:noProof/>
        </w:rPr>
        <w:fldChar w:fldCharType="separate"/>
      </w:r>
      <w:r w:rsidR="00833171">
        <w:rPr>
          <w:noProof/>
        </w:rPr>
        <w:t>37</w:t>
      </w:r>
      <w:r>
        <w:rPr>
          <w:noProof/>
        </w:rPr>
        <w:fldChar w:fldCharType="end"/>
      </w:r>
    </w:p>
    <w:p w14:paraId="4F823C5E" w14:textId="49036B0E" w:rsidR="00C41883" w:rsidRDefault="00C41883">
      <w:pPr>
        <w:pStyle w:val="TOC2"/>
        <w:rPr>
          <w:rFonts w:asciiTheme="minorHAnsi" w:eastAsiaTheme="minorEastAsia" w:hAnsiTheme="minorHAnsi" w:cstheme="minorBidi"/>
          <w:b w:val="0"/>
          <w:noProof/>
          <w:kern w:val="0"/>
          <w:sz w:val="22"/>
          <w:szCs w:val="22"/>
        </w:rPr>
      </w:pPr>
      <w:r>
        <w:rPr>
          <w:noProof/>
          <w:lang w:eastAsia="en-US"/>
        </w:rPr>
        <w:t>Chapter 5—Compilations</w:t>
      </w:r>
      <w:r>
        <w:rPr>
          <w:noProof/>
        </w:rPr>
        <w:tab/>
      </w:r>
      <w:r>
        <w:rPr>
          <w:noProof/>
        </w:rPr>
        <w:fldChar w:fldCharType="begin"/>
      </w:r>
      <w:r>
        <w:rPr>
          <w:noProof/>
        </w:rPr>
        <w:instrText xml:space="preserve"> PAGEREF _Toc183694676 \h </w:instrText>
      </w:r>
      <w:r>
        <w:rPr>
          <w:noProof/>
        </w:rPr>
      </w:r>
      <w:r>
        <w:rPr>
          <w:noProof/>
        </w:rPr>
        <w:fldChar w:fldCharType="separate"/>
      </w:r>
      <w:r w:rsidR="00833171">
        <w:rPr>
          <w:noProof/>
        </w:rPr>
        <w:t>38</w:t>
      </w:r>
      <w:r>
        <w:rPr>
          <w:noProof/>
        </w:rPr>
        <w:fldChar w:fldCharType="end"/>
      </w:r>
    </w:p>
    <w:p w14:paraId="5252CA13" w14:textId="55918A45" w:rsidR="00C41883" w:rsidRDefault="00C41883">
      <w:pPr>
        <w:pStyle w:val="TOC3"/>
        <w:rPr>
          <w:rFonts w:asciiTheme="minorHAnsi" w:eastAsiaTheme="minorEastAsia" w:hAnsiTheme="minorHAnsi" w:cstheme="minorBidi"/>
          <w:b w:val="0"/>
          <w:noProof/>
          <w:kern w:val="0"/>
          <w:szCs w:val="22"/>
        </w:rPr>
      </w:pPr>
      <w:r>
        <w:rPr>
          <w:noProof/>
        </w:rPr>
        <w:t>General</w:t>
      </w:r>
      <w:r>
        <w:rPr>
          <w:noProof/>
        </w:rPr>
        <w:tab/>
      </w:r>
      <w:r w:rsidR="00A94B31">
        <w:rPr>
          <w:noProof/>
        </w:rPr>
        <w:tab/>
      </w:r>
      <w:r>
        <w:rPr>
          <w:noProof/>
        </w:rPr>
        <w:fldChar w:fldCharType="begin"/>
      </w:r>
      <w:r>
        <w:rPr>
          <w:noProof/>
        </w:rPr>
        <w:instrText xml:space="preserve"> PAGEREF _Toc183694677 \h </w:instrText>
      </w:r>
      <w:r>
        <w:rPr>
          <w:noProof/>
        </w:rPr>
      </w:r>
      <w:r>
        <w:rPr>
          <w:noProof/>
        </w:rPr>
        <w:fldChar w:fldCharType="separate"/>
      </w:r>
      <w:r w:rsidR="00833171">
        <w:rPr>
          <w:noProof/>
        </w:rPr>
        <w:t>38</w:t>
      </w:r>
      <w:r>
        <w:rPr>
          <w:noProof/>
        </w:rPr>
        <w:fldChar w:fldCharType="end"/>
      </w:r>
    </w:p>
    <w:p w14:paraId="4D1F1245" w14:textId="7D255177" w:rsidR="00C41883" w:rsidRDefault="00C41883">
      <w:pPr>
        <w:pStyle w:val="TOC3"/>
        <w:rPr>
          <w:rFonts w:asciiTheme="minorHAnsi" w:eastAsiaTheme="minorEastAsia" w:hAnsiTheme="minorHAnsi" w:cstheme="minorBidi"/>
          <w:b w:val="0"/>
          <w:noProof/>
          <w:kern w:val="0"/>
          <w:szCs w:val="22"/>
        </w:rPr>
      </w:pPr>
      <w:r>
        <w:rPr>
          <w:noProof/>
        </w:rPr>
        <w:t>When to prepare compilations</w:t>
      </w:r>
      <w:r>
        <w:rPr>
          <w:noProof/>
        </w:rPr>
        <w:tab/>
      </w:r>
      <w:r>
        <w:rPr>
          <w:noProof/>
        </w:rPr>
        <w:fldChar w:fldCharType="begin"/>
      </w:r>
      <w:r>
        <w:rPr>
          <w:noProof/>
        </w:rPr>
        <w:instrText xml:space="preserve"> PAGEREF _Toc183694678 \h </w:instrText>
      </w:r>
      <w:r>
        <w:rPr>
          <w:noProof/>
        </w:rPr>
      </w:r>
      <w:r>
        <w:rPr>
          <w:noProof/>
        </w:rPr>
        <w:fldChar w:fldCharType="separate"/>
      </w:r>
      <w:r w:rsidR="00833171">
        <w:rPr>
          <w:noProof/>
        </w:rPr>
        <w:t>38</w:t>
      </w:r>
      <w:r>
        <w:rPr>
          <w:noProof/>
        </w:rPr>
        <w:fldChar w:fldCharType="end"/>
      </w:r>
    </w:p>
    <w:p w14:paraId="3C0CB2F7" w14:textId="46C930EB" w:rsidR="00C41883" w:rsidRDefault="00C41883">
      <w:pPr>
        <w:pStyle w:val="TOC3"/>
        <w:rPr>
          <w:rFonts w:asciiTheme="minorHAnsi" w:eastAsiaTheme="minorEastAsia" w:hAnsiTheme="minorHAnsi" w:cstheme="minorBidi"/>
          <w:b w:val="0"/>
          <w:noProof/>
          <w:kern w:val="0"/>
          <w:szCs w:val="22"/>
        </w:rPr>
      </w:pPr>
      <w:r>
        <w:rPr>
          <w:noProof/>
        </w:rPr>
        <w:t>If amendments to an instrument have not taken effect</w:t>
      </w:r>
      <w:r>
        <w:rPr>
          <w:noProof/>
        </w:rPr>
        <w:tab/>
      </w:r>
      <w:r>
        <w:rPr>
          <w:noProof/>
        </w:rPr>
        <w:fldChar w:fldCharType="begin"/>
      </w:r>
      <w:r>
        <w:rPr>
          <w:noProof/>
        </w:rPr>
        <w:instrText xml:space="preserve"> PAGEREF _Toc183694679 \h </w:instrText>
      </w:r>
      <w:r>
        <w:rPr>
          <w:noProof/>
        </w:rPr>
      </w:r>
      <w:r>
        <w:rPr>
          <w:noProof/>
        </w:rPr>
        <w:fldChar w:fldCharType="separate"/>
      </w:r>
      <w:r w:rsidR="00833171">
        <w:rPr>
          <w:noProof/>
        </w:rPr>
        <w:t>40</w:t>
      </w:r>
      <w:r>
        <w:rPr>
          <w:noProof/>
        </w:rPr>
        <w:fldChar w:fldCharType="end"/>
      </w:r>
    </w:p>
    <w:p w14:paraId="4E3A75A9" w14:textId="07C8C534" w:rsidR="00C41883" w:rsidRDefault="00C41883">
      <w:pPr>
        <w:pStyle w:val="TOC3"/>
        <w:rPr>
          <w:rFonts w:asciiTheme="minorHAnsi" w:eastAsiaTheme="minorEastAsia" w:hAnsiTheme="minorHAnsi" w:cstheme="minorBidi"/>
          <w:b w:val="0"/>
          <w:noProof/>
          <w:kern w:val="0"/>
          <w:szCs w:val="22"/>
        </w:rPr>
      </w:pPr>
      <w:r>
        <w:rPr>
          <w:noProof/>
        </w:rPr>
        <w:t>Who can prepare compilations</w:t>
      </w:r>
      <w:r>
        <w:rPr>
          <w:noProof/>
        </w:rPr>
        <w:tab/>
      </w:r>
      <w:r>
        <w:rPr>
          <w:noProof/>
        </w:rPr>
        <w:fldChar w:fldCharType="begin"/>
      </w:r>
      <w:r>
        <w:rPr>
          <w:noProof/>
        </w:rPr>
        <w:instrText xml:space="preserve"> PAGEREF _Toc183694680 \h </w:instrText>
      </w:r>
      <w:r>
        <w:rPr>
          <w:noProof/>
        </w:rPr>
      </w:r>
      <w:r>
        <w:rPr>
          <w:noProof/>
        </w:rPr>
        <w:fldChar w:fldCharType="separate"/>
      </w:r>
      <w:r w:rsidR="00833171">
        <w:rPr>
          <w:noProof/>
        </w:rPr>
        <w:t>40</w:t>
      </w:r>
      <w:r>
        <w:rPr>
          <w:noProof/>
        </w:rPr>
        <w:fldChar w:fldCharType="end"/>
      </w:r>
    </w:p>
    <w:p w14:paraId="33C0BC9F" w14:textId="4B631131" w:rsidR="00C41883" w:rsidRDefault="00C41883">
      <w:pPr>
        <w:pStyle w:val="TOC3"/>
        <w:rPr>
          <w:rFonts w:asciiTheme="minorHAnsi" w:eastAsiaTheme="minorEastAsia" w:hAnsiTheme="minorHAnsi" w:cstheme="minorBidi"/>
          <w:b w:val="0"/>
          <w:noProof/>
          <w:kern w:val="0"/>
          <w:szCs w:val="22"/>
        </w:rPr>
      </w:pPr>
      <w:r>
        <w:rPr>
          <w:noProof/>
        </w:rPr>
        <w:t>What must be included in compilations</w:t>
      </w:r>
      <w:r>
        <w:rPr>
          <w:noProof/>
        </w:rPr>
        <w:tab/>
      </w:r>
      <w:r>
        <w:rPr>
          <w:noProof/>
        </w:rPr>
        <w:fldChar w:fldCharType="begin"/>
      </w:r>
      <w:r>
        <w:rPr>
          <w:noProof/>
        </w:rPr>
        <w:instrText xml:space="preserve"> PAGEREF _Toc183694681 \h </w:instrText>
      </w:r>
      <w:r>
        <w:rPr>
          <w:noProof/>
        </w:rPr>
      </w:r>
      <w:r>
        <w:rPr>
          <w:noProof/>
        </w:rPr>
        <w:fldChar w:fldCharType="separate"/>
      </w:r>
      <w:r w:rsidR="00833171">
        <w:rPr>
          <w:noProof/>
        </w:rPr>
        <w:t>40</w:t>
      </w:r>
      <w:r>
        <w:rPr>
          <w:noProof/>
        </w:rPr>
        <w:fldChar w:fldCharType="end"/>
      </w:r>
    </w:p>
    <w:p w14:paraId="0410ECA4" w14:textId="7760C55B" w:rsidR="00C41883" w:rsidRDefault="00C41883">
      <w:pPr>
        <w:pStyle w:val="TOC3"/>
        <w:rPr>
          <w:rFonts w:asciiTheme="minorHAnsi" w:eastAsiaTheme="minorEastAsia" w:hAnsiTheme="minorHAnsi" w:cstheme="minorBidi"/>
          <w:b w:val="0"/>
          <w:noProof/>
          <w:kern w:val="0"/>
          <w:szCs w:val="22"/>
        </w:rPr>
      </w:pPr>
      <w:r>
        <w:rPr>
          <w:noProof/>
        </w:rPr>
        <w:t>Scope to correct errors and make other changes</w:t>
      </w:r>
      <w:r>
        <w:rPr>
          <w:noProof/>
        </w:rPr>
        <w:tab/>
      </w:r>
      <w:r>
        <w:rPr>
          <w:noProof/>
        </w:rPr>
        <w:fldChar w:fldCharType="begin"/>
      </w:r>
      <w:r>
        <w:rPr>
          <w:noProof/>
        </w:rPr>
        <w:instrText xml:space="preserve"> PAGEREF _Toc183694682 \h </w:instrText>
      </w:r>
      <w:r>
        <w:rPr>
          <w:noProof/>
        </w:rPr>
      </w:r>
      <w:r>
        <w:rPr>
          <w:noProof/>
        </w:rPr>
        <w:fldChar w:fldCharType="separate"/>
      </w:r>
      <w:r w:rsidR="00833171">
        <w:rPr>
          <w:noProof/>
        </w:rPr>
        <w:t>51</w:t>
      </w:r>
      <w:r>
        <w:rPr>
          <w:noProof/>
        </w:rPr>
        <w:fldChar w:fldCharType="end"/>
      </w:r>
    </w:p>
    <w:p w14:paraId="185310FE" w14:textId="0C96005E" w:rsidR="00C41883" w:rsidRDefault="00C41883">
      <w:pPr>
        <w:pStyle w:val="TOC3"/>
        <w:rPr>
          <w:rFonts w:asciiTheme="minorHAnsi" w:eastAsiaTheme="minorEastAsia" w:hAnsiTheme="minorHAnsi" w:cstheme="minorBidi"/>
          <w:b w:val="0"/>
          <w:noProof/>
          <w:kern w:val="0"/>
          <w:szCs w:val="22"/>
        </w:rPr>
      </w:pPr>
      <w:r>
        <w:rPr>
          <w:noProof/>
        </w:rPr>
        <w:t>How to lodge compilations for registration</w:t>
      </w:r>
      <w:r>
        <w:rPr>
          <w:noProof/>
        </w:rPr>
        <w:tab/>
      </w:r>
      <w:r>
        <w:rPr>
          <w:noProof/>
        </w:rPr>
        <w:fldChar w:fldCharType="begin"/>
      </w:r>
      <w:r>
        <w:rPr>
          <w:noProof/>
        </w:rPr>
        <w:instrText xml:space="preserve"> PAGEREF _Toc183694683 \h </w:instrText>
      </w:r>
      <w:r>
        <w:rPr>
          <w:noProof/>
        </w:rPr>
      </w:r>
      <w:r>
        <w:rPr>
          <w:noProof/>
        </w:rPr>
        <w:fldChar w:fldCharType="separate"/>
      </w:r>
      <w:r w:rsidR="00833171">
        <w:rPr>
          <w:noProof/>
        </w:rPr>
        <w:t>51</w:t>
      </w:r>
      <w:r>
        <w:rPr>
          <w:noProof/>
        </w:rPr>
        <w:fldChar w:fldCharType="end"/>
      </w:r>
    </w:p>
    <w:p w14:paraId="45BFA9B4" w14:textId="0E0E6A34" w:rsidR="00C41883" w:rsidRDefault="00C41883">
      <w:pPr>
        <w:pStyle w:val="TOC2"/>
        <w:rPr>
          <w:rFonts w:asciiTheme="minorHAnsi" w:eastAsiaTheme="minorEastAsia" w:hAnsiTheme="minorHAnsi" w:cstheme="minorBidi"/>
          <w:b w:val="0"/>
          <w:noProof/>
          <w:kern w:val="0"/>
          <w:sz w:val="22"/>
          <w:szCs w:val="22"/>
        </w:rPr>
      </w:pPr>
      <w:r>
        <w:rPr>
          <w:noProof/>
        </w:rPr>
        <w:t>Chapter 6—Keeping the Register up</w:t>
      </w:r>
      <w:r>
        <w:rPr>
          <w:noProof/>
        </w:rPr>
        <w:noBreakHyphen/>
        <w:t>to</w:t>
      </w:r>
      <w:r>
        <w:rPr>
          <w:noProof/>
        </w:rPr>
        <w:noBreakHyphen/>
        <w:t>date</w:t>
      </w:r>
      <w:r>
        <w:rPr>
          <w:noProof/>
        </w:rPr>
        <w:tab/>
      </w:r>
      <w:r>
        <w:rPr>
          <w:noProof/>
        </w:rPr>
        <w:fldChar w:fldCharType="begin"/>
      </w:r>
      <w:r>
        <w:rPr>
          <w:noProof/>
        </w:rPr>
        <w:instrText xml:space="preserve"> PAGEREF _Toc183694684 \h </w:instrText>
      </w:r>
      <w:r>
        <w:rPr>
          <w:noProof/>
        </w:rPr>
      </w:r>
      <w:r>
        <w:rPr>
          <w:noProof/>
        </w:rPr>
        <w:fldChar w:fldCharType="separate"/>
      </w:r>
      <w:r w:rsidR="00833171">
        <w:rPr>
          <w:noProof/>
        </w:rPr>
        <w:t>52</w:t>
      </w:r>
      <w:r>
        <w:rPr>
          <w:noProof/>
        </w:rPr>
        <w:fldChar w:fldCharType="end"/>
      </w:r>
    </w:p>
    <w:p w14:paraId="64DE3887" w14:textId="42C505F0" w:rsidR="00C41883" w:rsidRDefault="00C41883">
      <w:pPr>
        <w:pStyle w:val="TOC3"/>
        <w:rPr>
          <w:rFonts w:asciiTheme="minorHAnsi" w:eastAsiaTheme="minorEastAsia" w:hAnsiTheme="minorHAnsi" w:cstheme="minorBidi"/>
          <w:b w:val="0"/>
          <w:noProof/>
          <w:kern w:val="0"/>
          <w:szCs w:val="22"/>
        </w:rPr>
      </w:pPr>
      <w:r>
        <w:rPr>
          <w:noProof/>
        </w:rPr>
        <w:t>General</w:t>
      </w:r>
      <w:r>
        <w:rPr>
          <w:noProof/>
        </w:rPr>
        <w:tab/>
      </w:r>
      <w:r w:rsidR="00A94B31">
        <w:rPr>
          <w:noProof/>
        </w:rPr>
        <w:tab/>
      </w:r>
      <w:r>
        <w:rPr>
          <w:noProof/>
        </w:rPr>
        <w:fldChar w:fldCharType="begin"/>
      </w:r>
      <w:r>
        <w:rPr>
          <w:noProof/>
        </w:rPr>
        <w:instrText xml:space="preserve"> PAGEREF _Toc183694685 \h </w:instrText>
      </w:r>
      <w:r>
        <w:rPr>
          <w:noProof/>
        </w:rPr>
      </w:r>
      <w:r>
        <w:rPr>
          <w:noProof/>
        </w:rPr>
        <w:fldChar w:fldCharType="separate"/>
      </w:r>
      <w:r w:rsidR="00833171">
        <w:rPr>
          <w:noProof/>
        </w:rPr>
        <w:t>52</w:t>
      </w:r>
      <w:r>
        <w:rPr>
          <w:noProof/>
        </w:rPr>
        <w:fldChar w:fldCharType="end"/>
      </w:r>
    </w:p>
    <w:p w14:paraId="3C2B8097" w14:textId="564BC28F" w:rsidR="00C41883" w:rsidRDefault="00C41883">
      <w:pPr>
        <w:pStyle w:val="TOC3"/>
        <w:rPr>
          <w:rFonts w:asciiTheme="minorHAnsi" w:eastAsiaTheme="minorEastAsia" w:hAnsiTheme="minorHAnsi" w:cstheme="minorBidi"/>
          <w:b w:val="0"/>
          <w:noProof/>
          <w:kern w:val="0"/>
          <w:szCs w:val="22"/>
        </w:rPr>
      </w:pPr>
      <w:r>
        <w:rPr>
          <w:noProof/>
        </w:rPr>
        <w:t>Agencies must act on lodgements found to contain errors</w:t>
      </w:r>
      <w:r>
        <w:rPr>
          <w:noProof/>
        </w:rPr>
        <w:tab/>
      </w:r>
      <w:r>
        <w:rPr>
          <w:noProof/>
        </w:rPr>
        <w:fldChar w:fldCharType="begin"/>
      </w:r>
      <w:r>
        <w:rPr>
          <w:noProof/>
        </w:rPr>
        <w:instrText xml:space="preserve"> PAGEREF _Toc183694686 \h </w:instrText>
      </w:r>
      <w:r>
        <w:rPr>
          <w:noProof/>
        </w:rPr>
      </w:r>
      <w:r>
        <w:rPr>
          <w:noProof/>
        </w:rPr>
        <w:fldChar w:fldCharType="separate"/>
      </w:r>
      <w:r w:rsidR="00833171">
        <w:rPr>
          <w:noProof/>
        </w:rPr>
        <w:t>52</w:t>
      </w:r>
      <w:r>
        <w:rPr>
          <w:noProof/>
        </w:rPr>
        <w:fldChar w:fldCharType="end"/>
      </w:r>
    </w:p>
    <w:p w14:paraId="6BF0E9C2" w14:textId="7E36CD83" w:rsidR="00C41883" w:rsidRDefault="00C41883">
      <w:pPr>
        <w:pStyle w:val="TOC3"/>
        <w:rPr>
          <w:rFonts w:asciiTheme="minorHAnsi" w:eastAsiaTheme="minorEastAsia" w:hAnsiTheme="minorHAnsi" w:cstheme="minorBidi"/>
          <w:b w:val="0"/>
          <w:noProof/>
          <w:kern w:val="0"/>
          <w:szCs w:val="22"/>
        </w:rPr>
      </w:pPr>
      <w:r>
        <w:rPr>
          <w:noProof/>
        </w:rPr>
        <w:t>Agencies must notify other events affecting the Register</w:t>
      </w:r>
      <w:r>
        <w:rPr>
          <w:noProof/>
        </w:rPr>
        <w:tab/>
      </w:r>
      <w:r>
        <w:rPr>
          <w:noProof/>
        </w:rPr>
        <w:fldChar w:fldCharType="begin"/>
      </w:r>
      <w:r>
        <w:rPr>
          <w:noProof/>
        </w:rPr>
        <w:instrText xml:space="preserve"> PAGEREF _Toc183694687 \h </w:instrText>
      </w:r>
      <w:r>
        <w:rPr>
          <w:noProof/>
        </w:rPr>
      </w:r>
      <w:r>
        <w:rPr>
          <w:noProof/>
        </w:rPr>
        <w:fldChar w:fldCharType="separate"/>
      </w:r>
      <w:r w:rsidR="00833171">
        <w:rPr>
          <w:noProof/>
        </w:rPr>
        <w:t>53</w:t>
      </w:r>
      <w:r>
        <w:rPr>
          <w:noProof/>
        </w:rPr>
        <w:fldChar w:fldCharType="end"/>
      </w:r>
    </w:p>
    <w:p w14:paraId="1444AD91" w14:textId="4F29310B" w:rsidR="00C41883" w:rsidRDefault="00C41883">
      <w:pPr>
        <w:pStyle w:val="TOC3"/>
        <w:rPr>
          <w:rFonts w:asciiTheme="minorHAnsi" w:eastAsiaTheme="minorEastAsia" w:hAnsiTheme="minorHAnsi" w:cstheme="minorBidi"/>
          <w:b w:val="0"/>
          <w:noProof/>
          <w:kern w:val="0"/>
          <w:szCs w:val="22"/>
        </w:rPr>
      </w:pPr>
      <w:r>
        <w:rPr>
          <w:noProof/>
        </w:rPr>
        <w:t>If an error is found in the Register</w:t>
      </w:r>
      <w:r>
        <w:rPr>
          <w:noProof/>
        </w:rPr>
        <w:tab/>
      </w:r>
      <w:r>
        <w:rPr>
          <w:noProof/>
        </w:rPr>
        <w:fldChar w:fldCharType="begin"/>
      </w:r>
      <w:r>
        <w:rPr>
          <w:noProof/>
        </w:rPr>
        <w:instrText xml:space="preserve"> PAGEREF _Toc183694688 \h </w:instrText>
      </w:r>
      <w:r>
        <w:rPr>
          <w:noProof/>
        </w:rPr>
      </w:r>
      <w:r>
        <w:rPr>
          <w:noProof/>
        </w:rPr>
        <w:fldChar w:fldCharType="separate"/>
      </w:r>
      <w:r w:rsidR="00833171">
        <w:rPr>
          <w:noProof/>
        </w:rPr>
        <w:t>54</w:t>
      </w:r>
      <w:r>
        <w:rPr>
          <w:noProof/>
        </w:rPr>
        <w:fldChar w:fldCharType="end"/>
      </w:r>
    </w:p>
    <w:p w14:paraId="29C35158" w14:textId="38730106" w:rsidR="00C41883" w:rsidRDefault="00C41883">
      <w:pPr>
        <w:pStyle w:val="TOC3"/>
        <w:rPr>
          <w:rFonts w:asciiTheme="minorHAnsi" w:eastAsiaTheme="minorEastAsia" w:hAnsiTheme="minorHAnsi" w:cstheme="minorBidi"/>
          <w:b w:val="0"/>
          <w:noProof/>
          <w:kern w:val="0"/>
          <w:szCs w:val="22"/>
        </w:rPr>
      </w:pPr>
      <w:r>
        <w:rPr>
          <w:noProof/>
        </w:rPr>
        <w:t>Rectification of disallowable legislative instruments</w:t>
      </w:r>
      <w:r>
        <w:rPr>
          <w:noProof/>
        </w:rPr>
        <w:tab/>
      </w:r>
      <w:r>
        <w:rPr>
          <w:noProof/>
        </w:rPr>
        <w:fldChar w:fldCharType="begin"/>
      </w:r>
      <w:r>
        <w:rPr>
          <w:noProof/>
        </w:rPr>
        <w:instrText xml:space="preserve"> PAGEREF _Toc183694689 \h </w:instrText>
      </w:r>
      <w:r>
        <w:rPr>
          <w:noProof/>
        </w:rPr>
      </w:r>
      <w:r>
        <w:rPr>
          <w:noProof/>
        </w:rPr>
        <w:fldChar w:fldCharType="separate"/>
      </w:r>
      <w:r w:rsidR="00833171">
        <w:rPr>
          <w:noProof/>
        </w:rPr>
        <w:t>55</w:t>
      </w:r>
      <w:r>
        <w:rPr>
          <w:noProof/>
        </w:rPr>
        <w:fldChar w:fldCharType="end"/>
      </w:r>
    </w:p>
    <w:p w14:paraId="45146340" w14:textId="711F6B4C" w:rsidR="00C41883" w:rsidRDefault="00C41883">
      <w:pPr>
        <w:pStyle w:val="TOC3"/>
        <w:rPr>
          <w:rFonts w:asciiTheme="minorHAnsi" w:eastAsiaTheme="minorEastAsia" w:hAnsiTheme="minorHAnsi" w:cstheme="minorBidi"/>
          <w:b w:val="0"/>
          <w:noProof/>
          <w:kern w:val="0"/>
          <w:szCs w:val="22"/>
        </w:rPr>
      </w:pPr>
      <w:r>
        <w:rPr>
          <w:noProof/>
        </w:rPr>
        <w:t>Scope for redaction or removal of registered documents</w:t>
      </w:r>
      <w:r>
        <w:rPr>
          <w:noProof/>
        </w:rPr>
        <w:tab/>
      </w:r>
      <w:r>
        <w:rPr>
          <w:noProof/>
        </w:rPr>
        <w:fldChar w:fldCharType="begin"/>
      </w:r>
      <w:r>
        <w:rPr>
          <w:noProof/>
        </w:rPr>
        <w:instrText xml:space="preserve"> PAGEREF _Toc183694690 \h </w:instrText>
      </w:r>
      <w:r>
        <w:rPr>
          <w:noProof/>
        </w:rPr>
      </w:r>
      <w:r>
        <w:rPr>
          <w:noProof/>
        </w:rPr>
        <w:fldChar w:fldCharType="separate"/>
      </w:r>
      <w:r w:rsidR="00833171">
        <w:rPr>
          <w:noProof/>
        </w:rPr>
        <w:t>56</w:t>
      </w:r>
      <w:r>
        <w:rPr>
          <w:noProof/>
        </w:rPr>
        <w:fldChar w:fldCharType="end"/>
      </w:r>
    </w:p>
    <w:p w14:paraId="3A3076A0" w14:textId="6A1EFA69" w:rsidR="00C41883" w:rsidRDefault="00C41883">
      <w:pPr>
        <w:pStyle w:val="TOC3"/>
        <w:rPr>
          <w:rFonts w:asciiTheme="minorHAnsi" w:eastAsiaTheme="minorEastAsia" w:hAnsiTheme="minorHAnsi" w:cstheme="minorBidi"/>
          <w:b w:val="0"/>
          <w:noProof/>
          <w:kern w:val="0"/>
          <w:szCs w:val="22"/>
        </w:rPr>
      </w:pPr>
      <w:r>
        <w:rPr>
          <w:noProof/>
        </w:rPr>
        <w:t>Scope for republication of registered content</w:t>
      </w:r>
      <w:r>
        <w:rPr>
          <w:noProof/>
        </w:rPr>
        <w:tab/>
      </w:r>
      <w:r>
        <w:rPr>
          <w:noProof/>
        </w:rPr>
        <w:fldChar w:fldCharType="begin"/>
      </w:r>
      <w:r>
        <w:rPr>
          <w:noProof/>
        </w:rPr>
        <w:instrText xml:space="preserve"> PAGEREF _Toc183694691 \h </w:instrText>
      </w:r>
      <w:r>
        <w:rPr>
          <w:noProof/>
        </w:rPr>
      </w:r>
      <w:r>
        <w:rPr>
          <w:noProof/>
        </w:rPr>
        <w:fldChar w:fldCharType="separate"/>
      </w:r>
      <w:r w:rsidR="00833171">
        <w:rPr>
          <w:noProof/>
        </w:rPr>
        <w:t>56</w:t>
      </w:r>
      <w:r>
        <w:rPr>
          <w:noProof/>
        </w:rPr>
        <w:fldChar w:fldCharType="end"/>
      </w:r>
    </w:p>
    <w:p w14:paraId="7043B2EF" w14:textId="6DE3EEAF" w:rsidR="00C41883" w:rsidRDefault="00C41883">
      <w:pPr>
        <w:pStyle w:val="TOC3"/>
        <w:rPr>
          <w:rFonts w:asciiTheme="minorHAnsi" w:eastAsiaTheme="minorEastAsia" w:hAnsiTheme="minorHAnsi" w:cstheme="minorBidi"/>
          <w:b w:val="0"/>
          <w:noProof/>
          <w:kern w:val="0"/>
          <w:szCs w:val="22"/>
        </w:rPr>
      </w:pPr>
      <w:r>
        <w:rPr>
          <w:noProof/>
        </w:rPr>
        <w:t>If an instrument is no longer required</w:t>
      </w:r>
      <w:r>
        <w:rPr>
          <w:noProof/>
        </w:rPr>
        <w:tab/>
      </w:r>
      <w:r>
        <w:rPr>
          <w:noProof/>
        </w:rPr>
        <w:fldChar w:fldCharType="begin"/>
      </w:r>
      <w:r>
        <w:rPr>
          <w:noProof/>
        </w:rPr>
        <w:instrText xml:space="preserve"> PAGEREF _Toc183694692 \h </w:instrText>
      </w:r>
      <w:r>
        <w:rPr>
          <w:noProof/>
        </w:rPr>
      </w:r>
      <w:r>
        <w:rPr>
          <w:noProof/>
        </w:rPr>
        <w:fldChar w:fldCharType="separate"/>
      </w:r>
      <w:r w:rsidR="00833171">
        <w:rPr>
          <w:noProof/>
        </w:rPr>
        <w:t>57</w:t>
      </w:r>
      <w:r>
        <w:rPr>
          <w:noProof/>
        </w:rPr>
        <w:fldChar w:fldCharType="end"/>
      </w:r>
    </w:p>
    <w:p w14:paraId="703480B8" w14:textId="6AA9212E" w:rsidR="00C41883" w:rsidRDefault="00C41883">
      <w:pPr>
        <w:pStyle w:val="TOC4"/>
        <w:rPr>
          <w:rFonts w:asciiTheme="minorHAnsi" w:eastAsiaTheme="minorEastAsia" w:hAnsiTheme="minorHAnsi" w:cstheme="minorBidi"/>
          <w:b w:val="0"/>
          <w:noProof/>
          <w:kern w:val="0"/>
          <w:sz w:val="22"/>
          <w:szCs w:val="22"/>
        </w:rPr>
      </w:pPr>
      <w:r>
        <w:rPr>
          <w:noProof/>
        </w:rPr>
        <w:t>Automatic and bulk repeal under Part 3 of Chapter 3 of the LA</w:t>
      </w:r>
      <w:r>
        <w:rPr>
          <w:noProof/>
        </w:rPr>
        <w:tab/>
      </w:r>
      <w:r>
        <w:rPr>
          <w:noProof/>
        </w:rPr>
        <w:fldChar w:fldCharType="begin"/>
      </w:r>
      <w:r>
        <w:rPr>
          <w:noProof/>
        </w:rPr>
        <w:instrText xml:space="preserve"> PAGEREF _Toc183694693 \h </w:instrText>
      </w:r>
      <w:r>
        <w:rPr>
          <w:noProof/>
        </w:rPr>
      </w:r>
      <w:r>
        <w:rPr>
          <w:noProof/>
        </w:rPr>
        <w:fldChar w:fldCharType="separate"/>
      </w:r>
      <w:r w:rsidR="00833171">
        <w:rPr>
          <w:noProof/>
        </w:rPr>
        <w:t>57</w:t>
      </w:r>
      <w:r>
        <w:rPr>
          <w:noProof/>
        </w:rPr>
        <w:fldChar w:fldCharType="end"/>
      </w:r>
    </w:p>
    <w:p w14:paraId="293B0376" w14:textId="1D646279" w:rsidR="00C41883" w:rsidRDefault="00C41883">
      <w:pPr>
        <w:pStyle w:val="TOC4"/>
        <w:rPr>
          <w:rFonts w:asciiTheme="minorHAnsi" w:eastAsiaTheme="minorEastAsia" w:hAnsiTheme="minorHAnsi" w:cstheme="minorBidi"/>
          <w:b w:val="0"/>
          <w:noProof/>
          <w:kern w:val="0"/>
          <w:sz w:val="22"/>
          <w:szCs w:val="22"/>
        </w:rPr>
      </w:pPr>
      <w:r>
        <w:rPr>
          <w:noProof/>
        </w:rPr>
        <w:t>Direct repeal by rule</w:t>
      </w:r>
      <w:r>
        <w:rPr>
          <w:noProof/>
        </w:rPr>
        <w:noBreakHyphen/>
        <w:t>maker</w:t>
      </w:r>
      <w:r>
        <w:rPr>
          <w:noProof/>
        </w:rPr>
        <w:tab/>
      </w:r>
      <w:r>
        <w:rPr>
          <w:noProof/>
        </w:rPr>
        <w:fldChar w:fldCharType="begin"/>
      </w:r>
      <w:r>
        <w:rPr>
          <w:noProof/>
        </w:rPr>
        <w:instrText xml:space="preserve"> PAGEREF _Toc183694694 \h </w:instrText>
      </w:r>
      <w:r>
        <w:rPr>
          <w:noProof/>
        </w:rPr>
      </w:r>
      <w:r>
        <w:rPr>
          <w:noProof/>
        </w:rPr>
        <w:fldChar w:fldCharType="separate"/>
      </w:r>
      <w:r w:rsidR="00833171">
        <w:rPr>
          <w:noProof/>
        </w:rPr>
        <w:t>58</w:t>
      </w:r>
      <w:r>
        <w:rPr>
          <w:noProof/>
        </w:rPr>
        <w:fldChar w:fldCharType="end"/>
      </w:r>
    </w:p>
    <w:p w14:paraId="5800A001" w14:textId="56730E7F" w:rsidR="00C41883" w:rsidRDefault="00C41883">
      <w:pPr>
        <w:pStyle w:val="TOC4"/>
        <w:rPr>
          <w:rFonts w:asciiTheme="minorHAnsi" w:eastAsiaTheme="minorEastAsia" w:hAnsiTheme="minorHAnsi" w:cstheme="minorBidi"/>
          <w:b w:val="0"/>
          <w:noProof/>
          <w:kern w:val="0"/>
          <w:sz w:val="22"/>
          <w:szCs w:val="22"/>
        </w:rPr>
      </w:pPr>
      <w:r>
        <w:rPr>
          <w:noProof/>
        </w:rPr>
        <w:t>Sunsetting under Part 4 of Chapter 3 of the LA</w:t>
      </w:r>
      <w:r>
        <w:rPr>
          <w:noProof/>
        </w:rPr>
        <w:tab/>
      </w:r>
      <w:r>
        <w:rPr>
          <w:noProof/>
        </w:rPr>
        <w:fldChar w:fldCharType="begin"/>
      </w:r>
      <w:r>
        <w:rPr>
          <w:noProof/>
        </w:rPr>
        <w:instrText xml:space="preserve"> PAGEREF _Toc183694695 \h </w:instrText>
      </w:r>
      <w:r>
        <w:rPr>
          <w:noProof/>
        </w:rPr>
      </w:r>
      <w:r>
        <w:rPr>
          <w:noProof/>
        </w:rPr>
        <w:fldChar w:fldCharType="separate"/>
      </w:r>
      <w:r w:rsidR="00833171">
        <w:rPr>
          <w:noProof/>
        </w:rPr>
        <w:t>59</w:t>
      </w:r>
      <w:r>
        <w:rPr>
          <w:noProof/>
        </w:rPr>
        <w:fldChar w:fldCharType="end"/>
      </w:r>
    </w:p>
    <w:p w14:paraId="2B0733E9" w14:textId="761AF501" w:rsidR="00C41883" w:rsidRDefault="00C41883">
      <w:pPr>
        <w:pStyle w:val="TOC2"/>
        <w:rPr>
          <w:rFonts w:asciiTheme="minorHAnsi" w:eastAsiaTheme="minorEastAsia" w:hAnsiTheme="minorHAnsi" w:cstheme="minorBidi"/>
          <w:b w:val="0"/>
          <w:noProof/>
          <w:kern w:val="0"/>
          <w:sz w:val="22"/>
          <w:szCs w:val="22"/>
        </w:rPr>
      </w:pPr>
      <w:r>
        <w:rPr>
          <w:noProof/>
        </w:rPr>
        <w:lastRenderedPageBreak/>
        <w:t>Part 2—Matters specific to legislative instruments</w:t>
      </w:r>
      <w:r>
        <w:rPr>
          <w:noProof/>
        </w:rPr>
        <w:tab/>
      </w:r>
      <w:r>
        <w:rPr>
          <w:noProof/>
        </w:rPr>
        <w:fldChar w:fldCharType="begin"/>
      </w:r>
      <w:r>
        <w:rPr>
          <w:noProof/>
        </w:rPr>
        <w:instrText xml:space="preserve"> PAGEREF _Toc183694696 \h </w:instrText>
      </w:r>
      <w:r>
        <w:rPr>
          <w:noProof/>
        </w:rPr>
      </w:r>
      <w:r>
        <w:rPr>
          <w:noProof/>
        </w:rPr>
        <w:fldChar w:fldCharType="separate"/>
      </w:r>
      <w:r w:rsidR="00833171">
        <w:rPr>
          <w:noProof/>
        </w:rPr>
        <w:t>59</w:t>
      </w:r>
      <w:r>
        <w:rPr>
          <w:noProof/>
        </w:rPr>
        <w:fldChar w:fldCharType="end"/>
      </w:r>
    </w:p>
    <w:p w14:paraId="4E5F3A8D" w14:textId="4F597A44" w:rsidR="00C41883" w:rsidRDefault="00C41883">
      <w:pPr>
        <w:pStyle w:val="TOC2"/>
        <w:rPr>
          <w:rFonts w:asciiTheme="minorHAnsi" w:eastAsiaTheme="minorEastAsia" w:hAnsiTheme="minorHAnsi" w:cstheme="minorBidi"/>
          <w:b w:val="0"/>
          <w:noProof/>
          <w:kern w:val="0"/>
          <w:sz w:val="22"/>
          <w:szCs w:val="22"/>
        </w:rPr>
      </w:pPr>
      <w:r>
        <w:rPr>
          <w:noProof/>
        </w:rPr>
        <w:t>Chapter 7—Before making a legislative instrument</w:t>
      </w:r>
      <w:r>
        <w:rPr>
          <w:noProof/>
        </w:rPr>
        <w:tab/>
      </w:r>
      <w:r>
        <w:rPr>
          <w:noProof/>
        </w:rPr>
        <w:fldChar w:fldCharType="begin"/>
      </w:r>
      <w:r>
        <w:rPr>
          <w:noProof/>
        </w:rPr>
        <w:instrText xml:space="preserve"> PAGEREF _Toc183694697 \h </w:instrText>
      </w:r>
      <w:r>
        <w:rPr>
          <w:noProof/>
        </w:rPr>
      </w:r>
      <w:r>
        <w:rPr>
          <w:noProof/>
        </w:rPr>
        <w:fldChar w:fldCharType="separate"/>
      </w:r>
      <w:r w:rsidR="00833171">
        <w:rPr>
          <w:noProof/>
        </w:rPr>
        <w:t>59</w:t>
      </w:r>
      <w:r>
        <w:rPr>
          <w:noProof/>
        </w:rPr>
        <w:fldChar w:fldCharType="end"/>
      </w:r>
    </w:p>
    <w:p w14:paraId="365602F3" w14:textId="435FE5DD" w:rsidR="00C41883" w:rsidRDefault="00C41883">
      <w:pPr>
        <w:pStyle w:val="TOC3"/>
        <w:rPr>
          <w:rFonts w:asciiTheme="minorHAnsi" w:eastAsiaTheme="minorEastAsia" w:hAnsiTheme="minorHAnsi" w:cstheme="minorBidi"/>
          <w:b w:val="0"/>
          <w:noProof/>
          <w:kern w:val="0"/>
          <w:szCs w:val="22"/>
        </w:rPr>
      </w:pPr>
      <w:r>
        <w:rPr>
          <w:noProof/>
        </w:rPr>
        <w:t>What is making?</w:t>
      </w:r>
      <w:r>
        <w:rPr>
          <w:noProof/>
        </w:rPr>
        <w:tab/>
      </w:r>
      <w:r>
        <w:rPr>
          <w:noProof/>
        </w:rPr>
        <w:fldChar w:fldCharType="begin"/>
      </w:r>
      <w:r>
        <w:rPr>
          <w:noProof/>
        </w:rPr>
        <w:instrText xml:space="preserve"> PAGEREF _Toc183694698 \h </w:instrText>
      </w:r>
      <w:r>
        <w:rPr>
          <w:noProof/>
        </w:rPr>
      </w:r>
      <w:r>
        <w:rPr>
          <w:noProof/>
        </w:rPr>
        <w:fldChar w:fldCharType="separate"/>
      </w:r>
      <w:r w:rsidR="00833171">
        <w:rPr>
          <w:noProof/>
        </w:rPr>
        <w:t>59</w:t>
      </w:r>
      <w:r>
        <w:rPr>
          <w:noProof/>
        </w:rPr>
        <w:fldChar w:fldCharType="end"/>
      </w:r>
    </w:p>
    <w:p w14:paraId="1CBBE1F2" w14:textId="5D63261A" w:rsidR="00C41883" w:rsidRDefault="00C41883">
      <w:pPr>
        <w:pStyle w:val="TOC4"/>
        <w:rPr>
          <w:rFonts w:asciiTheme="minorHAnsi" w:eastAsiaTheme="minorEastAsia" w:hAnsiTheme="minorHAnsi" w:cstheme="minorBidi"/>
          <w:b w:val="0"/>
          <w:noProof/>
          <w:kern w:val="0"/>
          <w:sz w:val="22"/>
          <w:szCs w:val="22"/>
        </w:rPr>
      </w:pPr>
      <w:r>
        <w:rPr>
          <w:noProof/>
        </w:rPr>
        <w:t>Making legislative instruments</w:t>
      </w:r>
      <w:r>
        <w:rPr>
          <w:noProof/>
        </w:rPr>
        <w:tab/>
      </w:r>
      <w:r>
        <w:rPr>
          <w:noProof/>
        </w:rPr>
        <w:fldChar w:fldCharType="begin"/>
      </w:r>
      <w:r>
        <w:rPr>
          <w:noProof/>
        </w:rPr>
        <w:instrText xml:space="preserve"> PAGEREF _Toc183694699 \h </w:instrText>
      </w:r>
      <w:r>
        <w:rPr>
          <w:noProof/>
        </w:rPr>
      </w:r>
      <w:r>
        <w:rPr>
          <w:noProof/>
        </w:rPr>
        <w:fldChar w:fldCharType="separate"/>
      </w:r>
      <w:r w:rsidR="00833171">
        <w:rPr>
          <w:noProof/>
        </w:rPr>
        <w:t>59</w:t>
      </w:r>
      <w:r>
        <w:rPr>
          <w:noProof/>
        </w:rPr>
        <w:fldChar w:fldCharType="end"/>
      </w:r>
    </w:p>
    <w:p w14:paraId="6ED7C732" w14:textId="4FB5556D" w:rsidR="00C41883" w:rsidRDefault="00C41883">
      <w:pPr>
        <w:pStyle w:val="TOC3"/>
        <w:rPr>
          <w:rFonts w:asciiTheme="minorHAnsi" w:eastAsiaTheme="minorEastAsia" w:hAnsiTheme="minorHAnsi" w:cstheme="minorBidi"/>
          <w:b w:val="0"/>
          <w:noProof/>
          <w:kern w:val="0"/>
          <w:szCs w:val="22"/>
        </w:rPr>
      </w:pPr>
      <w:r>
        <w:rPr>
          <w:noProof/>
        </w:rPr>
        <w:t>Requirement to consult before making</w:t>
      </w:r>
      <w:r>
        <w:rPr>
          <w:noProof/>
        </w:rPr>
        <w:tab/>
      </w:r>
      <w:r>
        <w:rPr>
          <w:noProof/>
        </w:rPr>
        <w:fldChar w:fldCharType="begin"/>
      </w:r>
      <w:r>
        <w:rPr>
          <w:noProof/>
        </w:rPr>
        <w:instrText xml:space="preserve"> PAGEREF _Toc183694700 \h </w:instrText>
      </w:r>
      <w:r>
        <w:rPr>
          <w:noProof/>
        </w:rPr>
      </w:r>
      <w:r>
        <w:rPr>
          <w:noProof/>
        </w:rPr>
        <w:fldChar w:fldCharType="separate"/>
      </w:r>
      <w:r w:rsidR="00833171">
        <w:rPr>
          <w:noProof/>
        </w:rPr>
        <w:t>60</w:t>
      </w:r>
      <w:r>
        <w:rPr>
          <w:noProof/>
        </w:rPr>
        <w:fldChar w:fldCharType="end"/>
      </w:r>
    </w:p>
    <w:p w14:paraId="6701B18A" w14:textId="2D64813C" w:rsidR="00C41883" w:rsidRDefault="00C41883">
      <w:pPr>
        <w:pStyle w:val="TOC4"/>
        <w:rPr>
          <w:rFonts w:asciiTheme="minorHAnsi" w:eastAsiaTheme="minorEastAsia" w:hAnsiTheme="minorHAnsi" w:cstheme="minorBidi"/>
          <w:b w:val="0"/>
          <w:noProof/>
          <w:kern w:val="0"/>
          <w:sz w:val="22"/>
          <w:szCs w:val="22"/>
        </w:rPr>
      </w:pPr>
      <w:r>
        <w:rPr>
          <w:noProof/>
        </w:rPr>
        <w:t>When consultation may be unnecessary or inappropriate</w:t>
      </w:r>
      <w:r>
        <w:rPr>
          <w:noProof/>
        </w:rPr>
        <w:tab/>
      </w:r>
      <w:r>
        <w:rPr>
          <w:noProof/>
        </w:rPr>
        <w:fldChar w:fldCharType="begin"/>
      </w:r>
      <w:r>
        <w:rPr>
          <w:noProof/>
        </w:rPr>
        <w:instrText xml:space="preserve"> PAGEREF _Toc183694701 \h </w:instrText>
      </w:r>
      <w:r>
        <w:rPr>
          <w:noProof/>
        </w:rPr>
      </w:r>
      <w:r>
        <w:rPr>
          <w:noProof/>
        </w:rPr>
        <w:fldChar w:fldCharType="separate"/>
      </w:r>
      <w:r w:rsidR="00833171">
        <w:rPr>
          <w:noProof/>
        </w:rPr>
        <w:t>61</w:t>
      </w:r>
      <w:r>
        <w:rPr>
          <w:noProof/>
        </w:rPr>
        <w:fldChar w:fldCharType="end"/>
      </w:r>
    </w:p>
    <w:p w14:paraId="4704D605" w14:textId="4527AE44" w:rsidR="00C41883" w:rsidRDefault="00C41883">
      <w:pPr>
        <w:pStyle w:val="TOC4"/>
        <w:rPr>
          <w:rFonts w:asciiTheme="minorHAnsi" w:eastAsiaTheme="minorEastAsia" w:hAnsiTheme="minorHAnsi" w:cstheme="minorBidi"/>
          <w:b w:val="0"/>
          <w:noProof/>
          <w:kern w:val="0"/>
          <w:sz w:val="22"/>
          <w:szCs w:val="22"/>
        </w:rPr>
      </w:pPr>
      <w:r>
        <w:rPr>
          <w:noProof/>
        </w:rPr>
        <w:t>Consequences of failure to consult</w:t>
      </w:r>
      <w:r>
        <w:rPr>
          <w:noProof/>
        </w:rPr>
        <w:tab/>
      </w:r>
      <w:r>
        <w:rPr>
          <w:noProof/>
        </w:rPr>
        <w:fldChar w:fldCharType="begin"/>
      </w:r>
      <w:r>
        <w:rPr>
          <w:noProof/>
        </w:rPr>
        <w:instrText xml:space="preserve"> PAGEREF _Toc183694702 \h </w:instrText>
      </w:r>
      <w:r>
        <w:rPr>
          <w:noProof/>
        </w:rPr>
      </w:r>
      <w:r>
        <w:rPr>
          <w:noProof/>
        </w:rPr>
        <w:fldChar w:fldCharType="separate"/>
      </w:r>
      <w:r w:rsidR="00833171">
        <w:rPr>
          <w:noProof/>
        </w:rPr>
        <w:t>61</w:t>
      </w:r>
      <w:r>
        <w:rPr>
          <w:noProof/>
        </w:rPr>
        <w:fldChar w:fldCharType="end"/>
      </w:r>
    </w:p>
    <w:p w14:paraId="1F936452" w14:textId="4A2388F1" w:rsidR="00C41883" w:rsidRDefault="00C41883">
      <w:pPr>
        <w:pStyle w:val="TOC3"/>
        <w:rPr>
          <w:rFonts w:asciiTheme="minorHAnsi" w:eastAsiaTheme="minorEastAsia" w:hAnsiTheme="minorHAnsi" w:cstheme="minorBidi"/>
          <w:b w:val="0"/>
          <w:noProof/>
          <w:kern w:val="0"/>
          <w:szCs w:val="22"/>
        </w:rPr>
      </w:pPr>
      <w:r>
        <w:rPr>
          <w:noProof/>
        </w:rPr>
        <w:t>Requirement to assess policy impacts before making</w:t>
      </w:r>
      <w:r>
        <w:rPr>
          <w:noProof/>
        </w:rPr>
        <w:tab/>
      </w:r>
      <w:r>
        <w:rPr>
          <w:noProof/>
        </w:rPr>
        <w:fldChar w:fldCharType="begin"/>
      </w:r>
      <w:r>
        <w:rPr>
          <w:noProof/>
        </w:rPr>
        <w:instrText xml:space="preserve"> PAGEREF _Toc183694703 \h </w:instrText>
      </w:r>
      <w:r>
        <w:rPr>
          <w:noProof/>
        </w:rPr>
      </w:r>
      <w:r>
        <w:rPr>
          <w:noProof/>
        </w:rPr>
        <w:fldChar w:fldCharType="separate"/>
      </w:r>
      <w:r w:rsidR="00833171">
        <w:rPr>
          <w:noProof/>
        </w:rPr>
        <w:t>61</w:t>
      </w:r>
      <w:r>
        <w:rPr>
          <w:noProof/>
        </w:rPr>
        <w:fldChar w:fldCharType="end"/>
      </w:r>
    </w:p>
    <w:p w14:paraId="747C63D8" w14:textId="2833E424" w:rsidR="00C41883" w:rsidRDefault="00C41883">
      <w:pPr>
        <w:pStyle w:val="TOC3"/>
        <w:rPr>
          <w:rFonts w:asciiTheme="minorHAnsi" w:eastAsiaTheme="minorEastAsia" w:hAnsiTheme="minorHAnsi" w:cstheme="minorBidi"/>
          <w:b w:val="0"/>
          <w:noProof/>
          <w:kern w:val="0"/>
          <w:szCs w:val="22"/>
        </w:rPr>
      </w:pPr>
      <w:r>
        <w:rPr>
          <w:noProof/>
        </w:rPr>
        <w:t>Other requirements to consider before making</w:t>
      </w:r>
      <w:r>
        <w:rPr>
          <w:noProof/>
        </w:rPr>
        <w:tab/>
      </w:r>
      <w:r>
        <w:rPr>
          <w:noProof/>
        </w:rPr>
        <w:fldChar w:fldCharType="begin"/>
      </w:r>
      <w:r>
        <w:rPr>
          <w:noProof/>
        </w:rPr>
        <w:instrText xml:space="preserve"> PAGEREF _Toc183694704 \h </w:instrText>
      </w:r>
      <w:r>
        <w:rPr>
          <w:noProof/>
        </w:rPr>
      </w:r>
      <w:r>
        <w:rPr>
          <w:noProof/>
        </w:rPr>
        <w:fldChar w:fldCharType="separate"/>
      </w:r>
      <w:r w:rsidR="00833171">
        <w:rPr>
          <w:noProof/>
        </w:rPr>
        <w:t>62</w:t>
      </w:r>
      <w:r>
        <w:rPr>
          <w:noProof/>
        </w:rPr>
        <w:fldChar w:fldCharType="end"/>
      </w:r>
    </w:p>
    <w:p w14:paraId="630F4F4D" w14:textId="216FDA8C" w:rsidR="00C41883" w:rsidRDefault="00C41883">
      <w:pPr>
        <w:pStyle w:val="TOC2"/>
        <w:rPr>
          <w:rFonts w:asciiTheme="minorHAnsi" w:eastAsiaTheme="minorEastAsia" w:hAnsiTheme="minorHAnsi" w:cstheme="minorBidi"/>
          <w:b w:val="0"/>
          <w:noProof/>
          <w:kern w:val="0"/>
          <w:sz w:val="22"/>
          <w:szCs w:val="22"/>
        </w:rPr>
      </w:pPr>
      <w:r>
        <w:rPr>
          <w:noProof/>
        </w:rPr>
        <w:t>Chapter 8—Explanatory statements</w:t>
      </w:r>
      <w:r>
        <w:rPr>
          <w:noProof/>
        </w:rPr>
        <w:tab/>
      </w:r>
      <w:r>
        <w:rPr>
          <w:noProof/>
        </w:rPr>
        <w:fldChar w:fldCharType="begin"/>
      </w:r>
      <w:r>
        <w:rPr>
          <w:noProof/>
        </w:rPr>
        <w:instrText xml:space="preserve"> PAGEREF _Toc183694705 \h </w:instrText>
      </w:r>
      <w:r>
        <w:rPr>
          <w:noProof/>
        </w:rPr>
      </w:r>
      <w:r>
        <w:rPr>
          <w:noProof/>
        </w:rPr>
        <w:fldChar w:fldCharType="separate"/>
      </w:r>
      <w:r w:rsidR="00833171">
        <w:rPr>
          <w:noProof/>
        </w:rPr>
        <w:t>63</w:t>
      </w:r>
      <w:r>
        <w:rPr>
          <w:noProof/>
        </w:rPr>
        <w:fldChar w:fldCharType="end"/>
      </w:r>
    </w:p>
    <w:p w14:paraId="5D62244C" w14:textId="7230066D" w:rsidR="00C41883" w:rsidRDefault="00C41883">
      <w:pPr>
        <w:pStyle w:val="TOC3"/>
        <w:rPr>
          <w:rFonts w:asciiTheme="minorHAnsi" w:eastAsiaTheme="minorEastAsia" w:hAnsiTheme="minorHAnsi" w:cstheme="minorBidi"/>
          <w:b w:val="0"/>
          <w:noProof/>
          <w:kern w:val="0"/>
          <w:szCs w:val="22"/>
        </w:rPr>
      </w:pPr>
      <w:r>
        <w:rPr>
          <w:noProof/>
        </w:rPr>
        <w:t>General</w:t>
      </w:r>
      <w:r>
        <w:rPr>
          <w:noProof/>
        </w:rPr>
        <w:tab/>
      </w:r>
      <w:r w:rsidR="00A94B31">
        <w:rPr>
          <w:noProof/>
        </w:rPr>
        <w:tab/>
      </w:r>
      <w:r>
        <w:rPr>
          <w:noProof/>
        </w:rPr>
        <w:fldChar w:fldCharType="begin"/>
      </w:r>
      <w:r>
        <w:rPr>
          <w:noProof/>
        </w:rPr>
        <w:instrText xml:space="preserve"> PAGEREF _Toc183694706 \h </w:instrText>
      </w:r>
      <w:r>
        <w:rPr>
          <w:noProof/>
        </w:rPr>
      </w:r>
      <w:r>
        <w:rPr>
          <w:noProof/>
        </w:rPr>
        <w:fldChar w:fldCharType="separate"/>
      </w:r>
      <w:r w:rsidR="00833171">
        <w:rPr>
          <w:noProof/>
        </w:rPr>
        <w:t>63</w:t>
      </w:r>
      <w:r>
        <w:rPr>
          <w:noProof/>
        </w:rPr>
        <w:fldChar w:fldCharType="end"/>
      </w:r>
    </w:p>
    <w:p w14:paraId="191763F5" w14:textId="6554E410" w:rsidR="00C41883" w:rsidRDefault="00C41883">
      <w:pPr>
        <w:pStyle w:val="TOC3"/>
        <w:rPr>
          <w:rFonts w:asciiTheme="minorHAnsi" w:eastAsiaTheme="minorEastAsia" w:hAnsiTheme="minorHAnsi" w:cstheme="minorBidi"/>
          <w:b w:val="0"/>
          <w:noProof/>
          <w:kern w:val="0"/>
          <w:szCs w:val="22"/>
        </w:rPr>
      </w:pPr>
      <w:r>
        <w:rPr>
          <w:noProof/>
        </w:rPr>
        <w:t>Responsibility for approving explanatory statements</w:t>
      </w:r>
      <w:r>
        <w:rPr>
          <w:noProof/>
        </w:rPr>
        <w:tab/>
      </w:r>
      <w:r>
        <w:rPr>
          <w:noProof/>
        </w:rPr>
        <w:fldChar w:fldCharType="begin"/>
      </w:r>
      <w:r>
        <w:rPr>
          <w:noProof/>
        </w:rPr>
        <w:instrText xml:space="preserve"> PAGEREF _Toc183694707 \h </w:instrText>
      </w:r>
      <w:r>
        <w:rPr>
          <w:noProof/>
        </w:rPr>
      </w:r>
      <w:r>
        <w:rPr>
          <w:noProof/>
        </w:rPr>
        <w:fldChar w:fldCharType="separate"/>
      </w:r>
      <w:r w:rsidR="00833171">
        <w:rPr>
          <w:noProof/>
        </w:rPr>
        <w:t>63</w:t>
      </w:r>
      <w:r>
        <w:rPr>
          <w:noProof/>
        </w:rPr>
        <w:fldChar w:fldCharType="end"/>
      </w:r>
    </w:p>
    <w:p w14:paraId="31627A82" w14:textId="0E157C0A" w:rsidR="00C41883" w:rsidRDefault="00C41883">
      <w:pPr>
        <w:pStyle w:val="TOC3"/>
        <w:rPr>
          <w:rFonts w:asciiTheme="minorHAnsi" w:eastAsiaTheme="minorEastAsia" w:hAnsiTheme="minorHAnsi" w:cstheme="minorBidi"/>
          <w:b w:val="0"/>
          <w:noProof/>
          <w:kern w:val="0"/>
          <w:szCs w:val="22"/>
        </w:rPr>
      </w:pPr>
      <w:r>
        <w:rPr>
          <w:noProof/>
        </w:rPr>
        <w:t>Content of explanatory statements</w:t>
      </w:r>
      <w:r>
        <w:rPr>
          <w:noProof/>
        </w:rPr>
        <w:tab/>
      </w:r>
      <w:r>
        <w:rPr>
          <w:noProof/>
        </w:rPr>
        <w:fldChar w:fldCharType="begin"/>
      </w:r>
      <w:r>
        <w:rPr>
          <w:noProof/>
        </w:rPr>
        <w:instrText xml:space="preserve"> PAGEREF _Toc183694708 \h </w:instrText>
      </w:r>
      <w:r>
        <w:rPr>
          <w:noProof/>
        </w:rPr>
      </w:r>
      <w:r>
        <w:rPr>
          <w:noProof/>
        </w:rPr>
        <w:fldChar w:fldCharType="separate"/>
      </w:r>
      <w:r w:rsidR="00833171">
        <w:rPr>
          <w:noProof/>
        </w:rPr>
        <w:t>64</w:t>
      </w:r>
      <w:r>
        <w:rPr>
          <w:noProof/>
        </w:rPr>
        <w:fldChar w:fldCharType="end"/>
      </w:r>
    </w:p>
    <w:p w14:paraId="2A02922A" w14:textId="78449D37" w:rsidR="00C41883" w:rsidRDefault="00C41883">
      <w:pPr>
        <w:pStyle w:val="TOC4"/>
        <w:rPr>
          <w:rFonts w:asciiTheme="minorHAnsi" w:eastAsiaTheme="minorEastAsia" w:hAnsiTheme="minorHAnsi" w:cstheme="minorBidi"/>
          <w:b w:val="0"/>
          <w:noProof/>
          <w:kern w:val="0"/>
          <w:sz w:val="22"/>
          <w:szCs w:val="22"/>
        </w:rPr>
      </w:pPr>
      <w:r>
        <w:rPr>
          <w:noProof/>
        </w:rPr>
        <w:t>Purpose and operation of instrument</w:t>
      </w:r>
      <w:r>
        <w:rPr>
          <w:noProof/>
        </w:rPr>
        <w:tab/>
      </w:r>
      <w:r>
        <w:rPr>
          <w:noProof/>
        </w:rPr>
        <w:fldChar w:fldCharType="begin"/>
      </w:r>
      <w:r>
        <w:rPr>
          <w:noProof/>
        </w:rPr>
        <w:instrText xml:space="preserve"> PAGEREF _Toc183694709 \h </w:instrText>
      </w:r>
      <w:r>
        <w:rPr>
          <w:noProof/>
        </w:rPr>
      </w:r>
      <w:r>
        <w:rPr>
          <w:noProof/>
        </w:rPr>
        <w:fldChar w:fldCharType="separate"/>
      </w:r>
      <w:r w:rsidR="00833171">
        <w:rPr>
          <w:noProof/>
        </w:rPr>
        <w:t>65</w:t>
      </w:r>
      <w:r>
        <w:rPr>
          <w:noProof/>
        </w:rPr>
        <w:fldChar w:fldCharType="end"/>
      </w:r>
    </w:p>
    <w:p w14:paraId="3FAE0CEE" w14:textId="4F522411" w:rsidR="00C41883" w:rsidRDefault="00C41883">
      <w:pPr>
        <w:pStyle w:val="TOC4"/>
        <w:rPr>
          <w:rFonts w:asciiTheme="minorHAnsi" w:eastAsiaTheme="minorEastAsia" w:hAnsiTheme="minorHAnsi" w:cstheme="minorBidi"/>
          <w:b w:val="0"/>
          <w:noProof/>
          <w:kern w:val="0"/>
          <w:sz w:val="22"/>
          <w:szCs w:val="22"/>
        </w:rPr>
      </w:pPr>
      <w:r>
        <w:rPr>
          <w:noProof/>
        </w:rPr>
        <w:t>Documents incorporated by reference</w:t>
      </w:r>
      <w:r>
        <w:rPr>
          <w:noProof/>
        </w:rPr>
        <w:tab/>
      </w:r>
      <w:r>
        <w:rPr>
          <w:noProof/>
        </w:rPr>
        <w:fldChar w:fldCharType="begin"/>
      </w:r>
      <w:r>
        <w:rPr>
          <w:noProof/>
        </w:rPr>
        <w:instrText xml:space="preserve"> PAGEREF _Toc183694710 \h </w:instrText>
      </w:r>
      <w:r>
        <w:rPr>
          <w:noProof/>
        </w:rPr>
      </w:r>
      <w:r>
        <w:rPr>
          <w:noProof/>
        </w:rPr>
        <w:fldChar w:fldCharType="separate"/>
      </w:r>
      <w:r w:rsidR="00833171">
        <w:rPr>
          <w:noProof/>
        </w:rPr>
        <w:t>65</w:t>
      </w:r>
      <w:r>
        <w:rPr>
          <w:noProof/>
        </w:rPr>
        <w:fldChar w:fldCharType="end"/>
      </w:r>
    </w:p>
    <w:p w14:paraId="1332DEBB" w14:textId="03D29AFD" w:rsidR="00C41883" w:rsidRDefault="00C41883">
      <w:pPr>
        <w:pStyle w:val="TOC4"/>
        <w:rPr>
          <w:rFonts w:asciiTheme="minorHAnsi" w:eastAsiaTheme="minorEastAsia" w:hAnsiTheme="minorHAnsi" w:cstheme="minorBidi"/>
          <w:b w:val="0"/>
          <w:noProof/>
          <w:kern w:val="0"/>
          <w:sz w:val="22"/>
          <w:szCs w:val="22"/>
        </w:rPr>
      </w:pPr>
      <w:r>
        <w:rPr>
          <w:noProof/>
        </w:rPr>
        <w:t>Consultation</w:t>
      </w:r>
      <w:r w:rsidR="00A94B31">
        <w:rPr>
          <w:noProof/>
        </w:rPr>
        <w:tab/>
      </w:r>
      <w:r>
        <w:rPr>
          <w:noProof/>
        </w:rPr>
        <w:tab/>
      </w:r>
      <w:r>
        <w:rPr>
          <w:noProof/>
        </w:rPr>
        <w:fldChar w:fldCharType="begin"/>
      </w:r>
      <w:r>
        <w:rPr>
          <w:noProof/>
        </w:rPr>
        <w:instrText xml:space="preserve"> PAGEREF _Toc183694711 \h </w:instrText>
      </w:r>
      <w:r>
        <w:rPr>
          <w:noProof/>
        </w:rPr>
      </w:r>
      <w:r>
        <w:rPr>
          <w:noProof/>
        </w:rPr>
        <w:fldChar w:fldCharType="separate"/>
      </w:r>
      <w:r w:rsidR="00833171">
        <w:rPr>
          <w:noProof/>
        </w:rPr>
        <w:t>66</w:t>
      </w:r>
      <w:r>
        <w:rPr>
          <w:noProof/>
        </w:rPr>
        <w:fldChar w:fldCharType="end"/>
      </w:r>
    </w:p>
    <w:p w14:paraId="21975E5D" w14:textId="5FB77335" w:rsidR="00C41883" w:rsidRDefault="00C41883">
      <w:pPr>
        <w:pStyle w:val="TOC4"/>
        <w:rPr>
          <w:rFonts w:asciiTheme="minorHAnsi" w:eastAsiaTheme="minorEastAsia" w:hAnsiTheme="minorHAnsi" w:cstheme="minorBidi"/>
          <w:b w:val="0"/>
          <w:noProof/>
          <w:kern w:val="0"/>
          <w:sz w:val="22"/>
          <w:szCs w:val="22"/>
        </w:rPr>
      </w:pPr>
      <w:r>
        <w:rPr>
          <w:noProof/>
        </w:rPr>
        <w:t>Human rights compatibility</w:t>
      </w:r>
      <w:r>
        <w:rPr>
          <w:noProof/>
        </w:rPr>
        <w:tab/>
      </w:r>
      <w:r>
        <w:rPr>
          <w:noProof/>
        </w:rPr>
        <w:fldChar w:fldCharType="begin"/>
      </w:r>
      <w:r>
        <w:rPr>
          <w:noProof/>
        </w:rPr>
        <w:instrText xml:space="preserve"> PAGEREF _Toc183694712 \h </w:instrText>
      </w:r>
      <w:r>
        <w:rPr>
          <w:noProof/>
        </w:rPr>
      </w:r>
      <w:r>
        <w:rPr>
          <w:noProof/>
        </w:rPr>
        <w:fldChar w:fldCharType="separate"/>
      </w:r>
      <w:r w:rsidR="00833171">
        <w:rPr>
          <w:noProof/>
        </w:rPr>
        <w:t>66</w:t>
      </w:r>
      <w:r>
        <w:rPr>
          <w:noProof/>
        </w:rPr>
        <w:fldChar w:fldCharType="end"/>
      </w:r>
    </w:p>
    <w:p w14:paraId="470BD2A0" w14:textId="6DFADA01" w:rsidR="00C41883" w:rsidRDefault="00C41883">
      <w:pPr>
        <w:pStyle w:val="TOC3"/>
        <w:rPr>
          <w:rFonts w:asciiTheme="minorHAnsi" w:eastAsiaTheme="minorEastAsia" w:hAnsiTheme="minorHAnsi" w:cstheme="minorBidi"/>
          <w:b w:val="0"/>
          <w:noProof/>
          <w:kern w:val="0"/>
          <w:szCs w:val="22"/>
        </w:rPr>
      </w:pPr>
      <w:r>
        <w:rPr>
          <w:noProof/>
        </w:rPr>
        <w:t>Other content considerations</w:t>
      </w:r>
      <w:r>
        <w:rPr>
          <w:noProof/>
        </w:rPr>
        <w:tab/>
      </w:r>
      <w:r>
        <w:rPr>
          <w:noProof/>
        </w:rPr>
        <w:fldChar w:fldCharType="begin"/>
      </w:r>
      <w:r>
        <w:rPr>
          <w:noProof/>
        </w:rPr>
        <w:instrText xml:space="preserve"> PAGEREF _Toc183694713 \h </w:instrText>
      </w:r>
      <w:r>
        <w:rPr>
          <w:noProof/>
        </w:rPr>
      </w:r>
      <w:r>
        <w:rPr>
          <w:noProof/>
        </w:rPr>
        <w:fldChar w:fldCharType="separate"/>
      </w:r>
      <w:r w:rsidR="00833171">
        <w:rPr>
          <w:noProof/>
        </w:rPr>
        <w:t>66</w:t>
      </w:r>
      <w:r>
        <w:rPr>
          <w:noProof/>
        </w:rPr>
        <w:fldChar w:fldCharType="end"/>
      </w:r>
    </w:p>
    <w:p w14:paraId="2B9C30D9" w14:textId="15E1BF83" w:rsidR="00C41883" w:rsidRDefault="00C41883">
      <w:pPr>
        <w:pStyle w:val="TOC4"/>
        <w:rPr>
          <w:rFonts w:asciiTheme="minorHAnsi" w:eastAsiaTheme="minorEastAsia" w:hAnsiTheme="minorHAnsi" w:cstheme="minorBidi"/>
          <w:b w:val="0"/>
          <w:noProof/>
          <w:kern w:val="0"/>
          <w:sz w:val="22"/>
          <w:szCs w:val="22"/>
        </w:rPr>
      </w:pPr>
      <w:r>
        <w:rPr>
          <w:noProof/>
        </w:rPr>
        <w:t>Impact Analysis requirements</w:t>
      </w:r>
      <w:r>
        <w:rPr>
          <w:noProof/>
        </w:rPr>
        <w:tab/>
      </w:r>
      <w:r>
        <w:rPr>
          <w:noProof/>
        </w:rPr>
        <w:fldChar w:fldCharType="begin"/>
      </w:r>
      <w:r>
        <w:rPr>
          <w:noProof/>
        </w:rPr>
        <w:instrText xml:space="preserve"> PAGEREF _Toc183694714 \h </w:instrText>
      </w:r>
      <w:r>
        <w:rPr>
          <w:noProof/>
        </w:rPr>
      </w:r>
      <w:r>
        <w:rPr>
          <w:noProof/>
        </w:rPr>
        <w:fldChar w:fldCharType="separate"/>
      </w:r>
      <w:r w:rsidR="00833171">
        <w:rPr>
          <w:noProof/>
        </w:rPr>
        <w:t>66</w:t>
      </w:r>
      <w:r>
        <w:rPr>
          <w:noProof/>
        </w:rPr>
        <w:fldChar w:fldCharType="end"/>
      </w:r>
    </w:p>
    <w:p w14:paraId="220ABDD0" w14:textId="1C2F9008" w:rsidR="00C41883" w:rsidRDefault="00C41883">
      <w:pPr>
        <w:pStyle w:val="TOC4"/>
        <w:rPr>
          <w:rFonts w:asciiTheme="minorHAnsi" w:eastAsiaTheme="minorEastAsia" w:hAnsiTheme="minorHAnsi" w:cstheme="minorBidi"/>
          <w:b w:val="0"/>
          <w:noProof/>
          <w:kern w:val="0"/>
          <w:sz w:val="22"/>
          <w:szCs w:val="22"/>
        </w:rPr>
      </w:pPr>
      <w:r>
        <w:rPr>
          <w:noProof/>
        </w:rPr>
        <w:t>Senate Standing Committee for the Scrutiny of Delegated Legislation (SDLC) requirements</w:t>
      </w:r>
      <w:r>
        <w:rPr>
          <w:noProof/>
        </w:rPr>
        <w:tab/>
      </w:r>
      <w:r>
        <w:rPr>
          <w:noProof/>
        </w:rPr>
        <w:fldChar w:fldCharType="begin"/>
      </w:r>
      <w:r>
        <w:rPr>
          <w:noProof/>
        </w:rPr>
        <w:instrText xml:space="preserve"> PAGEREF _Toc183694715 \h </w:instrText>
      </w:r>
      <w:r>
        <w:rPr>
          <w:noProof/>
        </w:rPr>
      </w:r>
      <w:r>
        <w:rPr>
          <w:noProof/>
        </w:rPr>
        <w:fldChar w:fldCharType="separate"/>
      </w:r>
      <w:r w:rsidR="00833171">
        <w:rPr>
          <w:noProof/>
        </w:rPr>
        <w:t>66</w:t>
      </w:r>
      <w:r>
        <w:rPr>
          <w:noProof/>
        </w:rPr>
        <w:fldChar w:fldCharType="end"/>
      </w:r>
    </w:p>
    <w:p w14:paraId="1120AB42" w14:textId="2ED7350F" w:rsidR="00C41883" w:rsidRDefault="00C41883">
      <w:pPr>
        <w:pStyle w:val="TOC4"/>
        <w:rPr>
          <w:rFonts w:asciiTheme="minorHAnsi" w:eastAsiaTheme="minorEastAsia" w:hAnsiTheme="minorHAnsi" w:cstheme="minorBidi"/>
          <w:b w:val="0"/>
          <w:noProof/>
          <w:kern w:val="0"/>
          <w:sz w:val="22"/>
          <w:szCs w:val="22"/>
        </w:rPr>
      </w:pPr>
      <w:r>
        <w:rPr>
          <w:noProof/>
        </w:rPr>
        <w:t>Parliamentary Joint Committee on Human Rights requirements</w:t>
      </w:r>
      <w:r>
        <w:rPr>
          <w:noProof/>
        </w:rPr>
        <w:tab/>
      </w:r>
      <w:r>
        <w:rPr>
          <w:noProof/>
        </w:rPr>
        <w:fldChar w:fldCharType="begin"/>
      </w:r>
      <w:r>
        <w:rPr>
          <w:noProof/>
        </w:rPr>
        <w:instrText xml:space="preserve"> PAGEREF _Toc183694716 \h </w:instrText>
      </w:r>
      <w:r>
        <w:rPr>
          <w:noProof/>
        </w:rPr>
      </w:r>
      <w:r>
        <w:rPr>
          <w:noProof/>
        </w:rPr>
        <w:fldChar w:fldCharType="separate"/>
      </w:r>
      <w:r w:rsidR="00833171">
        <w:rPr>
          <w:noProof/>
        </w:rPr>
        <w:t>69</w:t>
      </w:r>
      <w:r>
        <w:rPr>
          <w:noProof/>
        </w:rPr>
        <w:fldChar w:fldCharType="end"/>
      </w:r>
    </w:p>
    <w:p w14:paraId="2D56BC86" w14:textId="5E869B88" w:rsidR="00C41883" w:rsidRDefault="00C41883">
      <w:pPr>
        <w:pStyle w:val="TOC4"/>
        <w:rPr>
          <w:rFonts w:asciiTheme="minorHAnsi" w:eastAsiaTheme="minorEastAsia" w:hAnsiTheme="minorHAnsi" w:cstheme="minorBidi"/>
          <w:b w:val="0"/>
          <w:noProof/>
          <w:kern w:val="0"/>
          <w:sz w:val="22"/>
          <w:szCs w:val="22"/>
        </w:rPr>
      </w:pPr>
      <w:r>
        <w:rPr>
          <w:noProof/>
        </w:rPr>
        <w:t>Previous ministerial or parliamentary undertakings</w:t>
      </w:r>
      <w:r>
        <w:rPr>
          <w:noProof/>
        </w:rPr>
        <w:tab/>
      </w:r>
      <w:r>
        <w:rPr>
          <w:noProof/>
        </w:rPr>
        <w:fldChar w:fldCharType="begin"/>
      </w:r>
      <w:r>
        <w:rPr>
          <w:noProof/>
        </w:rPr>
        <w:instrText xml:space="preserve"> PAGEREF _Toc183694717 \h </w:instrText>
      </w:r>
      <w:r>
        <w:rPr>
          <w:noProof/>
        </w:rPr>
      </w:r>
      <w:r>
        <w:rPr>
          <w:noProof/>
        </w:rPr>
        <w:fldChar w:fldCharType="separate"/>
      </w:r>
      <w:r w:rsidR="00833171">
        <w:rPr>
          <w:noProof/>
        </w:rPr>
        <w:t>70</w:t>
      </w:r>
      <w:r>
        <w:rPr>
          <w:noProof/>
        </w:rPr>
        <w:fldChar w:fldCharType="end"/>
      </w:r>
    </w:p>
    <w:p w14:paraId="738B2756" w14:textId="2439EB58" w:rsidR="00C41883" w:rsidRDefault="00C41883">
      <w:pPr>
        <w:pStyle w:val="TOC4"/>
        <w:rPr>
          <w:rFonts w:asciiTheme="minorHAnsi" w:eastAsiaTheme="minorEastAsia" w:hAnsiTheme="minorHAnsi" w:cstheme="minorBidi"/>
          <w:b w:val="0"/>
          <w:noProof/>
          <w:kern w:val="0"/>
          <w:sz w:val="22"/>
          <w:szCs w:val="22"/>
        </w:rPr>
      </w:pPr>
      <w:r>
        <w:rPr>
          <w:noProof/>
        </w:rPr>
        <w:t>If an instrument or provision is very similar in substance to one made recently</w:t>
      </w:r>
      <w:r>
        <w:rPr>
          <w:noProof/>
        </w:rPr>
        <w:tab/>
      </w:r>
      <w:r>
        <w:rPr>
          <w:noProof/>
        </w:rPr>
        <w:fldChar w:fldCharType="begin"/>
      </w:r>
      <w:r>
        <w:rPr>
          <w:noProof/>
        </w:rPr>
        <w:instrText xml:space="preserve"> PAGEREF _Toc183694718 \h </w:instrText>
      </w:r>
      <w:r>
        <w:rPr>
          <w:noProof/>
        </w:rPr>
      </w:r>
      <w:r>
        <w:rPr>
          <w:noProof/>
        </w:rPr>
        <w:fldChar w:fldCharType="separate"/>
      </w:r>
      <w:r w:rsidR="00833171">
        <w:rPr>
          <w:noProof/>
        </w:rPr>
        <w:t>70</w:t>
      </w:r>
      <w:r>
        <w:rPr>
          <w:noProof/>
        </w:rPr>
        <w:fldChar w:fldCharType="end"/>
      </w:r>
    </w:p>
    <w:p w14:paraId="3C70F319" w14:textId="546F1E3D" w:rsidR="00C41883" w:rsidRDefault="00C41883">
      <w:pPr>
        <w:pStyle w:val="TOC3"/>
        <w:rPr>
          <w:rFonts w:asciiTheme="minorHAnsi" w:eastAsiaTheme="minorEastAsia" w:hAnsiTheme="minorHAnsi" w:cstheme="minorBidi"/>
          <w:b w:val="0"/>
          <w:noProof/>
          <w:kern w:val="0"/>
          <w:szCs w:val="22"/>
        </w:rPr>
      </w:pPr>
      <w:r>
        <w:rPr>
          <w:noProof/>
        </w:rPr>
        <w:t>Consequences of failure to provide explanatory statements on time</w:t>
      </w:r>
      <w:r>
        <w:rPr>
          <w:noProof/>
        </w:rPr>
        <w:tab/>
      </w:r>
      <w:r>
        <w:rPr>
          <w:noProof/>
        </w:rPr>
        <w:fldChar w:fldCharType="begin"/>
      </w:r>
      <w:r>
        <w:rPr>
          <w:noProof/>
        </w:rPr>
        <w:instrText xml:space="preserve"> PAGEREF _Toc183694719 \h </w:instrText>
      </w:r>
      <w:r>
        <w:rPr>
          <w:noProof/>
        </w:rPr>
      </w:r>
      <w:r>
        <w:rPr>
          <w:noProof/>
        </w:rPr>
        <w:fldChar w:fldCharType="separate"/>
      </w:r>
      <w:r w:rsidR="00833171">
        <w:rPr>
          <w:noProof/>
        </w:rPr>
        <w:t>70</w:t>
      </w:r>
      <w:r>
        <w:rPr>
          <w:noProof/>
        </w:rPr>
        <w:fldChar w:fldCharType="end"/>
      </w:r>
    </w:p>
    <w:p w14:paraId="542ACC70" w14:textId="6FBA7C49" w:rsidR="00C41883" w:rsidRDefault="00C41883">
      <w:pPr>
        <w:pStyle w:val="TOC3"/>
        <w:rPr>
          <w:rFonts w:asciiTheme="minorHAnsi" w:eastAsiaTheme="minorEastAsia" w:hAnsiTheme="minorHAnsi" w:cstheme="minorBidi"/>
          <w:b w:val="0"/>
          <w:noProof/>
          <w:kern w:val="0"/>
          <w:szCs w:val="22"/>
        </w:rPr>
      </w:pPr>
      <w:r>
        <w:rPr>
          <w:noProof/>
        </w:rPr>
        <w:t>If there is a significant error or omission in an explanatory statement</w:t>
      </w:r>
      <w:r>
        <w:rPr>
          <w:noProof/>
        </w:rPr>
        <w:tab/>
      </w:r>
      <w:r>
        <w:rPr>
          <w:noProof/>
        </w:rPr>
        <w:fldChar w:fldCharType="begin"/>
      </w:r>
      <w:r>
        <w:rPr>
          <w:noProof/>
        </w:rPr>
        <w:instrText xml:space="preserve"> PAGEREF _Toc183694720 \h </w:instrText>
      </w:r>
      <w:r>
        <w:rPr>
          <w:noProof/>
        </w:rPr>
      </w:r>
      <w:r>
        <w:rPr>
          <w:noProof/>
        </w:rPr>
        <w:fldChar w:fldCharType="separate"/>
      </w:r>
      <w:r w:rsidR="00833171">
        <w:rPr>
          <w:noProof/>
        </w:rPr>
        <w:t>70</w:t>
      </w:r>
      <w:r>
        <w:rPr>
          <w:noProof/>
        </w:rPr>
        <w:fldChar w:fldCharType="end"/>
      </w:r>
    </w:p>
    <w:p w14:paraId="08F1D409" w14:textId="6938F08F" w:rsidR="00C41883" w:rsidRDefault="00C41883">
      <w:pPr>
        <w:pStyle w:val="TOC3"/>
        <w:rPr>
          <w:rFonts w:asciiTheme="minorHAnsi" w:eastAsiaTheme="minorEastAsia" w:hAnsiTheme="minorHAnsi" w:cstheme="minorBidi"/>
          <w:b w:val="0"/>
          <w:noProof/>
          <w:kern w:val="0"/>
          <w:szCs w:val="22"/>
        </w:rPr>
      </w:pPr>
      <w:r>
        <w:rPr>
          <w:noProof/>
        </w:rPr>
        <w:t>Supporting material</w:t>
      </w:r>
      <w:r>
        <w:rPr>
          <w:noProof/>
        </w:rPr>
        <w:tab/>
      </w:r>
      <w:r>
        <w:rPr>
          <w:noProof/>
        </w:rPr>
        <w:fldChar w:fldCharType="begin"/>
      </w:r>
      <w:r>
        <w:rPr>
          <w:noProof/>
        </w:rPr>
        <w:instrText xml:space="preserve"> PAGEREF _Toc183694721 \h </w:instrText>
      </w:r>
      <w:r>
        <w:rPr>
          <w:noProof/>
        </w:rPr>
      </w:r>
      <w:r>
        <w:rPr>
          <w:noProof/>
        </w:rPr>
        <w:fldChar w:fldCharType="separate"/>
      </w:r>
      <w:r w:rsidR="00833171">
        <w:rPr>
          <w:noProof/>
        </w:rPr>
        <w:t>71</w:t>
      </w:r>
      <w:r>
        <w:rPr>
          <w:noProof/>
        </w:rPr>
        <w:fldChar w:fldCharType="end"/>
      </w:r>
    </w:p>
    <w:p w14:paraId="40600D99" w14:textId="469414F5" w:rsidR="00C41883" w:rsidRDefault="00C41883">
      <w:pPr>
        <w:pStyle w:val="TOC2"/>
        <w:rPr>
          <w:rFonts w:asciiTheme="minorHAnsi" w:eastAsiaTheme="minorEastAsia" w:hAnsiTheme="minorHAnsi" w:cstheme="minorBidi"/>
          <w:b w:val="0"/>
          <w:noProof/>
          <w:kern w:val="0"/>
          <w:sz w:val="22"/>
          <w:szCs w:val="22"/>
        </w:rPr>
      </w:pPr>
      <w:r>
        <w:rPr>
          <w:noProof/>
        </w:rPr>
        <w:t>Chapter 9—Parliamentary scrutiny (disallowance) processes</w:t>
      </w:r>
      <w:r>
        <w:rPr>
          <w:noProof/>
        </w:rPr>
        <w:tab/>
      </w:r>
      <w:r>
        <w:rPr>
          <w:noProof/>
        </w:rPr>
        <w:fldChar w:fldCharType="begin"/>
      </w:r>
      <w:r>
        <w:rPr>
          <w:noProof/>
        </w:rPr>
        <w:instrText xml:space="preserve"> PAGEREF _Toc183694722 \h </w:instrText>
      </w:r>
      <w:r>
        <w:rPr>
          <w:noProof/>
        </w:rPr>
      </w:r>
      <w:r>
        <w:rPr>
          <w:noProof/>
        </w:rPr>
        <w:fldChar w:fldCharType="separate"/>
      </w:r>
      <w:r w:rsidR="00833171">
        <w:rPr>
          <w:noProof/>
        </w:rPr>
        <w:t>72</w:t>
      </w:r>
      <w:r>
        <w:rPr>
          <w:noProof/>
        </w:rPr>
        <w:fldChar w:fldCharType="end"/>
      </w:r>
    </w:p>
    <w:p w14:paraId="3FF6867E" w14:textId="7F8AE02A" w:rsidR="00C41883" w:rsidRDefault="00C41883">
      <w:pPr>
        <w:pStyle w:val="TOC3"/>
        <w:rPr>
          <w:rFonts w:asciiTheme="minorHAnsi" w:eastAsiaTheme="minorEastAsia" w:hAnsiTheme="minorHAnsi" w:cstheme="minorBidi"/>
          <w:b w:val="0"/>
          <w:noProof/>
          <w:kern w:val="0"/>
          <w:szCs w:val="22"/>
        </w:rPr>
      </w:pPr>
      <w:r>
        <w:rPr>
          <w:noProof/>
        </w:rPr>
        <w:t>Background</w:t>
      </w:r>
      <w:r>
        <w:rPr>
          <w:noProof/>
        </w:rPr>
        <w:tab/>
      </w:r>
      <w:r w:rsidR="00A94B31">
        <w:rPr>
          <w:noProof/>
        </w:rPr>
        <w:tab/>
      </w:r>
      <w:r>
        <w:rPr>
          <w:noProof/>
        </w:rPr>
        <w:fldChar w:fldCharType="begin"/>
      </w:r>
      <w:r>
        <w:rPr>
          <w:noProof/>
        </w:rPr>
        <w:instrText xml:space="preserve"> PAGEREF _Toc183694723 \h </w:instrText>
      </w:r>
      <w:r>
        <w:rPr>
          <w:noProof/>
        </w:rPr>
      </w:r>
      <w:r>
        <w:rPr>
          <w:noProof/>
        </w:rPr>
        <w:fldChar w:fldCharType="separate"/>
      </w:r>
      <w:r w:rsidR="00833171">
        <w:rPr>
          <w:noProof/>
        </w:rPr>
        <w:t>72</w:t>
      </w:r>
      <w:r>
        <w:rPr>
          <w:noProof/>
        </w:rPr>
        <w:fldChar w:fldCharType="end"/>
      </w:r>
    </w:p>
    <w:p w14:paraId="6F92566E" w14:textId="198D00F7" w:rsidR="00C41883" w:rsidRDefault="00C41883">
      <w:pPr>
        <w:pStyle w:val="TOC4"/>
        <w:rPr>
          <w:rFonts w:asciiTheme="minorHAnsi" w:eastAsiaTheme="minorEastAsia" w:hAnsiTheme="minorHAnsi" w:cstheme="minorBidi"/>
          <w:b w:val="0"/>
          <w:noProof/>
          <w:kern w:val="0"/>
          <w:sz w:val="22"/>
          <w:szCs w:val="22"/>
        </w:rPr>
      </w:pPr>
      <w:r>
        <w:rPr>
          <w:noProof/>
        </w:rPr>
        <w:t>If an enabling Act has special requirements for tabling or disallowance</w:t>
      </w:r>
      <w:r>
        <w:rPr>
          <w:noProof/>
        </w:rPr>
        <w:tab/>
      </w:r>
      <w:r>
        <w:rPr>
          <w:noProof/>
        </w:rPr>
        <w:fldChar w:fldCharType="begin"/>
      </w:r>
      <w:r>
        <w:rPr>
          <w:noProof/>
        </w:rPr>
        <w:instrText xml:space="preserve"> PAGEREF _Toc183694724 \h </w:instrText>
      </w:r>
      <w:r>
        <w:rPr>
          <w:noProof/>
        </w:rPr>
      </w:r>
      <w:r>
        <w:rPr>
          <w:noProof/>
        </w:rPr>
        <w:fldChar w:fldCharType="separate"/>
      </w:r>
      <w:r w:rsidR="00833171">
        <w:rPr>
          <w:noProof/>
        </w:rPr>
        <w:t>73</w:t>
      </w:r>
      <w:r>
        <w:rPr>
          <w:noProof/>
        </w:rPr>
        <w:fldChar w:fldCharType="end"/>
      </w:r>
    </w:p>
    <w:p w14:paraId="5C0A9ED0" w14:textId="06FD52AE" w:rsidR="00C41883" w:rsidRDefault="00C41883">
      <w:pPr>
        <w:pStyle w:val="TOC3"/>
        <w:rPr>
          <w:rFonts w:asciiTheme="minorHAnsi" w:eastAsiaTheme="minorEastAsia" w:hAnsiTheme="minorHAnsi" w:cstheme="minorBidi"/>
          <w:b w:val="0"/>
          <w:noProof/>
          <w:kern w:val="0"/>
          <w:szCs w:val="22"/>
        </w:rPr>
      </w:pPr>
      <w:r>
        <w:rPr>
          <w:noProof/>
        </w:rPr>
        <w:t>Responsibility for delivering instruments for tabling</w:t>
      </w:r>
      <w:r>
        <w:rPr>
          <w:noProof/>
        </w:rPr>
        <w:tab/>
      </w:r>
      <w:r>
        <w:rPr>
          <w:noProof/>
        </w:rPr>
        <w:fldChar w:fldCharType="begin"/>
      </w:r>
      <w:r>
        <w:rPr>
          <w:noProof/>
        </w:rPr>
        <w:instrText xml:space="preserve"> PAGEREF _Toc183694725 \h </w:instrText>
      </w:r>
      <w:r>
        <w:rPr>
          <w:noProof/>
        </w:rPr>
      </w:r>
      <w:r>
        <w:rPr>
          <w:noProof/>
        </w:rPr>
        <w:fldChar w:fldCharType="separate"/>
      </w:r>
      <w:r w:rsidR="00833171">
        <w:rPr>
          <w:noProof/>
        </w:rPr>
        <w:t>73</w:t>
      </w:r>
      <w:r>
        <w:rPr>
          <w:noProof/>
        </w:rPr>
        <w:fldChar w:fldCharType="end"/>
      </w:r>
    </w:p>
    <w:p w14:paraId="1E7B7E49" w14:textId="68027946" w:rsidR="00C41883" w:rsidRDefault="00C41883">
      <w:pPr>
        <w:pStyle w:val="TOC4"/>
        <w:rPr>
          <w:rFonts w:asciiTheme="minorHAnsi" w:eastAsiaTheme="minorEastAsia" w:hAnsiTheme="minorHAnsi" w:cstheme="minorBidi"/>
          <w:b w:val="0"/>
          <w:noProof/>
          <w:kern w:val="0"/>
          <w:sz w:val="22"/>
          <w:szCs w:val="22"/>
        </w:rPr>
      </w:pPr>
      <w:r>
        <w:rPr>
          <w:noProof/>
        </w:rPr>
        <w:t>If either House requires more information</w:t>
      </w:r>
      <w:r>
        <w:rPr>
          <w:noProof/>
        </w:rPr>
        <w:tab/>
      </w:r>
      <w:r>
        <w:rPr>
          <w:noProof/>
        </w:rPr>
        <w:fldChar w:fldCharType="begin"/>
      </w:r>
      <w:r>
        <w:rPr>
          <w:noProof/>
        </w:rPr>
        <w:instrText xml:space="preserve"> PAGEREF _Toc183694726 \h </w:instrText>
      </w:r>
      <w:r>
        <w:rPr>
          <w:noProof/>
        </w:rPr>
      </w:r>
      <w:r>
        <w:rPr>
          <w:noProof/>
        </w:rPr>
        <w:fldChar w:fldCharType="separate"/>
      </w:r>
      <w:r w:rsidR="00833171">
        <w:rPr>
          <w:noProof/>
        </w:rPr>
        <w:t>74</w:t>
      </w:r>
      <w:r>
        <w:rPr>
          <w:noProof/>
        </w:rPr>
        <w:fldChar w:fldCharType="end"/>
      </w:r>
    </w:p>
    <w:p w14:paraId="02A87F81" w14:textId="317939EF" w:rsidR="00C41883" w:rsidRDefault="00C41883">
      <w:pPr>
        <w:pStyle w:val="TOC4"/>
        <w:rPr>
          <w:rFonts w:asciiTheme="minorHAnsi" w:eastAsiaTheme="minorEastAsia" w:hAnsiTheme="minorHAnsi" w:cstheme="minorBidi"/>
          <w:b w:val="0"/>
          <w:noProof/>
          <w:kern w:val="0"/>
          <w:sz w:val="22"/>
          <w:szCs w:val="22"/>
        </w:rPr>
      </w:pPr>
      <w:r>
        <w:rPr>
          <w:noProof/>
        </w:rPr>
        <w:t>If extra documents need to be tabled or made available</w:t>
      </w:r>
      <w:r>
        <w:rPr>
          <w:noProof/>
        </w:rPr>
        <w:tab/>
      </w:r>
      <w:r>
        <w:rPr>
          <w:noProof/>
        </w:rPr>
        <w:fldChar w:fldCharType="begin"/>
      </w:r>
      <w:r>
        <w:rPr>
          <w:noProof/>
        </w:rPr>
        <w:instrText xml:space="preserve"> PAGEREF _Toc183694727 \h </w:instrText>
      </w:r>
      <w:r>
        <w:rPr>
          <w:noProof/>
        </w:rPr>
      </w:r>
      <w:r>
        <w:rPr>
          <w:noProof/>
        </w:rPr>
        <w:fldChar w:fldCharType="separate"/>
      </w:r>
      <w:r w:rsidR="00833171">
        <w:rPr>
          <w:noProof/>
        </w:rPr>
        <w:t>75</w:t>
      </w:r>
      <w:r>
        <w:rPr>
          <w:noProof/>
        </w:rPr>
        <w:fldChar w:fldCharType="end"/>
      </w:r>
    </w:p>
    <w:p w14:paraId="15302832" w14:textId="100E5411" w:rsidR="00C41883" w:rsidRDefault="00C41883">
      <w:pPr>
        <w:pStyle w:val="TOC3"/>
        <w:rPr>
          <w:rFonts w:asciiTheme="minorHAnsi" w:eastAsiaTheme="minorEastAsia" w:hAnsiTheme="minorHAnsi" w:cstheme="minorBidi"/>
          <w:b w:val="0"/>
          <w:noProof/>
          <w:kern w:val="0"/>
          <w:szCs w:val="22"/>
        </w:rPr>
      </w:pPr>
      <w:r>
        <w:rPr>
          <w:noProof/>
        </w:rPr>
        <w:t>Disallowance</w:t>
      </w:r>
      <w:r>
        <w:rPr>
          <w:noProof/>
        </w:rPr>
        <w:tab/>
      </w:r>
      <w:r>
        <w:rPr>
          <w:noProof/>
        </w:rPr>
        <w:fldChar w:fldCharType="begin"/>
      </w:r>
      <w:r>
        <w:rPr>
          <w:noProof/>
        </w:rPr>
        <w:instrText xml:space="preserve"> PAGEREF _Toc183694728 \h </w:instrText>
      </w:r>
      <w:r>
        <w:rPr>
          <w:noProof/>
        </w:rPr>
      </w:r>
      <w:r>
        <w:rPr>
          <w:noProof/>
        </w:rPr>
        <w:fldChar w:fldCharType="separate"/>
      </w:r>
      <w:r w:rsidR="00833171">
        <w:rPr>
          <w:noProof/>
        </w:rPr>
        <w:t>75</w:t>
      </w:r>
      <w:r>
        <w:rPr>
          <w:noProof/>
        </w:rPr>
        <w:fldChar w:fldCharType="end"/>
      </w:r>
    </w:p>
    <w:p w14:paraId="7382BFB5" w14:textId="0FBABEEB" w:rsidR="00C41883" w:rsidRDefault="00C41883">
      <w:pPr>
        <w:pStyle w:val="TOC4"/>
        <w:rPr>
          <w:rFonts w:asciiTheme="minorHAnsi" w:eastAsiaTheme="minorEastAsia" w:hAnsiTheme="minorHAnsi" w:cstheme="minorBidi"/>
          <w:b w:val="0"/>
          <w:noProof/>
          <w:kern w:val="0"/>
          <w:sz w:val="22"/>
          <w:szCs w:val="22"/>
        </w:rPr>
      </w:pPr>
      <w:r>
        <w:rPr>
          <w:noProof/>
        </w:rPr>
        <w:t>What instruments are exempt from disallowance</w:t>
      </w:r>
      <w:r>
        <w:rPr>
          <w:noProof/>
        </w:rPr>
        <w:tab/>
      </w:r>
      <w:r>
        <w:rPr>
          <w:noProof/>
        </w:rPr>
        <w:fldChar w:fldCharType="begin"/>
      </w:r>
      <w:r>
        <w:rPr>
          <w:noProof/>
        </w:rPr>
        <w:instrText xml:space="preserve"> PAGEREF _Toc183694729 \h </w:instrText>
      </w:r>
      <w:r>
        <w:rPr>
          <w:noProof/>
        </w:rPr>
      </w:r>
      <w:r>
        <w:rPr>
          <w:noProof/>
        </w:rPr>
        <w:fldChar w:fldCharType="separate"/>
      </w:r>
      <w:r w:rsidR="00833171">
        <w:rPr>
          <w:noProof/>
        </w:rPr>
        <w:t>75</w:t>
      </w:r>
      <w:r>
        <w:rPr>
          <w:noProof/>
        </w:rPr>
        <w:fldChar w:fldCharType="end"/>
      </w:r>
    </w:p>
    <w:p w14:paraId="7A0186C6" w14:textId="14334F9E" w:rsidR="00C41883" w:rsidRDefault="00C41883">
      <w:pPr>
        <w:pStyle w:val="TOC4"/>
        <w:rPr>
          <w:rFonts w:asciiTheme="minorHAnsi" w:eastAsiaTheme="minorEastAsia" w:hAnsiTheme="minorHAnsi" w:cstheme="minorBidi"/>
          <w:b w:val="0"/>
          <w:noProof/>
          <w:kern w:val="0"/>
          <w:sz w:val="22"/>
          <w:szCs w:val="22"/>
        </w:rPr>
      </w:pPr>
      <w:r>
        <w:rPr>
          <w:noProof/>
        </w:rPr>
        <w:t>When instruments are open to disallowance</w:t>
      </w:r>
      <w:r>
        <w:rPr>
          <w:noProof/>
        </w:rPr>
        <w:tab/>
      </w:r>
      <w:r>
        <w:rPr>
          <w:noProof/>
        </w:rPr>
        <w:fldChar w:fldCharType="begin"/>
      </w:r>
      <w:r>
        <w:rPr>
          <w:noProof/>
        </w:rPr>
        <w:instrText xml:space="preserve"> PAGEREF _Toc183694730 \h </w:instrText>
      </w:r>
      <w:r>
        <w:rPr>
          <w:noProof/>
        </w:rPr>
      </w:r>
      <w:r>
        <w:rPr>
          <w:noProof/>
        </w:rPr>
        <w:fldChar w:fldCharType="separate"/>
      </w:r>
      <w:r w:rsidR="00833171">
        <w:rPr>
          <w:noProof/>
        </w:rPr>
        <w:t>76</w:t>
      </w:r>
      <w:r>
        <w:rPr>
          <w:noProof/>
        </w:rPr>
        <w:fldChar w:fldCharType="end"/>
      </w:r>
    </w:p>
    <w:p w14:paraId="279C5C3B" w14:textId="0C1BEBBB" w:rsidR="00C41883" w:rsidRDefault="00C41883">
      <w:pPr>
        <w:pStyle w:val="TOC4"/>
        <w:rPr>
          <w:rFonts w:asciiTheme="minorHAnsi" w:eastAsiaTheme="minorEastAsia" w:hAnsiTheme="minorHAnsi" w:cstheme="minorBidi"/>
          <w:b w:val="0"/>
          <w:noProof/>
          <w:kern w:val="0"/>
          <w:sz w:val="22"/>
          <w:szCs w:val="22"/>
        </w:rPr>
      </w:pPr>
      <w:r>
        <w:rPr>
          <w:noProof/>
        </w:rPr>
        <w:t>How notice of motion to disallow may be resolved</w:t>
      </w:r>
      <w:r>
        <w:rPr>
          <w:noProof/>
        </w:rPr>
        <w:tab/>
      </w:r>
      <w:r>
        <w:rPr>
          <w:noProof/>
        </w:rPr>
        <w:fldChar w:fldCharType="begin"/>
      </w:r>
      <w:r>
        <w:rPr>
          <w:noProof/>
        </w:rPr>
        <w:instrText xml:space="preserve"> PAGEREF _Toc183694731 \h </w:instrText>
      </w:r>
      <w:r>
        <w:rPr>
          <w:noProof/>
        </w:rPr>
      </w:r>
      <w:r>
        <w:rPr>
          <w:noProof/>
        </w:rPr>
        <w:fldChar w:fldCharType="separate"/>
      </w:r>
      <w:r w:rsidR="00833171">
        <w:rPr>
          <w:noProof/>
        </w:rPr>
        <w:t>76</w:t>
      </w:r>
      <w:r>
        <w:rPr>
          <w:noProof/>
        </w:rPr>
        <w:fldChar w:fldCharType="end"/>
      </w:r>
    </w:p>
    <w:p w14:paraId="348B187A" w14:textId="79FE8C56" w:rsidR="00C41883" w:rsidRDefault="00C41883">
      <w:pPr>
        <w:pStyle w:val="TOC4"/>
        <w:rPr>
          <w:rFonts w:asciiTheme="minorHAnsi" w:eastAsiaTheme="minorEastAsia" w:hAnsiTheme="minorHAnsi" w:cstheme="minorBidi"/>
          <w:b w:val="0"/>
          <w:noProof/>
          <w:kern w:val="0"/>
          <w:sz w:val="22"/>
          <w:szCs w:val="22"/>
        </w:rPr>
      </w:pPr>
      <w:r>
        <w:rPr>
          <w:noProof/>
        </w:rPr>
        <w:t>If notice of motion to disallow has been given</w:t>
      </w:r>
      <w:r>
        <w:rPr>
          <w:noProof/>
        </w:rPr>
        <w:tab/>
      </w:r>
      <w:r>
        <w:rPr>
          <w:noProof/>
        </w:rPr>
        <w:fldChar w:fldCharType="begin"/>
      </w:r>
      <w:r>
        <w:rPr>
          <w:noProof/>
        </w:rPr>
        <w:instrText xml:space="preserve"> PAGEREF _Toc183694732 \h </w:instrText>
      </w:r>
      <w:r>
        <w:rPr>
          <w:noProof/>
        </w:rPr>
      </w:r>
      <w:r>
        <w:rPr>
          <w:noProof/>
        </w:rPr>
        <w:fldChar w:fldCharType="separate"/>
      </w:r>
      <w:r w:rsidR="00833171">
        <w:rPr>
          <w:noProof/>
        </w:rPr>
        <w:t>76</w:t>
      </w:r>
      <w:r>
        <w:rPr>
          <w:noProof/>
        </w:rPr>
        <w:fldChar w:fldCharType="end"/>
      </w:r>
    </w:p>
    <w:p w14:paraId="5736E061" w14:textId="746F75BE" w:rsidR="00C41883" w:rsidRDefault="00C41883">
      <w:pPr>
        <w:pStyle w:val="TOC4"/>
        <w:rPr>
          <w:rFonts w:asciiTheme="minorHAnsi" w:eastAsiaTheme="minorEastAsia" w:hAnsiTheme="minorHAnsi" w:cstheme="minorBidi"/>
          <w:b w:val="0"/>
          <w:noProof/>
          <w:kern w:val="0"/>
          <w:sz w:val="22"/>
          <w:szCs w:val="22"/>
        </w:rPr>
      </w:pPr>
      <w:r>
        <w:rPr>
          <w:noProof/>
        </w:rPr>
        <w:t>If notice of motion to disallow has passed</w:t>
      </w:r>
      <w:r>
        <w:rPr>
          <w:noProof/>
        </w:rPr>
        <w:tab/>
      </w:r>
      <w:r>
        <w:rPr>
          <w:noProof/>
        </w:rPr>
        <w:fldChar w:fldCharType="begin"/>
      </w:r>
      <w:r>
        <w:rPr>
          <w:noProof/>
        </w:rPr>
        <w:instrText xml:space="preserve"> PAGEREF _Toc183694733 \h </w:instrText>
      </w:r>
      <w:r>
        <w:rPr>
          <w:noProof/>
        </w:rPr>
      </w:r>
      <w:r>
        <w:rPr>
          <w:noProof/>
        </w:rPr>
        <w:fldChar w:fldCharType="separate"/>
      </w:r>
      <w:r w:rsidR="00833171">
        <w:rPr>
          <w:noProof/>
        </w:rPr>
        <w:t>77</w:t>
      </w:r>
      <w:r>
        <w:rPr>
          <w:noProof/>
        </w:rPr>
        <w:fldChar w:fldCharType="end"/>
      </w:r>
    </w:p>
    <w:p w14:paraId="6F4ABDD4" w14:textId="207EFAB7" w:rsidR="00C41883" w:rsidRDefault="00C41883">
      <w:pPr>
        <w:pStyle w:val="TOC3"/>
        <w:rPr>
          <w:rFonts w:asciiTheme="minorHAnsi" w:eastAsiaTheme="minorEastAsia" w:hAnsiTheme="minorHAnsi" w:cstheme="minorBidi"/>
          <w:b w:val="0"/>
          <w:noProof/>
          <w:kern w:val="0"/>
          <w:szCs w:val="22"/>
        </w:rPr>
      </w:pPr>
      <w:r>
        <w:rPr>
          <w:noProof/>
        </w:rPr>
        <w:t>Restrictions on remaking instruments before and after tabling</w:t>
      </w:r>
      <w:r>
        <w:rPr>
          <w:noProof/>
        </w:rPr>
        <w:tab/>
      </w:r>
      <w:r>
        <w:rPr>
          <w:noProof/>
        </w:rPr>
        <w:fldChar w:fldCharType="begin"/>
      </w:r>
      <w:r>
        <w:rPr>
          <w:noProof/>
        </w:rPr>
        <w:instrText xml:space="preserve"> PAGEREF _Toc183694734 \h </w:instrText>
      </w:r>
      <w:r>
        <w:rPr>
          <w:noProof/>
        </w:rPr>
      </w:r>
      <w:r>
        <w:rPr>
          <w:noProof/>
        </w:rPr>
        <w:fldChar w:fldCharType="separate"/>
      </w:r>
      <w:r w:rsidR="00833171">
        <w:rPr>
          <w:noProof/>
        </w:rPr>
        <w:t>77</w:t>
      </w:r>
      <w:r>
        <w:rPr>
          <w:noProof/>
        </w:rPr>
        <w:fldChar w:fldCharType="end"/>
      </w:r>
    </w:p>
    <w:p w14:paraId="216170FE" w14:textId="36B70943" w:rsidR="00C41883" w:rsidRDefault="00C41883">
      <w:pPr>
        <w:pStyle w:val="TOC2"/>
        <w:rPr>
          <w:rFonts w:asciiTheme="minorHAnsi" w:eastAsiaTheme="minorEastAsia" w:hAnsiTheme="minorHAnsi" w:cstheme="minorBidi"/>
          <w:b w:val="0"/>
          <w:noProof/>
          <w:kern w:val="0"/>
          <w:sz w:val="22"/>
          <w:szCs w:val="22"/>
        </w:rPr>
      </w:pPr>
      <w:r>
        <w:rPr>
          <w:noProof/>
        </w:rPr>
        <w:t>Chapter 10—Sunsetting</w:t>
      </w:r>
      <w:r>
        <w:rPr>
          <w:noProof/>
        </w:rPr>
        <w:tab/>
      </w:r>
      <w:r>
        <w:rPr>
          <w:noProof/>
        </w:rPr>
        <w:fldChar w:fldCharType="begin"/>
      </w:r>
      <w:r>
        <w:rPr>
          <w:noProof/>
        </w:rPr>
        <w:instrText xml:space="preserve"> PAGEREF _Toc183694735 \h </w:instrText>
      </w:r>
      <w:r>
        <w:rPr>
          <w:noProof/>
        </w:rPr>
      </w:r>
      <w:r>
        <w:rPr>
          <w:noProof/>
        </w:rPr>
        <w:fldChar w:fldCharType="separate"/>
      </w:r>
      <w:r w:rsidR="00833171">
        <w:rPr>
          <w:noProof/>
        </w:rPr>
        <w:t>79</w:t>
      </w:r>
      <w:r>
        <w:rPr>
          <w:noProof/>
        </w:rPr>
        <w:fldChar w:fldCharType="end"/>
      </w:r>
    </w:p>
    <w:p w14:paraId="3238873B" w14:textId="24BA70DA" w:rsidR="00C41883" w:rsidRDefault="00C41883">
      <w:pPr>
        <w:pStyle w:val="TOC3"/>
        <w:rPr>
          <w:rFonts w:asciiTheme="minorHAnsi" w:eastAsiaTheme="minorEastAsia" w:hAnsiTheme="minorHAnsi" w:cstheme="minorBidi"/>
          <w:b w:val="0"/>
          <w:noProof/>
          <w:kern w:val="0"/>
          <w:szCs w:val="22"/>
        </w:rPr>
      </w:pPr>
      <w:r>
        <w:rPr>
          <w:noProof/>
        </w:rPr>
        <w:t>Background</w:t>
      </w:r>
      <w:r>
        <w:rPr>
          <w:noProof/>
        </w:rPr>
        <w:tab/>
      </w:r>
      <w:r w:rsidR="00A94B31">
        <w:rPr>
          <w:noProof/>
        </w:rPr>
        <w:tab/>
      </w:r>
      <w:r>
        <w:rPr>
          <w:noProof/>
        </w:rPr>
        <w:fldChar w:fldCharType="begin"/>
      </w:r>
      <w:r>
        <w:rPr>
          <w:noProof/>
        </w:rPr>
        <w:instrText xml:space="preserve"> PAGEREF _Toc183694736 \h </w:instrText>
      </w:r>
      <w:r>
        <w:rPr>
          <w:noProof/>
        </w:rPr>
      </w:r>
      <w:r>
        <w:rPr>
          <w:noProof/>
        </w:rPr>
        <w:fldChar w:fldCharType="separate"/>
      </w:r>
      <w:r w:rsidR="00833171">
        <w:rPr>
          <w:noProof/>
        </w:rPr>
        <w:t>79</w:t>
      </w:r>
      <w:r>
        <w:rPr>
          <w:noProof/>
        </w:rPr>
        <w:fldChar w:fldCharType="end"/>
      </w:r>
    </w:p>
    <w:p w14:paraId="3DA8BCCC" w14:textId="465EF7D7" w:rsidR="00C41883" w:rsidRDefault="00C41883">
      <w:pPr>
        <w:pStyle w:val="TOC3"/>
        <w:rPr>
          <w:rFonts w:asciiTheme="minorHAnsi" w:eastAsiaTheme="minorEastAsia" w:hAnsiTheme="minorHAnsi" w:cstheme="minorBidi"/>
          <w:b w:val="0"/>
          <w:noProof/>
          <w:kern w:val="0"/>
          <w:szCs w:val="22"/>
        </w:rPr>
      </w:pPr>
      <w:r>
        <w:rPr>
          <w:noProof/>
        </w:rPr>
        <w:t>How sunsetting works</w:t>
      </w:r>
      <w:r>
        <w:rPr>
          <w:noProof/>
        </w:rPr>
        <w:tab/>
      </w:r>
      <w:r>
        <w:rPr>
          <w:noProof/>
        </w:rPr>
        <w:fldChar w:fldCharType="begin"/>
      </w:r>
      <w:r>
        <w:rPr>
          <w:noProof/>
        </w:rPr>
        <w:instrText xml:space="preserve"> PAGEREF _Toc183694737 \h </w:instrText>
      </w:r>
      <w:r>
        <w:rPr>
          <w:noProof/>
        </w:rPr>
      </w:r>
      <w:r>
        <w:rPr>
          <w:noProof/>
        </w:rPr>
        <w:fldChar w:fldCharType="separate"/>
      </w:r>
      <w:r w:rsidR="00833171">
        <w:rPr>
          <w:noProof/>
        </w:rPr>
        <w:t>80</w:t>
      </w:r>
      <w:r>
        <w:rPr>
          <w:noProof/>
        </w:rPr>
        <w:fldChar w:fldCharType="end"/>
      </w:r>
    </w:p>
    <w:p w14:paraId="0D5FBA33" w14:textId="50437A1F" w:rsidR="00C41883" w:rsidRDefault="00C41883">
      <w:pPr>
        <w:pStyle w:val="TOC4"/>
        <w:rPr>
          <w:rFonts w:asciiTheme="minorHAnsi" w:eastAsiaTheme="minorEastAsia" w:hAnsiTheme="minorHAnsi" w:cstheme="minorBidi"/>
          <w:b w:val="0"/>
          <w:noProof/>
          <w:kern w:val="0"/>
          <w:sz w:val="22"/>
          <w:szCs w:val="22"/>
        </w:rPr>
      </w:pPr>
      <w:r>
        <w:rPr>
          <w:noProof/>
        </w:rPr>
        <w:lastRenderedPageBreak/>
        <w:t>What instruments are exempt from sunsetting</w:t>
      </w:r>
      <w:r>
        <w:rPr>
          <w:noProof/>
        </w:rPr>
        <w:tab/>
      </w:r>
      <w:r>
        <w:rPr>
          <w:noProof/>
        </w:rPr>
        <w:fldChar w:fldCharType="begin"/>
      </w:r>
      <w:r>
        <w:rPr>
          <w:noProof/>
        </w:rPr>
        <w:instrText xml:space="preserve"> PAGEREF _Toc183694738 \h </w:instrText>
      </w:r>
      <w:r>
        <w:rPr>
          <w:noProof/>
        </w:rPr>
      </w:r>
      <w:r>
        <w:rPr>
          <w:noProof/>
        </w:rPr>
        <w:fldChar w:fldCharType="separate"/>
      </w:r>
      <w:r w:rsidR="00833171">
        <w:rPr>
          <w:noProof/>
        </w:rPr>
        <w:t>80</w:t>
      </w:r>
      <w:r>
        <w:rPr>
          <w:noProof/>
        </w:rPr>
        <w:fldChar w:fldCharType="end"/>
      </w:r>
    </w:p>
    <w:p w14:paraId="2C76F312" w14:textId="65C59EF1" w:rsidR="00C41883" w:rsidRDefault="00C41883">
      <w:pPr>
        <w:pStyle w:val="TOC4"/>
        <w:rPr>
          <w:rFonts w:asciiTheme="minorHAnsi" w:eastAsiaTheme="minorEastAsia" w:hAnsiTheme="minorHAnsi" w:cstheme="minorBidi"/>
          <w:b w:val="0"/>
          <w:noProof/>
          <w:kern w:val="0"/>
          <w:sz w:val="22"/>
          <w:szCs w:val="22"/>
        </w:rPr>
      </w:pPr>
      <w:r>
        <w:rPr>
          <w:noProof/>
        </w:rPr>
        <w:t>When instruments sunset</w:t>
      </w:r>
      <w:r>
        <w:rPr>
          <w:noProof/>
        </w:rPr>
        <w:tab/>
      </w:r>
      <w:r>
        <w:rPr>
          <w:noProof/>
        </w:rPr>
        <w:fldChar w:fldCharType="begin"/>
      </w:r>
      <w:r>
        <w:rPr>
          <w:noProof/>
        </w:rPr>
        <w:instrText xml:space="preserve"> PAGEREF _Toc183694739 \h </w:instrText>
      </w:r>
      <w:r>
        <w:rPr>
          <w:noProof/>
        </w:rPr>
      </w:r>
      <w:r>
        <w:rPr>
          <w:noProof/>
        </w:rPr>
        <w:fldChar w:fldCharType="separate"/>
      </w:r>
      <w:r w:rsidR="00833171">
        <w:rPr>
          <w:noProof/>
        </w:rPr>
        <w:t>81</w:t>
      </w:r>
      <w:r>
        <w:rPr>
          <w:noProof/>
        </w:rPr>
        <w:fldChar w:fldCharType="end"/>
      </w:r>
    </w:p>
    <w:p w14:paraId="6A57CA62" w14:textId="74582937" w:rsidR="00C41883" w:rsidRDefault="00C41883">
      <w:pPr>
        <w:pStyle w:val="TOC4"/>
        <w:rPr>
          <w:rFonts w:asciiTheme="minorHAnsi" w:eastAsiaTheme="minorEastAsia" w:hAnsiTheme="minorHAnsi" w:cstheme="minorBidi"/>
          <w:b w:val="0"/>
          <w:noProof/>
          <w:kern w:val="0"/>
          <w:sz w:val="22"/>
          <w:szCs w:val="22"/>
        </w:rPr>
      </w:pPr>
      <w:r>
        <w:rPr>
          <w:noProof/>
        </w:rPr>
        <w:t>Advance notice of sunsetting</w:t>
      </w:r>
      <w:r>
        <w:rPr>
          <w:noProof/>
        </w:rPr>
        <w:tab/>
      </w:r>
      <w:r>
        <w:rPr>
          <w:noProof/>
        </w:rPr>
        <w:fldChar w:fldCharType="begin"/>
      </w:r>
      <w:r>
        <w:rPr>
          <w:noProof/>
        </w:rPr>
        <w:instrText xml:space="preserve"> PAGEREF _Toc183694740 \h </w:instrText>
      </w:r>
      <w:r>
        <w:rPr>
          <w:noProof/>
        </w:rPr>
      </w:r>
      <w:r>
        <w:rPr>
          <w:noProof/>
        </w:rPr>
        <w:fldChar w:fldCharType="separate"/>
      </w:r>
      <w:r w:rsidR="00833171">
        <w:rPr>
          <w:noProof/>
        </w:rPr>
        <w:t>81</w:t>
      </w:r>
      <w:r>
        <w:rPr>
          <w:noProof/>
        </w:rPr>
        <w:fldChar w:fldCharType="end"/>
      </w:r>
    </w:p>
    <w:p w14:paraId="44FC116E" w14:textId="1F431669" w:rsidR="00C41883" w:rsidRDefault="00C41883">
      <w:pPr>
        <w:pStyle w:val="TOC3"/>
        <w:rPr>
          <w:rFonts w:asciiTheme="minorHAnsi" w:eastAsiaTheme="minorEastAsia" w:hAnsiTheme="minorHAnsi" w:cstheme="minorBidi"/>
          <w:b w:val="0"/>
          <w:noProof/>
          <w:kern w:val="0"/>
          <w:szCs w:val="22"/>
        </w:rPr>
      </w:pPr>
      <w:r>
        <w:rPr>
          <w:noProof/>
        </w:rPr>
        <w:t>What to do about sunsetting</w:t>
      </w:r>
      <w:r>
        <w:rPr>
          <w:noProof/>
        </w:rPr>
        <w:tab/>
      </w:r>
      <w:r>
        <w:rPr>
          <w:noProof/>
        </w:rPr>
        <w:fldChar w:fldCharType="begin"/>
      </w:r>
      <w:r>
        <w:rPr>
          <w:noProof/>
        </w:rPr>
        <w:instrText xml:space="preserve"> PAGEREF _Toc183694741 \h </w:instrText>
      </w:r>
      <w:r>
        <w:rPr>
          <w:noProof/>
        </w:rPr>
      </w:r>
      <w:r>
        <w:rPr>
          <w:noProof/>
        </w:rPr>
        <w:fldChar w:fldCharType="separate"/>
      </w:r>
      <w:r w:rsidR="00833171">
        <w:rPr>
          <w:noProof/>
        </w:rPr>
        <w:t>82</w:t>
      </w:r>
      <w:r>
        <w:rPr>
          <w:noProof/>
        </w:rPr>
        <w:fldChar w:fldCharType="end"/>
      </w:r>
    </w:p>
    <w:p w14:paraId="15357E28" w14:textId="2BB4A93A" w:rsidR="00C41883" w:rsidRDefault="00C41883">
      <w:pPr>
        <w:pStyle w:val="TOC3"/>
        <w:rPr>
          <w:rFonts w:asciiTheme="minorHAnsi" w:eastAsiaTheme="minorEastAsia" w:hAnsiTheme="minorHAnsi" w:cstheme="minorBidi"/>
          <w:b w:val="0"/>
          <w:noProof/>
          <w:kern w:val="0"/>
          <w:szCs w:val="22"/>
        </w:rPr>
      </w:pPr>
      <w:r>
        <w:rPr>
          <w:noProof/>
        </w:rPr>
        <w:t>Scope to negotiate minor changes in sunset date</w:t>
      </w:r>
      <w:r>
        <w:rPr>
          <w:noProof/>
        </w:rPr>
        <w:tab/>
      </w:r>
      <w:r>
        <w:rPr>
          <w:noProof/>
        </w:rPr>
        <w:fldChar w:fldCharType="begin"/>
      </w:r>
      <w:r>
        <w:rPr>
          <w:noProof/>
        </w:rPr>
        <w:instrText xml:space="preserve"> PAGEREF _Toc183694742 \h </w:instrText>
      </w:r>
      <w:r>
        <w:rPr>
          <w:noProof/>
        </w:rPr>
      </w:r>
      <w:r>
        <w:rPr>
          <w:noProof/>
        </w:rPr>
        <w:fldChar w:fldCharType="separate"/>
      </w:r>
      <w:r w:rsidR="00833171">
        <w:rPr>
          <w:noProof/>
        </w:rPr>
        <w:t>83</w:t>
      </w:r>
      <w:r>
        <w:rPr>
          <w:noProof/>
        </w:rPr>
        <w:fldChar w:fldCharType="end"/>
      </w:r>
    </w:p>
    <w:p w14:paraId="40358C2A" w14:textId="6984B8B3" w:rsidR="00C41883" w:rsidRDefault="00C41883">
      <w:pPr>
        <w:pStyle w:val="TOC4"/>
        <w:rPr>
          <w:rFonts w:asciiTheme="minorHAnsi" w:eastAsiaTheme="minorEastAsia" w:hAnsiTheme="minorHAnsi" w:cstheme="minorBidi"/>
          <w:b w:val="0"/>
          <w:noProof/>
          <w:kern w:val="0"/>
          <w:sz w:val="22"/>
          <w:szCs w:val="22"/>
        </w:rPr>
      </w:pPr>
      <w:r>
        <w:rPr>
          <w:noProof/>
        </w:rPr>
        <w:t>Declaration of thematic review under section 51A of the LA</w:t>
      </w:r>
      <w:r>
        <w:rPr>
          <w:noProof/>
        </w:rPr>
        <w:tab/>
      </w:r>
      <w:r>
        <w:rPr>
          <w:noProof/>
        </w:rPr>
        <w:fldChar w:fldCharType="begin"/>
      </w:r>
      <w:r>
        <w:rPr>
          <w:noProof/>
        </w:rPr>
        <w:instrText xml:space="preserve"> PAGEREF _Toc183694743 \h </w:instrText>
      </w:r>
      <w:r>
        <w:rPr>
          <w:noProof/>
        </w:rPr>
      </w:r>
      <w:r>
        <w:rPr>
          <w:noProof/>
        </w:rPr>
        <w:fldChar w:fldCharType="separate"/>
      </w:r>
      <w:r w:rsidR="00833171">
        <w:rPr>
          <w:noProof/>
        </w:rPr>
        <w:t>83</w:t>
      </w:r>
      <w:r>
        <w:rPr>
          <w:noProof/>
        </w:rPr>
        <w:fldChar w:fldCharType="end"/>
      </w:r>
    </w:p>
    <w:p w14:paraId="614EF39C" w14:textId="7B42B243" w:rsidR="00C41883" w:rsidRDefault="00C41883">
      <w:pPr>
        <w:pStyle w:val="TOC4"/>
        <w:rPr>
          <w:rFonts w:asciiTheme="minorHAnsi" w:eastAsiaTheme="minorEastAsia" w:hAnsiTheme="minorHAnsi" w:cstheme="minorBidi"/>
          <w:b w:val="0"/>
          <w:noProof/>
          <w:kern w:val="0"/>
          <w:sz w:val="22"/>
          <w:szCs w:val="22"/>
        </w:rPr>
      </w:pPr>
      <w:r>
        <w:rPr>
          <w:noProof/>
        </w:rPr>
        <w:t>Attorney</w:t>
      </w:r>
      <w:r>
        <w:rPr>
          <w:noProof/>
        </w:rPr>
        <w:noBreakHyphen/>
        <w:t>General’s certificate under section 51 of the LA</w:t>
      </w:r>
      <w:r>
        <w:rPr>
          <w:noProof/>
        </w:rPr>
        <w:tab/>
      </w:r>
      <w:r>
        <w:rPr>
          <w:noProof/>
        </w:rPr>
        <w:fldChar w:fldCharType="begin"/>
      </w:r>
      <w:r>
        <w:rPr>
          <w:noProof/>
        </w:rPr>
        <w:instrText xml:space="preserve"> PAGEREF _Toc183694744 \h </w:instrText>
      </w:r>
      <w:r>
        <w:rPr>
          <w:noProof/>
        </w:rPr>
      </w:r>
      <w:r>
        <w:rPr>
          <w:noProof/>
        </w:rPr>
        <w:fldChar w:fldCharType="separate"/>
      </w:r>
      <w:r w:rsidR="00833171">
        <w:rPr>
          <w:noProof/>
        </w:rPr>
        <w:t>84</w:t>
      </w:r>
      <w:r>
        <w:rPr>
          <w:noProof/>
        </w:rPr>
        <w:fldChar w:fldCharType="end"/>
      </w:r>
    </w:p>
    <w:p w14:paraId="2CE48509" w14:textId="30CF89BA" w:rsidR="00C41883" w:rsidRDefault="00C41883">
      <w:pPr>
        <w:pStyle w:val="TOC3"/>
        <w:rPr>
          <w:rFonts w:asciiTheme="minorHAnsi" w:eastAsiaTheme="minorEastAsia" w:hAnsiTheme="minorHAnsi" w:cstheme="minorBidi"/>
          <w:b w:val="0"/>
          <w:noProof/>
          <w:kern w:val="0"/>
          <w:szCs w:val="22"/>
        </w:rPr>
      </w:pPr>
      <w:r>
        <w:rPr>
          <w:noProof/>
        </w:rPr>
        <w:t>Parliamentary “rollovers”</w:t>
      </w:r>
      <w:r>
        <w:rPr>
          <w:noProof/>
        </w:rPr>
        <w:tab/>
      </w:r>
      <w:r>
        <w:rPr>
          <w:noProof/>
        </w:rPr>
        <w:fldChar w:fldCharType="begin"/>
      </w:r>
      <w:r>
        <w:rPr>
          <w:noProof/>
        </w:rPr>
        <w:instrText xml:space="preserve"> PAGEREF _Toc183694745 \h </w:instrText>
      </w:r>
      <w:r>
        <w:rPr>
          <w:noProof/>
        </w:rPr>
      </w:r>
      <w:r>
        <w:rPr>
          <w:noProof/>
        </w:rPr>
        <w:fldChar w:fldCharType="separate"/>
      </w:r>
      <w:r w:rsidR="00833171">
        <w:rPr>
          <w:noProof/>
        </w:rPr>
        <w:t>84</w:t>
      </w:r>
      <w:r>
        <w:rPr>
          <w:noProof/>
        </w:rPr>
        <w:fldChar w:fldCharType="end"/>
      </w:r>
    </w:p>
    <w:p w14:paraId="55D06A2F" w14:textId="44F70504" w:rsidR="00C41883" w:rsidRDefault="00C41883">
      <w:pPr>
        <w:pStyle w:val="TOC4"/>
        <w:rPr>
          <w:rFonts w:asciiTheme="minorHAnsi" w:eastAsiaTheme="minorEastAsia" w:hAnsiTheme="minorHAnsi" w:cstheme="minorBidi"/>
          <w:b w:val="0"/>
          <w:noProof/>
          <w:kern w:val="0"/>
          <w:sz w:val="22"/>
          <w:szCs w:val="22"/>
        </w:rPr>
      </w:pPr>
      <w:r>
        <w:rPr>
          <w:noProof/>
        </w:rPr>
        <w:t>If notice of private rollover motion is given</w:t>
      </w:r>
      <w:r>
        <w:rPr>
          <w:noProof/>
        </w:rPr>
        <w:tab/>
      </w:r>
      <w:r>
        <w:rPr>
          <w:noProof/>
        </w:rPr>
        <w:fldChar w:fldCharType="begin"/>
      </w:r>
      <w:r>
        <w:rPr>
          <w:noProof/>
        </w:rPr>
        <w:instrText xml:space="preserve"> PAGEREF _Toc183694746 \h </w:instrText>
      </w:r>
      <w:r>
        <w:rPr>
          <w:noProof/>
        </w:rPr>
      </w:r>
      <w:r>
        <w:rPr>
          <w:noProof/>
        </w:rPr>
        <w:fldChar w:fldCharType="separate"/>
      </w:r>
      <w:r w:rsidR="00833171">
        <w:rPr>
          <w:noProof/>
        </w:rPr>
        <w:t>85</w:t>
      </w:r>
      <w:r>
        <w:rPr>
          <w:noProof/>
        </w:rPr>
        <w:fldChar w:fldCharType="end"/>
      </w:r>
    </w:p>
    <w:p w14:paraId="37866497" w14:textId="2F4610AF" w:rsidR="00C41883" w:rsidRDefault="00C41883">
      <w:pPr>
        <w:pStyle w:val="TOC4"/>
        <w:rPr>
          <w:rFonts w:asciiTheme="minorHAnsi" w:eastAsiaTheme="minorEastAsia" w:hAnsiTheme="minorHAnsi" w:cstheme="minorBidi"/>
          <w:b w:val="0"/>
          <w:noProof/>
          <w:kern w:val="0"/>
          <w:sz w:val="22"/>
          <w:szCs w:val="22"/>
        </w:rPr>
      </w:pPr>
      <w:r>
        <w:rPr>
          <w:noProof/>
        </w:rPr>
        <w:t>When government rollover motion may be appropriate</w:t>
      </w:r>
      <w:r>
        <w:rPr>
          <w:noProof/>
        </w:rPr>
        <w:tab/>
      </w:r>
      <w:r>
        <w:rPr>
          <w:noProof/>
        </w:rPr>
        <w:fldChar w:fldCharType="begin"/>
      </w:r>
      <w:r>
        <w:rPr>
          <w:noProof/>
        </w:rPr>
        <w:instrText xml:space="preserve"> PAGEREF _Toc183694747 \h </w:instrText>
      </w:r>
      <w:r>
        <w:rPr>
          <w:noProof/>
        </w:rPr>
      </w:r>
      <w:r>
        <w:rPr>
          <w:noProof/>
        </w:rPr>
        <w:fldChar w:fldCharType="separate"/>
      </w:r>
      <w:r w:rsidR="00833171">
        <w:rPr>
          <w:noProof/>
        </w:rPr>
        <w:t>85</w:t>
      </w:r>
      <w:r>
        <w:rPr>
          <w:noProof/>
        </w:rPr>
        <w:fldChar w:fldCharType="end"/>
      </w:r>
    </w:p>
    <w:p w14:paraId="39CDD4B1" w14:textId="0C0A55A9" w:rsidR="00C41883" w:rsidRDefault="00C41883">
      <w:pPr>
        <w:pStyle w:val="TOC4"/>
        <w:rPr>
          <w:rFonts w:asciiTheme="minorHAnsi" w:eastAsiaTheme="minorEastAsia" w:hAnsiTheme="minorHAnsi" w:cstheme="minorBidi"/>
          <w:b w:val="0"/>
          <w:noProof/>
          <w:kern w:val="0"/>
          <w:sz w:val="22"/>
          <w:szCs w:val="22"/>
        </w:rPr>
      </w:pPr>
      <w:r>
        <w:rPr>
          <w:noProof/>
        </w:rPr>
        <w:t>Tabling of documents for rollover purposes</w:t>
      </w:r>
      <w:r>
        <w:rPr>
          <w:noProof/>
        </w:rPr>
        <w:tab/>
      </w:r>
      <w:r>
        <w:rPr>
          <w:noProof/>
        </w:rPr>
        <w:fldChar w:fldCharType="begin"/>
      </w:r>
      <w:r>
        <w:rPr>
          <w:noProof/>
        </w:rPr>
        <w:instrText xml:space="preserve"> PAGEREF _Toc183694748 \h </w:instrText>
      </w:r>
      <w:r>
        <w:rPr>
          <w:noProof/>
        </w:rPr>
      </w:r>
      <w:r>
        <w:rPr>
          <w:noProof/>
        </w:rPr>
        <w:fldChar w:fldCharType="separate"/>
      </w:r>
      <w:r w:rsidR="00833171">
        <w:rPr>
          <w:noProof/>
        </w:rPr>
        <w:t>85</w:t>
      </w:r>
      <w:r>
        <w:rPr>
          <w:noProof/>
        </w:rPr>
        <w:fldChar w:fldCharType="end"/>
      </w:r>
    </w:p>
    <w:p w14:paraId="286549FE" w14:textId="1AF71C40" w:rsidR="00C41883" w:rsidRDefault="00C41883">
      <w:pPr>
        <w:pStyle w:val="TOC3"/>
        <w:rPr>
          <w:rFonts w:asciiTheme="minorHAnsi" w:eastAsiaTheme="minorEastAsia" w:hAnsiTheme="minorHAnsi" w:cstheme="minorBidi"/>
          <w:b w:val="0"/>
          <w:noProof/>
          <w:kern w:val="0"/>
          <w:szCs w:val="22"/>
        </w:rPr>
      </w:pPr>
      <w:r>
        <w:rPr>
          <w:noProof/>
        </w:rPr>
        <w:t>Replacement of sunsetting instruments (if required)</w:t>
      </w:r>
      <w:r>
        <w:rPr>
          <w:noProof/>
        </w:rPr>
        <w:tab/>
      </w:r>
      <w:r>
        <w:rPr>
          <w:noProof/>
        </w:rPr>
        <w:fldChar w:fldCharType="begin"/>
      </w:r>
      <w:r>
        <w:rPr>
          <w:noProof/>
        </w:rPr>
        <w:instrText xml:space="preserve"> PAGEREF _Toc183694749 \h </w:instrText>
      </w:r>
      <w:r>
        <w:rPr>
          <w:noProof/>
        </w:rPr>
      </w:r>
      <w:r>
        <w:rPr>
          <w:noProof/>
        </w:rPr>
        <w:fldChar w:fldCharType="separate"/>
      </w:r>
      <w:r w:rsidR="00833171">
        <w:rPr>
          <w:noProof/>
        </w:rPr>
        <w:t>86</w:t>
      </w:r>
      <w:r>
        <w:rPr>
          <w:noProof/>
        </w:rPr>
        <w:fldChar w:fldCharType="end"/>
      </w:r>
    </w:p>
    <w:p w14:paraId="50D457E2" w14:textId="41532AB7" w:rsidR="00C41883" w:rsidRDefault="00C41883">
      <w:pPr>
        <w:pStyle w:val="TOC4"/>
        <w:rPr>
          <w:rFonts w:asciiTheme="minorHAnsi" w:eastAsiaTheme="minorEastAsia" w:hAnsiTheme="minorHAnsi" w:cstheme="minorBidi"/>
          <w:b w:val="0"/>
          <w:noProof/>
          <w:kern w:val="0"/>
          <w:sz w:val="22"/>
          <w:szCs w:val="22"/>
        </w:rPr>
      </w:pPr>
      <w:r>
        <w:rPr>
          <w:noProof/>
        </w:rPr>
        <w:t>Drafting of replacement instruments</w:t>
      </w:r>
      <w:r>
        <w:rPr>
          <w:noProof/>
        </w:rPr>
        <w:tab/>
      </w:r>
      <w:r>
        <w:rPr>
          <w:noProof/>
        </w:rPr>
        <w:fldChar w:fldCharType="begin"/>
      </w:r>
      <w:r>
        <w:rPr>
          <w:noProof/>
        </w:rPr>
        <w:instrText xml:space="preserve"> PAGEREF _Toc183694750 \h </w:instrText>
      </w:r>
      <w:r>
        <w:rPr>
          <w:noProof/>
        </w:rPr>
      </w:r>
      <w:r>
        <w:rPr>
          <w:noProof/>
        </w:rPr>
        <w:fldChar w:fldCharType="separate"/>
      </w:r>
      <w:r w:rsidR="00833171">
        <w:rPr>
          <w:noProof/>
        </w:rPr>
        <w:t>86</w:t>
      </w:r>
      <w:r>
        <w:rPr>
          <w:noProof/>
        </w:rPr>
        <w:fldChar w:fldCharType="end"/>
      </w:r>
    </w:p>
    <w:p w14:paraId="7D3C654B" w14:textId="7ABCD454" w:rsidR="00C41883" w:rsidRDefault="00C41883">
      <w:pPr>
        <w:pStyle w:val="TOC4"/>
        <w:rPr>
          <w:rFonts w:asciiTheme="minorHAnsi" w:eastAsiaTheme="minorEastAsia" w:hAnsiTheme="minorHAnsi" w:cstheme="minorBidi"/>
          <w:b w:val="0"/>
          <w:noProof/>
          <w:kern w:val="0"/>
          <w:sz w:val="22"/>
          <w:szCs w:val="22"/>
        </w:rPr>
      </w:pPr>
      <w:r>
        <w:rPr>
          <w:noProof/>
        </w:rPr>
        <w:t>Scope to remake instruments in bulk by reference</w:t>
      </w:r>
      <w:r>
        <w:rPr>
          <w:noProof/>
        </w:rPr>
        <w:tab/>
      </w:r>
      <w:r>
        <w:rPr>
          <w:noProof/>
        </w:rPr>
        <w:fldChar w:fldCharType="begin"/>
      </w:r>
      <w:r>
        <w:rPr>
          <w:noProof/>
        </w:rPr>
        <w:instrText xml:space="preserve"> PAGEREF _Toc183694751 \h </w:instrText>
      </w:r>
      <w:r>
        <w:rPr>
          <w:noProof/>
        </w:rPr>
      </w:r>
      <w:r>
        <w:rPr>
          <w:noProof/>
        </w:rPr>
        <w:fldChar w:fldCharType="separate"/>
      </w:r>
      <w:r w:rsidR="00833171">
        <w:rPr>
          <w:noProof/>
        </w:rPr>
        <w:t>87</w:t>
      </w:r>
      <w:r>
        <w:rPr>
          <w:noProof/>
        </w:rPr>
        <w:fldChar w:fldCharType="end"/>
      </w:r>
    </w:p>
    <w:p w14:paraId="1106F98A" w14:textId="2F289D14" w:rsidR="00C41883" w:rsidRDefault="00C41883">
      <w:pPr>
        <w:pStyle w:val="TOC3"/>
        <w:rPr>
          <w:rFonts w:asciiTheme="minorHAnsi" w:eastAsiaTheme="minorEastAsia" w:hAnsiTheme="minorHAnsi" w:cstheme="minorBidi"/>
          <w:b w:val="0"/>
          <w:noProof/>
          <w:kern w:val="0"/>
          <w:szCs w:val="22"/>
        </w:rPr>
      </w:pPr>
      <w:r>
        <w:rPr>
          <w:noProof/>
        </w:rPr>
        <w:t>If an instrument cannot be replaced before it sunsets</w:t>
      </w:r>
      <w:r>
        <w:rPr>
          <w:noProof/>
        </w:rPr>
        <w:tab/>
      </w:r>
      <w:r>
        <w:rPr>
          <w:noProof/>
        </w:rPr>
        <w:fldChar w:fldCharType="begin"/>
      </w:r>
      <w:r>
        <w:rPr>
          <w:noProof/>
        </w:rPr>
        <w:instrText xml:space="preserve"> PAGEREF _Toc183694752 \h </w:instrText>
      </w:r>
      <w:r>
        <w:rPr>
          <w:noProof/>
        </w:rPr>
      </w:r>
      <w:r>
        <w:rPr>
          <w:noProof/>
        </w:rPr>
        <w:fldChar w:fldCharType="separate"/>
      </w:r>
      <w:r w:rsidR="00833171">
        <w:rPr>
          <w:noProof/>
        </w:rPr>
        <w:t>88</w:t>
      </w:r>
      <w:r>
        <w:rPr>
          <w:noProof/>
        </w:rPr>
        <w:fldChar w:fldCharType="end"/>
      </w:r>
    </w:p>
    <w:p w14:paraId="539FF062" w14:textId="6B8DC8C0" w:rsidR="00C41883" w:rsidRDefault="00C41883">
      <w:pPr>
        <w:pStyle w:val="TOC2"/>
        <w:rPr>
          <w:rFonts w:asciiTheme="minorHAnsi" w:eastAsiaTheme="minorEastAsia" w:hAnsiTheme="minorHAnsi" w:cstheme="minorBidi"/>
          <w:b w:val="0"/>
          <w:noProof/>
          <w:kern w:val="0"/>
          <w:sz w:val="22"/>
          <w:szCs w:val="22"/>
        </w:rPr>
      </w:pPr>
      <w:r>
        <w:rPr>
          <w:noProof/>
        </w:rPr>
        <w:t>Appendix A—Sunsetting Checklist</w:t>
      </w:r>
      <w:r>
        <w:rPr>
          <w:noProof/>
        </w:rPr>
        <w:tab/>
      </w:r>
      <w:r>
        <w:rPr>
          <w:noProof/>
        </w:rPr>
        <w:fldChar w:fldCharType="begin"/>
      </w:r>
      <w:r>
        <w:rPr>
          <w:noProof/>
        </w:rPr>
        <w:instrText xml:space="preserve"> PAGEREF _Toc183694753 \h </w:instrText>
      </w:r>
      <w:r>
        <w:rPr>
          <w:noProof/>
        </w:rPr>
      </w:r>
      <w:r>
        <w:rPr>
          <w:noProof/>
        </w:rPr>
        <w:fldChar w:fldCharType="separate"/>
      </w:r>
      <w:r w:rsidR="00833171">
        <w:rPr>
          <w:noProof/>
        </w:rPr>
        <w:t>90</w:t>
      </w:r>
      <w:r>
        <w:rPr>
          <w:noProof/>
        </w:rPr>
        <w:fldChar w:fldCharType="end"/>
      </w:r>
    </w:p>
    <w:p w14:paraId="39D5C3DB" w14:textId="031A60E1" w:rsidR="00C41883" w:rsidRDefault="00C41883">
      <w:pPr>
        <w:pStyle w:val="TOC2"/>
        <w:rPr>
          <w:rFonts w:asciiTheme="minorHAnsi" w:eastAsiaTheme="minorEastAsia" w:hAnsiTheme="minorHAnsi" w:cstheme="minorBidi"/>
          <w:b w:val="0"/>
          <w:noProof/>
          <w:kern w:val="0"/>
          <w:sz w:val="22"/>
          <w:szCs w:val="22"/>
        </w:rPr>
      </w:pPr>
      <w:r>
        <w:rPr>
          <w:noProof/>
        </w:rPr>
        <w:t>Further reading</w:t>
      </w:r>
      <w:r>
        <w:rPr>
          <w:noProof/>
        </w:rPr>
        <w:tab/>
      </w:r>
      <w:r>
        <w:rPr>
          <w:noProof/>
        </w:rPr>
        <w:fldChar w:fldCharType="begin"/>
      </w:r>
      <w:r>
        <w:rPr>
          <w:noProof/>
        </w:rPr>
        <w:instrText xml:space="preserve"> PAGEREF _Toc183694754 \h </w:instrText>
      </w:r>
      <w:r>
        <w:rPr>
          <w:noProof/>
        </w:rPr>
      </w:r>
      <w:r>
        <w:rPr>
          <w:noProof/>
        </w:rPr>
        <w:fldChar w:fldCharType="separate"/>
      </w:r>
      <w:r w:rsidR="00833171">
        <w:rPr>
          <w:noProof/>
        </w:rPr>
        <w:t>91</w:t>
      </w:r>
      <w:r>
        <w:rPr>
          <w:noProof/>
        </w:rPr>
        <w:fldChar w:fldCharType="end"/>
      </w:r>
    </w:p>
    <w:p w14:paraId="58C783BF" w14:textId="652788A6" w:rsidR="00C41883" w:rsidRDefault="00C41883">
      <w:pPr>
        <w:pStyle w:val="TOC3"/>
        <w:rPr>
          <w:rFonts w:asciiTheme="minorHAnsi" w:eastAsiaTheme="minorEastAsia" w:hAnsiTheme="minorHAnsi" w:cstheme="minorBidi"/>
          <w:b w:val="0"/>
          <w:noProof/>
          <w:kern w:val="0"/>
          <w:szCs w:val="22"/>
        </w:rPr>
      </w:pPr>
      <w:r>
        <w:rPr>
          <w:noProof/>
        </w:rPr>
        <w:t>Key legislation</w:t>
      </w:r>
      <w:r>
        <w:rPr>
          <w:noProof/>
        </w:rPr>
        <w:tab/>
      </w:r>
      <w:r>
        <w:rPr>
          <w:noProof/>
        </w:rPr>
        <w:fldChar w:fldCharType="begin"/>
      </w:r>
      <w:r>
        <w:rPr>
          <w:noProof/>
        </w:rPr>
        <w:instrText xml:space="preserve"> PAGEREF _Toc183694755 \h </w:instrText>
      </w:r>
      <w:r>
        <w:rPr>
          <w:noProof/>
        </w:rPr>
      </w:r>
      <w:r>
        <w:rPr>
          <w:noProof/>
        </w:rPr>
        <w:fldChar w:fldCharType="separate"/>
      </w:r>
      <w:r w:rsidR="00833171">
        <w:rPr>
          <w:noProof/>
        </w:rPr>
        <w:t>91</w:t>
      </w:r>
      <w:r>
        <w:rPr>
          <w:noProof/>
        </w:rPr>
        <w:fldChar w:fldCharType="end"/>
      </w:r>
    </w:p>
    <w:p w14:paraId="79161265" w14:textId="25DD2B38" w:rsidR="00C41883" w:rsidRDefault="00C41883">
      <w:pPr>
        <w:pStyle w:val="TOC3"/>
        <w:rPr>
          <w:rFonts w:asciiTheme="minorHAnsi" w:eastAsiaTheme="minorEastAsia" w:hAnsiTheme="minorHAnsi" w:cstheme="minorBidi"/>
          <w:b w:val="0"/>
          <w:noProof/>
          <w:kern w:val="0"/>
          <w:szCs w:val="22"/>
        </w:rPr>
      </w:pPr>
      <w:r>
        <w:rPr>
          <w:noProof/>
        </w:rPr>
        <w:t>Guidance material</w:t>
      </w:r>
      <w:r>
        <w:rPr>
          <w:noProof/>
        </w:rPr>
        <w:tab/>
      </w:r>
      <w:r>
        <w:rPr>
          <w:noProof/>
        </w:rPr>
        <w:fldChar w:fldCharType="begin"/>
      </w:r>
      <w:r>
        <w:rPr>
          <w:noProof/>
        </w:rPr>
        <w:instrText xml:space="preserve"> PAGEREF _Toc183694756 \h </w:instrText>
      </w:r>
      <w:r>
        <w:rPr>
          <w:noProof/>
        </w:rPr>
      </w:r>
      <w:r>
        <w:rPr>
          <w:noProof/>
        </w:rPr>
        <w:fldChar w:fldCharType="separate"/>
      </w:r>
      <w:r w:rsidR="00833171">
        <w:rPr>
          <w:noProof/>
        </w:rPr>
        <w:t>91</w:t>
      </w:r>
      <w:r>
        <w:rPr>
          <w:noProof/>
        </w:rPr>
        <w:fldChar w:fldCharType="end"/>
      </w:r>
    </w:p>
    <w:p w14:paraId="5ECCAEFD" w14:textId="2C40A0FB" w:rsidR="00C41883" w:rsidRDefault="00C41883">
      <w:pPr>
        <w:pStyle w:val="TOC2"/>
        <w:rPr>
          <w:rFonts w:asciiTheme="minorHAnsi" w:eastAsiaTheme="minorEastAsia" w:hAnsiTheme="minorHAnsi" w:cstheme="minorBidi"/>
          <w:b w:val="0"/>
          <w:noProof/>
          <w:kern w:val="0"/>
          <w:sz w:val="22"/>
          <w:szCs w:val="22"/>
        </w:rPr>
      </w:pPr>
      <w:r>
        <w:rPr>
          <w:noProof/>
        </w:rPr>
        <w:t>Useful contacts</w:t>
      </w:r>
      <w:r>
        <w:rPr>
          <w:noProof/>
        </w:rPr>
        <w:tab/>
      </w:r>
      <w:r>
        <w:rPr>
          <w:noProof/>
        </w:rPr>
        <w:fldChar w:fldCharType="begin"/>
      </w:r>
      <w:r>
        <w:rPr>
          <w:noProof/>
        </w:rPr>
        <w:instrText xml:space="preserve"> PAGEREF _Toc183694757 \h </w:instrText>
      </w:r>
      <w:r>
        <w:rPr>
          <w:noProof/>
        </w:rPr>
      </w:r>
      <w:r>
        <w:rPr>
          <w:noProof/>
        </w:rPr>
        <w:fldChar w:fldCharType="separate"/>
      </w:r>
      <w:r w:rsidR="00833171">
        <w:rPr>
          <w:noProof/>
        </w:rPr>
        <w:t>92</w:t>
      </w:r>
      <w:r>
        <w:rPr>
          <w:noProof/>
        </w:rPr>
        <w:fldChar w:fldCharType="end"/>
      </w:r>
    </w:p>
    <w:p w14:paraId="6D621B51" w14:textId="4A3EC8A7" w:rsidR="00C41883" w:rsidRDefault="00C41883">
      <w:pPr>
        <w:pStyle w:val="TOC3"/>
        <w:rPr>
          <w:rFonts w:asciiTheme="minorHAnsi" w:eastAsiaTheme="minorEastAsia" w:hAnsiTheme="minorHAnsi" w:cstheme="minorBidi"/>
          <w:b w:val="0"/>
          <w:noProof/>
          <w:kern w:val="0"/>
          <w:szCs w:val="22"/>
        </w:rPr>
      </w:pPr>
      <w:r>
        <w:rPr>
          <w:noProof/>
        </w:rPr>
        <w:t>Office of Parliamentary Counsel</w:t>
      </w:r>
      <w:r>
        <w:rPr>
          <w:noProof/>
        </w:rPr>
        <w:tab/>
      </w:r>
      <w:r>
        <w:rPr>
          <w:noProof/>
        </w:rPr>
        <w:fldChar w:fldCharType="begin"/>
      </w:r>
      <w:r>
        <w:rPr>
          <w:noProof/>
        </w:rPr>
        <w:instrText xml:space="preserve"> PAGEREF _Toc183694758 \h </w:instrText>
      </w:r>
      <w:r>
        <w:rPr>
          <w:noProof/>
        </w:rPr>
      </w:r>
      <w:r>
        <w:rPr>
          <w:noProof/>
        </w:rPr>
        <w:fldChar w:fldCharType="separate"/>
      </w:r>
      <w:r w:rsidR="00833171">
        <w:rPr>
          <w:noProof/>
        </w:rPr>
        <w:t>92</w:t>
      </w:r>
      <w:r>
        <w:rPr>
          <w:noProof/>
        </w:rPr>
        <w:fldChar w:fldCharType="end"/>
      </w:r>
    </w:p>
    <w:p w14:paraId="67BED27B" w14:textId="72388A5D" w:rsidR="00C41883" w:rsidRDefault="00C41883">
      <w:pPr>
        <w:pStyle w:val="TOC3"/>
        <w:rPr>
          <w:rFonts w:asciiTheme="minorHAnsi" w:eastAsiaTheme="minorEastAsia" w:hAnsiTheme="minorHAnsi" w:cstheme="minorBidi"/>
          <w:b w:val="0"/>
          <w:noProof/>
          <w:kern w:val="0"/>
          <w:szCs w:val="22"/>
        </w:rPr>
      </w:pPr>
      <w:r>
        <w:rPr>
          <w:noProof/>
        </w:rPr>
        <w:t>Table Offices</w:t>
      </w:r>
      <w:r>
        <w:rPr>
          <w:noProof/>
        </w:rPr>
        <w:tab/>
      </w:r>
      <w:r>
        <w:rPr>
          <w:noProof/>
        </w:rPr>
        <w:fldChar w:fldCharType="begin"/>
      </w:r>
      <w:r>
        <w:rPr>
          <w:noProof/>
        </w:rPr>
        <w:instrText xml:space="preserve"> PAGEREF _Toc183694759 \h </w:instrText>
      </w:r>
      <w:r>
        <w:rPr>
          <w:noProof/>
        </w:rPr>
      </w:r>
      <w:r>
        <w:rPr>
          <w:noProof/>
        </w:rPr>
        <w:fldChar w:fldCharType="separate"/>
      </w:r>
      <w:r w:rsidR="00833171">
        <w:rPr>
          <w:noProof/>
        </w:rPr>
        <w:t>92</w:t>
      </w:r>
      <w:r>
        <w:rPr>
          <w:noProof/>
        </w:rPr>
        <w:fldChar w:fldCharType="end"/>
      </w:r>
    </w:p>
    <w:p w14:paraId="1E9DB3CB" w14:textId="54B3748E" w:rsidR="00C41883" w:rsidRDefault="00C41883">
      <w:pPr>
        <w:pStyle w:val="TOC3"/>
        <w:rPr>
          <w:rFonts w:asciiTheme="minorHAnsi" w:eastAsiaTheme="minorEastAsia" w:hAnsiTheme="minorHAnsi" w:cstheme="minorBidi"/>
          <w:b w:val="0"/>
          <w:noProof/>
          <w:kern w:val="0"/>
          <w:szCs w:val="22"/>
        </w:rPr>
      </w:pPr>
      <w:r>
        <w:rPr>
          <w:noProof/>
        </w:rPr>
        <w:t>Attorney</w:t>
      </w:r>
      <w:r>
        <w:rPr>
          <w:noProof/>
        </w:rPr>
        <w:noBreakHyphen/>
        <w:t>General’s Department</w:t>
      </w:r>
      <w:r>
        <w:rPr>
          <w:noProof/>
        </w:rPr>
        <w:tab/>
      </w:r>
      <w:r>
        <w:rPr>
          <w:noProof/>
        </w:rPr>
        <w:fldChar w:fldCharType="begin"/>
      </w:r>
      <w:r>
        <w:rPr>
          <w:noProof/>
        </w:rPr>
        <w:instrText xml:space="preserve"> PAGEREF _Toc183694760 \h </w:instrText>
      </w:r>
      <w:r>
        <w:rPr>
          <w:noProof/>
        </w:rPr>
      </w:r>
      <w:r>
        <w:rPr>
          <w:noProof/>
        </w:rPr>
        <w:fldChar w:fldCharType="separate"/>
      </w:r>
      <w:r w:rsidR="00833171">
        <w:rPr>
          <w:noProof/>
        </w:rPr>
        <w:t>92</w:t>
      </w:r>
      <w:r>
        <w:rPr>
          <w:noProof/>
        </w:rPr>
        <w:fldChar w:fldCharType="end"/>
      </w:r>
    </w:p>
    <w:p w14:paraId="230736EF" w14:textId="1143B4A7" w:rsidR="00C41883" w:rsidRDefault="00C41883">
      <w:pPr>
        <w:pStyle w:val="TOC3"/>
        <w:rPr>
          <w:rFonts w:asciiTheme="minorHAnsi" w:eastAsiaTheme="minorEastAsia" w:hAnsiTheme="minorHAnsi" w:cstheme="minorBidi"/>
          <w:b w:val="0"/>
          <w:noProof/>
          <w:kern w:val="0"/>
          <w:szCs w:val="22"/>
        </w:rPr>
      </w:pPr>
      <w:r>
        <w:rPr>
          <w:noProof/>
        </w:rPr>
        <w:t>Department of the Prime Minister and Cabinet</w:t>
      </w:r>
      <w:r>
        <w:rPr>
          <w:noProof/>
        </w:rPr>
        <w:tab/>
      </w:r>
      <w:r>
        <w:rPr>
          <w:noProof/>
        </w:rPr>
        <w:fldChar w:fldCharType="begin"/>
      </w:r>
      <w:r>
        <w:rPr>
          <w:noProof/>
        </w:rPr>
        <w:instrText xml:space="preserve"> PAGEREF _Toc183694761 \h </w:instrText>
      </w:r>
      <w:r>
        <w:rPr>
          <w:noProof/>
        </w:rPr>
      </w:r>
      <w:r>
        <w:rPr>
          <w:noProof/>
        </w:rPr>
        <w:fldChar w:fldCharType="separate"/>
      </w:r>
      <w:r w:rsidR="00833171">
        <w:rPr>
          <w:noProof/>
        </w:rPr>
        <w:t>92</w:t>
      </w:r>
      <w:r>
        <w:rPr>
          <w:noProof/>
        </w:rPr>
        <w:fldChar w:fldCharType="end"/>
      </w:r>
    </w:p>
    <w:p w14:paraId="66D32D8A" w14:textId="67528468" w:rsidR="00C41883" w:rsidRDefault="00C41883">
      <w:pPr>
        <w:pStyle w:val="TOC3"/>
        <w:rPr>
          <w:rFonts w:asciiTheme="minorHAnsi" w:eastAsiaTheme="minorEastAsia" w:hAnsiTheme="minorHAnsi" w:cstheme="minorBidi"/>
          <w:b w:val="0"/>
          <w:noProof/>
          <w:kern w:val="0"/>
          <w:szCs w:val="22"/>
        </w:rPr>
      </w:pPr>
      <w:r>
        <w:rPr>
          <w:noProof/>
        </w:rPr>
        <w:t>Parliamentary committees</w:t>
      </w:r>
      <w:r>
        <w:rPr>
          <w:noProof/>
        </w:rPr>
        <w:tab/>
      </w:r>
      <w:r>
        <w:rPr>
          <w:noProof/>
        </w:rPr>
        <w:fldChar w:fldCharType="begin"/>
      </w:r>
      <w:r>
        <w:rPr>
          <w:noProof/>
        </w:rPr>
        <w:instrText xml:space="preserve"> PAGEREF _Toc183694762 \h </w:instrText>
      </w:r>
      <w:r>
        <w:rPr>
          <w:noProof/>
        </w:rPr>
      </w:r>
      <w:r>
        <w:rPr>
          <w:noProof/>
        </w:rPr>
        <w:fldChar w:fldCharType="separate"/>
      </w:r>
      <w:r w:rsidR="00833171">
        <w:rPr>
          <w:noProof/>
        </w:rPr>
        <w:t>92</w:t>
      </w:r>
      <w:r>
        <w:rPr>
          <w:noProof/>
        </w:rPr>
        <w:fldChar w:fldCharType="end"/>
      </w:r>
    </w:p>
    <w:p w14:paraId="4E86E23F" w14:textId="348C984C" w:rsidR="00C41883" w:rsidRDefault="00C41883">
      <w:pPr>
        <w:pStyle w:val="TOC2"/>
        <w:rPr>
          <w:rFonts w:asciiTheme="minorHAnsi" w:eastAsiaTheme="minorEastAsia" w:hAnsiTheme="minorHAnsi" w:cstheme="minorBidi"/>
          <w:b w:val="0"/>
          <w:noProof/>
          <w:kern w:val="0"/>
          <w:sz w:val="22"/>
          <w:szCs w:val="22"/>
        </w:rPr>
      </w:pPr>
      <w:r>
        <w:rPr>
          <w:noProof/>
        </w:rPr>
        <w:t>Document history</w:t>
      </w:r>
      <w:r>
        <w:rPr>
          <w:noProof/>
        </w:rPr>
        <w:tab/>
      </w:r>
      <w:r>
        <w:rPr>
          <w:noProof/>
        </w:rPr>
        <w:fldChar w:fldCharType="begin"/>
      </w:r>
      <w:r>
        <w:rPr>
          <w:noProof/>
        </w:rPr>
        <w:instrText xml:space="preserve"> PAGEREF _Toc183694763 \h </w:instrText>
      </w:r>
      <w:r>
        <w:rPr>
          <w:noProof/>
        </w:rPr>
      </w:r>
      <w:r>
        <w:rPr>
          <w:noProof/>
        </w:rPr>
        <w:fldChar w:fldCharType="separate"/>
      </w:r>
      <w:r w:rsidR="00833171">
        <w:rPr>
          <w:noProof/>
        </w:rPr>
        <w:t>93</w:t>
      </w:r>
      <w:r>
        <w:rPr>
          <w:noProof/>
        </w:rPr>
        <w:fldChar w:fldCharType="end"/>
      </w:r>
    </w:p>
    <w:p w14:paraId="15870168" w14:textId="58628F02" w:rsidR="00727ED5" w:rsidRPr="00FD274F" w:rsidRDefault="00727ED5" w:rsidP="00805ED3">
      <w:pPr>
        <w:spacing w:line="240" w:lineRule="auto"/>
      </w:pPr>
      <w:r w:rsidRPr="00805ED3">
        <w:rPr>
          <w:rFonts w:cs="Times New Roman"/>
          <w:sz w:val="20"/>
        </w:rPr>
        <w:fldChar w:fldCharType="end"/>
      </w:r>
      <w:bookmarkStart w:id="5" w:name="Chapter1"/>
    </w:p>
    <w:p w14:paraId="774DBBAF" w14:textId="77777777" w:rsidR="00AF024F" w:rsidRPr="00FD274F" w:rsidRDefault="00AF024F" w:rsidP="004855B6">
      <w:pPr>
        <w:pStyle w:val="Head2"/>
        <w:sectPr w:rsidR="00AF024F" w:rsidRPr="00FD274F" w:rsidSect="00782976">
          <w:headerReference w:type="even" r:id="rId20"/>
          <w:headerReference w:type="default" r:id="rId21"/>
          <w:footerReference w:type="even" r:id="rId22"/>
          <w:footerReference w:type="default" r:id="rId23"/>
          <w:headerReference w:type="first" r:id="rId24"/>
          <w:footerReference w:type="first" r:id="rId25"/>
          <w:pgSz w:w="11907" w:h="16839" w:code="9"/>
          <w:pgMar w:top="1440" w:right="1440" w:bottom="1440" w:left="1440" w:header="720" w:footer="567" w:gutter="0"/>
          <w:pgNumType w:fmt="lowerRoman" w:start="1"/>
          <w:cols w:sep="1" w:space="567"/>
          <w:titlePg/>
          <w:docGrid w:linePitch="360"/>
        </w:sectPr>
      </w:pPr>
    </w:p>
    <w:p w14:paraId="38B60399" w14:textId="77777777" w:rsidR="00090F15" w:rsidRPr="00FD274F" w:rsidRDefault="00090F15" w:rsidP="00090F15">
      <w:pPr>
        <w:pStyle w:val="Head2"/>
        <w:rPr>
          <w:sz w:val="36"/>
        </w:rPr>
      </w:pPr>
      <w:bookmarkStart w:id="6" w:name="_Toc183694618"/>
      <w:bookmarkEnd w:id="5"/>
      <w:r w:rsidRPr="00FD274F">
        <w:rPr>
          <w:sz w:val="36"/>
        </w:rPr>
        <w:lastRenderedPageBreak/>
        <w:t>Part 1—Matters relevant to all instruments</w:t>
      </w:r>
      <w:bookmarkEnd w:id="6"/>
    </w:p>
    <w:p w14:paraId="39B4DFD8" w14:textId="77777777" w:rsidR="00090F15" w:rsidRPr="00FD274F" w:rsidRDefault="00090F15" w:rsidP="00090F15">
      <w:pPr>
        <w:pStyle w:val="Head2"/>
      </w:pPr>
      <w:bookmarkStart w:id="7" w:name="_Toc183694619"/>
      <w:r w:rsidRPr="00FD274F">
        <w:t>Chapter 1—Introduction</w:t>
      </w:r>
      <w:bookmarkEnd w:id="7"/>
    </w:p>
    <w:p w14:paraId="6AFC4472" w14:textId="77777777" w:rsidR="00090F15" w:rsidRPr="00FD274F" w:rsidRDefault="00090F15" w:rsidP="00090F15">
      <w:pPr>
        <w:pStyle w:val="SundryBoxHeadBold"/>
      </w:pPr>
      <w:r w:rsidRPr="00FD274F">
        <w:t>Main points</w:t>
      </w:r>
    </w:p>
    <w:p w14:paraId="6ADAC797" w14:textId="24E81C79" w:rsidR="00090F15" w:rsidRPr="00FD274F" w:rsidRDefault="00090F15" w:rsidP="00090F15">
      <w:pPr>
        <w:pStyle w:val="SundryBoxBullet"/>
      </w:pPr>
      <w:r w:rsidRPr="00FD274F">
        <w:t>•</w:t>
      </w:r>
      <w:r w:rsidRPr="00FD274F">
        <w:tab/>
        <w:t xml:space="preserve">The </w:t>
      </w:r>
      <w:hyperlink r:id="rId26" w:history="1">
        <w:r w:rsidRPr="00FD274F">
          <w:rPr>
            <w:rStyle w:val="Hyperlink"/>
            <w:i/>
            <w:color w:val="auto"/>
          </w:rPr>
          <w:t>Legislation Act 2003</w:t>
        </w:r>
      </w:hyperlink>
      <w:r w:rsidRPr="00FD274F">
        <w:t xml:space="preserve"> is an Act of general application. It establishes a comprehensive regime for the making, publication and review of legislation and related material.</w:t>
      </w:r>
    </w:p>
    <w:p w14:paraId="6627E78F" w14:textId="77777777" w:rsidR="00090F15" w:rsidRPr="00FD274F" w:rsidRDefault="00090F15" w:rsidP="00090F15">
      <w:pPr>
        <w:pStyle w:val="Head3"/>
      </w:pPr>
      <w:bookmarkStart w:id="8" w:name="_Toc183694620"/>
      <w:r w:rsidRPr="00FD274F">
        <w:t>Background</w:t>
      </w:r>
      <w:bookmarkEnd w:id="8"/>
    </w:p>
    <w:p w14:paraId="23EB54F5" w14:textId="77990CBE" w:rsidR="00090F15" w:rsidRPr="00FD274F" w:rsidRDefault="00090F15" w:rsidP="00090F15">
      <w:pPr>
        <w:pStyle w:val="BodyNum"/>
        <w:numPr>
          <w:ilvl w:val="0"/>
          <w:numId w:val="3"/>
        </w:numPr>
      </w:pPr>
      <w:r w:rsidRPr="00FD274F">
        <w:t xml:space="preserve">The </w:t>
      </w:r>
      <w:hyperlink r:id="rId27" w:history="1">
        <w:r w:rsidRPr="00B00B38">
          <w:rPr>
            <w:rStyle w:val="Hyperlink"/>
            <w:i/>
          </w:rPr>
          <w:t>Legislation Act 2003</w:t>
        </w:r>
        <w:r w:rsidRPr="00B00B38">
          <w:t xml:space="preserve"> </w:t>
        </w:r>
      </w:hyperlink>
      <w:r w:rsidRPr="00B00B38">
        <w:t xml:space="preserve">(the </w:t>
      </w:r>
      <w:r w:rsidRPr="00B00B38">
        <w:rPr>
          <w:b/>
          <w:i/>
        </w:rPr>
        <w:t>L</w:t>
      </w:r>
      <w:r w:rsidRPr="00CC7302">
        <w:rPr>
          <w:b/>
          <w:i/>
        </w:rPr>
        <w:t>A</w:t>
      </w:r>
      <w:r>
        <w:t xml:space="preserve">) </w:t>
      </w:r>
      <w:r w:rsidRPr="00FD274F">
        <w:t>underpins open and transparent government by making a large body of legislation and related material subject to publication and review.</w:t>
      </w:r>
    </w:p>
    <w:p w14:paraId="16270616" w14:textId="77777777" w:rsidR="00090F15" w:rsidRPr="00FD274F" w:rsidRDefault="00090F15" w:rsidP="00090F15">
      <w:pPr>
        <w:pStyle w:val="BodyNum"/>
      </w:pPr>
      <w:r w:rsidRPr="00FD274F">
        <w:t>Under Australia’s Constitution, the Parliament can make laws in the form of Acts of the Parliament, or it can choose to delegate its power to make laws on particular matters to other persons and bodi</w:t>
      </w:r>
      <w:r w:rsidRPr="009A4D26">
        <w:t>es</w:t>
      </w:r>
      <w:r w:rsidRPr="009A4D26">
        <w:rPr>
          <w:rStyle w:val="FootnoteReference"/>
        </w:rPr>
        <w:footnoteReference w:id="1"/>
      </w:r>
      <w:r w:rsidRPr="009A4D26">
        <w:t>.</w:t>
      </w:r>
    </w:p>
    <w:p w14:paraId="72212D9D" w14:textId="7B5F1597" w:rsidR="00090F15" w:rsidRPr="00FD274F" w:rsidRDefault="00090F15" w:rsidP="00090F15">
      <w:pPr>
        <w:pStyle w:val="BodyNum"/>
      </w:pPr>
      <w:r w:rsidRPr="00FD274F">
        <w:t>For many years, related documents (</w:t>
      </w:r>
      <w:r w:rsidRPr="00FD274F">
        <w:rPr>
          <w:b/>
          <w:i/>
        </w:rPr>
        <w:t>instruments</w:t>
      </w:r>
      <w:r w:rsidRPr="00FD274F">
        <w:t xml:space="preserve">) had to be printed centrally under the </w:t>
      </w:r>
      <w:hyperlink r:id="rId28" w:history="1">
        <w:r w:rsidRPr="009A4D26">
          <w:rPr>
            <w:rStyle w:val="Hyperlink"/>
            <w:i/>
          </w:rPr>
          <w:t>Statutory Rules Publication Act 1903</w:t>
        </w:r>
      </w:hyperlink>
      <w:r w:rsidRPr="009A4D26">
        <w:t>, o</w:t>
      </w:r>
      <w:r w:rsidRPr="00FD274F">
        <w:t>r notified in the Commonwealth Gazette. Delegated laws including regulatio</w:t>
      </w:r>
      <w:r w:rsidRPr="009A4D26">
        <w:t xml:space="preserve">ns and rules were also subject to disallowance by either House of the Parliament under the </w:t>
      </w:r>
      <w:hyperlink r:id="rId29" w:history="1">
        <w:r w:rsidRPr="009A4D26">
          <w:rPr>
            <w:rStyle w:val="Hyperlink"/>
            <w:i/>
          </w:rPr>
          <w:t>Acts Interpretation Act 1901</w:t>
        </w:r>
      </w:hyperlink>
      <w:r w:rsidRPr="009A4D26">
        <w:t>.</w:t>
      </w:r>
    </w:p>
    <w:p w14:paraId="7DDFE601" w14:textId="77777777" w:rsidR="00090F15" w:rsidRPr="00FD274F" w:rsidRDefault="00090F15" w:rsidP="00090F15">
      <w:pPr>
        <w:pStyle w:val="BodyNum"/>
      </w:pPr>
      <w:r w:rsidRPr="00FD274F">
        <w:t>Initially these arrangements worked well. However, as many new types of instruments began to emerge from the 1970s onwards, a significant body of law developed that was not published or subject to parliamentary scrutiny. Among other things, this meant that people could be held responsible for failure to comply with laws to which they did not have access.</w:t>
      </w:r>
    </w:p>
    <w:p w14:paraId="1187ABE1" w14:textId="77777777" w:rsidR="00090F15" w:rsidRPr="00FD274F" w:rsidRDefault="00090F15" w:rsidP="00090F15">
      <w:pPr>
        <w:pStyle w:val="BodyNum"/>
      </w:pPr>
      <w:r w:rsidRPr="00FD274F">
        <w:t xml:space="preserve">These issues were highlighted by the Administrative Review Council in its 1992 report </w:t>
      </w:r>
      <w:r w:rsidRPr="00FD274F">
        <w:rPr>
          <w:i/>
        </w:rPr>
        <w:t>R</w:t>
      </w:r>
      <w:r w:rsidRPr="009A4D26">
        <w:rPr>
          <w:i/>
        </w:rPr>
        <w:t>ule Making by Commonwealth Agencies</w:t>
      </w:r>
      <w:r w:rsidRPr="009A4D26">
        <w:rPr>
          <w:rStyle w:val="FootnoteReference"/>
        </w:rPr>
        <w:footnoteReference w:id="2"/>
      </w:r>
      <w:r w:rsidRPr="009A4D26">
        <w:t>. In</w:t>
      </w:r>
      <w:r w:rsidRPr="00FD274F">
        <w:t xml:space="preserve"> this report, the Council proposed that all delegated laws be:</w:t>
      </w:r>
    </w:p>
    <w:p w14:paraId="1CD97F6D" w14:textId="77777777" w:rsidR="00090F15" w:rsidRPr="00FD274F" w:rsidRDefault="00090F15" w:rsidP="00090F15">
      <w:pPr>
        <w:pStyle w:val="BodyPara"/>
      </w:pPr>
      <w:r w:rsidRPr="00FD274F">
        <w:t>subject to consultation before making; and</w:t>
      </w:r>
    </w:p>
    <w:p w14:paraId="5EFA4446" w14:textId="77777777" w:rsidR="00090F15" w:rsidRPr="00FD274F" w:rsidRDefault="00090F15" w:rsidP="00090F15">
      <w:pPr>
        <w:pStyle w:val="BodyPara"/>
      </w:pPr>
      <w:r w:rsidRPr="00FD274F">
        <w:t>drafted to a certain standard; and</w:t>
      </w:r>
    </w:p>
    <w:p w14:paraId="421A1CCD" w14:textId="77777777" w:rsidR="00090F15" w:rsidRPr="00FD274F" w:rsidRDefault="00090F15" w:rsidP="00090F15">
      <w:pPr>
        <w:pStyle w:val="BodyPara"/>
      </w:pPr>
      <w:r w:rsidRPr="00FD274F">
        <w:t>made public and accessible; and</w:t>
      </w:r>
    </w:p>
    <w:p w14:paraId="7ECFC979" w14:textId="77777777" w:rsidR="00090F15" w:rsidRPr="00FD274F" w:rsidRDefault="00090F15" w:rsidP="00090F15">
      <w:pPr>
        <w:pStyle w:val="BodyPara"/>
      </w:pPr>
      <w:r>
        <w:t>tabled in the Parliament; and</w:t>
      </w:r>
    </w:p>
    <w:p w14:paraId="04712178" w14:textId="77777777" w:rsidR="00090F15" w:rsidRPr="00FD274F" w:rsidRDefault="00090F15" w:rsidP="00090F15">
      <w:pPr>
        <w:pStyle w:val="BodyPara"/>
      </w:pPr>
      <w:r w:rsidRPr="00FD274F">
        <w:t>subject to disallowance and sunsetting.</w:t>
      </w:r>
    </w:p>
    <w:p w14:paraId="031DAB79" w14:textId="77777777" w:rsidR="00090F15" w:rsidRPr="00FD274F" w:rsidRDefault="00090F15" w:rsidP="00090F15">
      <w:pPr>
        <w:pStyle w:val="BodyNum"/>
      </w:pPr>
      <w:r w:rsidRPr="00FD274F">
        <w:t xml:space="preserve">The recommendations of the Administrative Review Council were largely adopted when </w:t>
      </w:r>
      <w:r w:rsidRPr="00FD274F">
        <w:rPr>
          <w:szCs w:val="24"/>
        </w:rPr>
        <w:t xml:space="preserve">the </w:t>
      </w:r>
      <w:r w:rsidRPr="00FD274F">
        <w:rPr>
          <w:i/>
          <w:szCs w:val="24"/>
        </w:rPr>
        <w:t>Leg</w:t>
      </w:r>
      <w:r w:rsidRPr="00CC183F">
        <w:rPr>
          <w:i/>
          <w:szCs w:val="24"/>
        </w:rPr>
        <w:t>islative Instruments Act 2003</w:t>
      </w:r>
      <w:r w:rsidRPr="00CC183F">
        <w:rPr>
          <w:szCs w:val="24"/>
        </w:rPr>
        <w:t xml:space="preserve"> </w:t>
      </w:r>
      <w:r w:rsidRPr="00B00B38">
        <w:t xml:space="preserve">(the </w:t>
      </w:r>
      <w:r w:rsidRPr="00B00B38">
        <w:rPr>
          <w:b/>
          <w:i/>
        </w:rPr>
        <w:t>L</w:t>
      </w:r>
      <w:r>
        <w:rPr>
          <w:b/>
          <w:i/>
        </w:rPr>
        <w:t>I</w:t>
      </w:r>
      <w:r w:rsidRPr="00CC7302">
        <w:rPr>
          <w:b/>
          <w:i/>
        </w:rPr>
        <w:t>A</w:t>
      </w:r>
      <w:r>
        <w:t xml:space="preserve">) </w:t>
      </w:r>
      <w:r w:rsidRPr="00CC183F">
        <w:t>w</w:t>
      </w:r>
      <w:r w:rsidRPr="00FD274F">
        <w:t>as enacted</w:t>
      </w:r>
      <w:r>
        <w:t>.</w:t>
      </w:r>
    </w:p>
    <w:p w14:paraId="2448013F" w14:textId="77777777" w:rsidR="00090F15" w:rsidRPr="00FD274F" w:rsidRDefault="00090F15" w:rsidP="00090F15">
      <w:pPr>
        <w:pStyle w:val="Head3"/>
      </w:pPr>
      <w:bookmarkStart w:id="9" w:name="_Toc183694621"/>
      <w:r w:rsidRPr="00FD274F">
        <w:lastRenderedPageBreak/>
        <w:t>The Legislative Instruments Act 2003 (the LIA)</w:t>
      </w:r>
      <w:bookmarkEnd w:id="9"/>
    </w:p>
    <w:p w14:paraId="7964A1E1" w14:textId="77777777" w:rsidR="00090F15" w:rsidRPr="00FD274F" w:rsidRDefault="00090F15" w:rsidP="00090F15">
      <w:pPr>
        <w:pStyle w:val="BodyNum"/>
      </w:pPr>
      <w:r w:rsidRPr="00FD274F">
        <w:t xml:space="preserve">The </w:t>
      </w:r>
      <w:r w:rsidRPr="00CC183F">
        <w:rPr>
          <w:i/>
        </w:rPr>
        <w:t>Legislative Instruments Act 2003</w:t>
      </w:r>
      <w:r w:rsidRPr="00CC183F">
        <w:t xml:space="preserve"> e</w:t>
      </w:r>
      <w:r w:rsidRPr="00FD274F">
        <w:t>stablished a comprehensive regime for the management of Commonwealth legislative instruments, and what was then the Federal Register of Legislative Instruments (</w:t>
      </w:r>
      <w:r w:rsidRPr="00CC7302">
        <w:rPr>
          <w:b/>
          <w:i/>
        </w:rPr>
        <w:t>FRLI</w:t>
      </w:r>
      <w:r w:rsidRPr="00FD274F">
        <w:t>). The Act also:</w:t>
      </w:r>
    </w:p>
    <w:p w14:paraId="24A33D56" w14:textId="77777777" w:rsidR="00090F15" w:rsidRPr="00FD274F" w:rsidRDefault="00090F15" w:rsidP="00090F15">
      <w:pPr>
        <w:pStyle w:val="BodyPara"/>
        <w:spacing w:before="180"/>
      </w:pPr>
      <w:r w:rsidRPr="00FD274F">
        <w:t>created a concept of legislative instrument based on what an instrument did rather than what i</w:t>
      </w:r>
      <w:r>
        <w:t>t</w:t>
      </w:r>
      <w:r w:rsidRPr="00FD274F">
        <w:t xml:space="preserve"> was called; and</w:t>
      </w:r>
    </w:p>
    <w:p w14:paraId="2574C4D1" w14:textId="77777777" w:rsidR="00090F15" w:rsidRPr="00FD274F" w:rsidRDefault="00090F15" w:rsidP="00090F15">
      <w:pPr>
        <w:pStyle w:val="BodyPara"/>
        <w:spacing w:before="180"/>
      </w:pPr>
      <w:r w:rsidRPr="00FD274F">
        <w:t>required the registration of all new legislative instruments made on or after 1 Januar</w:t>
      </w:r>
      <w:r>
        <w:t>y 2005; and</w:t>
      </w:r>
    </w:p>
    <w:p w14:paraId="0BAF3EBA" w14:textId="77777777" w:rsidR="00090F15" w:rsidRPr="00FD274F" w:rsidRDefault="00090F15" w:rsidP="00090F15">
      <w:pPr>
        <w:pStyle w:val="BodyPara"/>
        <w:spacing w:before="180"/>
      </w:pPr>
      <w:r w:rsidRPr="00FD274F">
        <w:t>repealed any older legislative instrument</w:t>
      </w:r>
      <w:r>
        <w:t>s</w:t>
      </w:r>
      <w:r w:rsidRPr="00FD274F">
        <w:t xml:space="preserve"> that w</w:t>
      </w:r>
      <w:r>
        <w:t>ere</w:t>
      </w:r>
      <w:r w:rsidRPr="00FD274F">
        <w:t xml:space="preserve"> not lodged for registration before 1 January 2008, under what was known as </w:t>
      </w:r>
      <w:proofErr w:type="spellStart"/>
      <w:r w:rsidRPr="00FD274F">
        <w:t>backcapture</w:t>
      </w:r>
      <w:proofErr w:type="spellEnd"/>
      <w:r w:rsidRPr="00FD274F">
        <w:t>.</w:t>
      </w:r>
    </w:p>
    <w:p w14:paraId="5D060CE8" w14:textId="77777777" w:rsidR="00090F15" w:rsidRPr="00FD274F" w:rsidRDefault="00090F15" w:rsidP="00090F15">
      <w:pPr>
        <w:pStyle w:val="BodyNum"/>
      </w:pPr>
      <w:bookmarkStart w:id="10" w:name="_Ref442190464"/>
      <w:r w:rsidRPr="00FD274F">
        <w:t>As part of this, the Act required the online publication of every type of instrument that had previously been printed as a Statutory Rule, and of a much wider range of instruments that had not previously been required to be published systematically.</w:t>
      </w:r>
      <w:bookmarkEnd w:id="10"/>
    </w:p>
    <w:p w14:paraId="4C2A07FB" w14:textId="77777777" w:rsidR="00090F15" w:rsidRPr="00FD274F" w:rsidRDefault="00090F15" w:rsidP="00090F15">
      <w:pPr>
        <w:pStyle w:val="BodyNum"/>
      </w:pPr>
      <w:r w:rsidRPr="00FD274F">
        <w:t>A formal review o</w:t>
      </w:r>
      <w:r w:rsidRPr="00CC183F">
        <w:t>f the LIA c</w:t>
      </w:r>
      <w:r w:rsidRPr="00FD274F">
        <w:t>onducted over 2008</w:t>
      </w:r>
      <w:r>
        <w:noBreakHyphen/>
      </w:r>
      <w:r w:rsidRPr="00FD274F">
        <w:t>09 found that it had “fundamentally changed the way in which Commonwealth legislative instruments are made, published and reviewed. It gives effect to important principles of access to the law and review of executive action which underpin open and accountable government</w:t>
      </w:r>
      <w:r w:rsidRPr="009A4D26">
        <w:t>”</w:t>
      </w:r>
      <w:r w:rsidRPr="009A4D26">
        <w:rPr>
          <w:rStyle w:val="FootnoteReference"/>
        </w:rPr>
        <w:footnoteReference w:id="3"/>
      </w:r>
      <w:r w:rsidRPr="009A4D26">
        <w:t>.</w:t>
      </w:r>
    </w:p>
    <w:p w14:paraId="03811103" w14:textId="09CC2943" w:rsidR="00090F15" w:rsidRPr="00FD274F" w:rsidRDefault="00090F15" w:rsidP="00090F15">
      <w:pPr>
        <w:pStyle w:val="BodyNum"/>
      </w:pPr>
      <w:r w:rsidRPr="00FD274F">
        <w:t xml:space="preserve">The review also made a number of recommendations, including to amend the LIA to cover a wider range of instruments. Relevant legislation was enacted in stages, culminating in the commencement of the </w:t>
      </w:r>
      <w:hyperlink r:id="rId30" w:history="1">
        <w:r w:rsidRPr="009A4D26">
          <w:rPr>
            <w:rStyle w:val="Hyperlink"/>
            <w:i/>
          </w:rPr>
          <w:t>Acts and Instruments (Framework Reform) Act 2015</w:t>
        </w:r>
      </w:hyperlink>
      <w:r w:rsidRPr="009A4D26">
        <w:t xml:space="preserve"> a</w:t>
      </w:r>
      <w:r w:rsidRPr="00FD274F">
        <w:t xml:space="preserve">nd in the LIA becoming the </w:t>
      </w:r>
      <w:r w:rsidRPr="00FD274F">
        <w:rPr>
          <w:i/>
        </w:rPr>
        <w:t>Legislation Act 2003</w:t>
      </w:r>
      <w:r w:rsidRPr="00FD274F">
        <w:t xml:space="preserve"> on 5 March 2016.</w:t>
      </w:r>
    </w:p>
    <w:p w14:paraId="097657FD" w14:textId="55D0C323" w:rsidR="00090F15" w:rsidRPr="00FD274F" w:rsidRDefault="00090F15" w:rsidP="00090F15">
      <w:pPr>
        <w:pStyle w:val="Head3"/>
      </w:pPr>
      <w:bookmarkStart w:id="11" w:name="_Toc183694622"/>
      <w:r w:rsidRPr="00FD274F">
        <w:t>The Legislation Act 2003</w:t>
      </w:r>
      <w:r w:rsidR="00F41A6C">
        <w:t xml:space="preserve"> (the LA)</w:t>
      </w:r>
      <w:bookmarkEnd w:id="11"/>
    </w:p>
    <w:p w14:paraId="1C1A4BB8" w14:textId="77777777" w:rsidR="00090F15" w:rsidRPr="00FD274F" w:rsidRDefault="00090F15" w:rsidP="00090F15">
      <w:pPr>
        <w:pStyle w:val="BodyNum"/>
      </w:pPr>
      <w:r w:rsidRPr="00FD274F">
        <w:t xml:space="preserve">The </w:t>
      </w:r>
      <w:r w:rsidRPr="00FD274F">
        <w:rPr>
          <w:i/>
        </w:rPr>
        <w:t>Legislation Act 2003</w:t>
      </w:r>
      <w:r w:rsidRPr="00FD274F">
        <w:t xml:space="preserve"> establishes a comprehensive regime for the publication of all Commonwealth legislation and related notices. Of particular note is that:</w:t>
      </w:r>
    </w:p>
    <w:p w14:paraId="37D79E45" w14:textId="77777777" w:rsidR="00090F15" w:rsidRPr="00FD274F" w:rsidRDefault="00090F15" w:rsidP="00090F15">
      <w:pPr>
        <w:pStyle w:val="BodyPara"/>
        <w:spacing w:before="180"/>
      </w:pPr>
      <w:r w:rsidRPr="00FD274F">
        <w:t xml:space="preserve">it extends to Commonwealth Acts, the publication of which was previously </w:t>
      </w:r>
      <w:r>
        <w:t>governed by a separate Act; and</w:t>
      </w:r>
    </w:p>
    <w:p w14:paraId="65DFA165" w14:textId="77777777" w:rsidR="00090F15" w:rsidRPr="00FD274F" w:rsidRDefault="00090F15" w:rsidP="00090F15">
      <w:pPr>
        <w:pStyle w:val="BodyPara"/>
        <w:spacing w:before="180"/>
      </w:pPr>
      <w:r w:rsidRPr="00FD274F">
        <w:t>it also establishes a category of notifiable instrument</w:t>
      </w:r>
      <w:r>
        <w:t>s</w:t>
      </w:r>
      <w:r w:rsidRPr="00FD274F">
        <w:t>, for notices of a legal nature that are not legislative but still of long</w:t>
      </w:r>
      <w:r>
        <w:noBreakHyphen/>
      </w:r>
      <w:r w:rsidRPr="00FD274F">
        <w:t>term public interest; and</w:t>
      </w:r>
    </w:p>
    <w:p w14:paraId="4F3F81D9" w14:textId="77777777" w:rsidR="00090F15" w:rsidRPr="00FD274F" w:rsidRDefault="00090F15" w:rsidP="00090F15">
      <w:pPr>
        <w:pStyle w:val="BodyPara"/>
        <w:spacing w:before="180"/>
      </w:pPr>
      <w:r w:rsidRPr="00FD274F">
        <w:t>it does not change existing requirements relating to the development and scrutiny of legislative instruments (e.g. disallowance and sunsetting).</w:t>
      </w:r>
    </w:p>
    <w:p w14:paraId="526539B9" w14:textId="77777777" w:rsidR="00090F15" w:rsidRPr="00FA2521" w:rsidRDefault="00090F15" w:rsidP="00090F15">
      <w:pPr>
        <w:pStyle w:val="Head3"/>
      </w:pPr>
      <w:bookmarkStart w:id="12" w:name="_Toc183694623"/>
      <w:r w:rsidRPr="00FA2521">
        <w:t>Sunsetting Review</w:t>
      </w:r>
      <w:bookmarkEnd w:id="12"/>
    </w:p>
    <w:p w14:paraId="10644A86" w14:textId="531F93D7" w:rsidR="00090F15" w:rsidRPr="00FA2521" w:rsidRDefault="00090F15" w:rsidP="00090F15">
      <w:pPr>
        <w:pStyle w:val="BodyNum"/>
      </w:pPr>
      <w:r w:rsidRPr="00FA2521">
        <w:t xml:space="preserve">In 2017, the </w:t>
      </w:r>
      <w:hyperlink r:id="rId31" w:history="1">
        <w:r w:rsidRPr="00CC183F">
          <w:rPr>
            <w:rStyle w:val="Hyperlink"/>
          </w:rPr>
          <w:t>LA</w:t>
        </w:r>
      </w:hyperlink>
      <w:r w:rsidRPr="00FA2521">
        <w:t xml:space="preserve"> was subject to a review of sunsetting and related matters specified by the Attorney</w:t>
      </w:r>
      <w:r>
        <w:noBreakHyphen/>
      </w:r>
      <w:r w:rsidRPr="00FA2521">
        <w:t xml:space="preserve">General under </w:t>
      </w:r>
      <w:r w:rsidRPr="00CC183F">
        <w:t xml:space="preserve">section 60 of the </w:t>
      </w:r>
      <w:hyperlink r:id="rId32" w:history="1">
        <w:r w:rsidRPr="00CC183F">
          <w:rPr>
            <w:rStyle w:val="Hyperlink"/>
          </w:rPr>
          <w:t>LA</w:t>
        </w:r>
      </w:hyperlink>
      <w:r w:rsidRPr="00CC183F">
        <w:t>.</w:t>
      </w:r>
    </w:p>
    <w:p w14:paraId="6A9521A2" w14:textId="77777777" w:rsidR="00DF16BE" w:rsidRPr="00FA2521" w:rsidRDefault="00DF16BE" w:rsidP="00DF16BE">
      <w:pPr>
        <w:pStyle w:val="BodyNum"/>
      </w:pPr>
      <w:r w:rsidRPr="00FA2521">
        <w:lastRenderedPageBreak/>
        <w:t xml:space="preserve">The </w:t>
      </w:r>
      <w:r w:rsidRPr="009805B7">
        <w:rPr>
          <w:i/>
        </w:rPr>
        <w:t>Report on the Operation of the Sunsetting Provisions in the Legislation Act 2003</w:t>
      </w:r>
      <w:r w:rsidRPr="009805B7">
        <w:t>, published in September 2017</w:t>
      </w:r>
      <w:r w:rsidRPr="009805B7">
        <w:rPr>
          <w:rStyle w:val="FootnoteReference"/>
        </w:rPr>
        <w:footnoteReference w:id="4"/>
      </w:r>
      <w:r w:rsidRPr="009805B7">
        <w:t>,</w:t>
      </w:r>
      <w:r w:rsidRPr="00FA2521">
        <w:t xml:space="preserve"> made a number of recommendations. Overall, the review supported the sunsetting framework and recommended that the 10</w:t>
      </w:r>
      <w:r>
        <w:noBreakHyphen/>
      </w:r>
      <w:r w:rsidRPr="00FA2521">
        <w:t>year</w:t>
      </w:r>
      <w:r>
        <w:t xml:space="preserve"> sunsetting period be maintained.</w:t>
      </w:r>
    </w:p>
    <w:p w14:paraId="763835D1" w14:textId="77777777" w:rsidR="00DF16BE" w:rsidRDefault="00DF16BE" w:rsidP="00DF16BE">
      <w:pPr>
        <w:pStyle w:val="BodyNum"/>
      </w:pPr>
      <w:r>
        <w:t>Some of the other recommendations include that:</w:t>
      </w:r>
    </w:p>
    <w:p w14:paraId="65757754" w14:textId="77777777" w:rsidR="00DF16BE" w:rsidRDefault="00DF16BE" w:rsidP="00DF16BE">
      <w:pPr>
        <w:pStyle w:val="BodyPara"/>
      </w:pPr>
      <w:r>
        <w:t xml:space="preserve">the sunsetting framework </w:t>
      </w:r>
      <w:proofErr w:type="gramStart"/>
      <w:r>
        <w:t>not be</w:t>
      </w:r>
      <w:proofErr w:type="gramEnd"/>
      <w:r>
        <w:t xml:space="preserve"> extended to Acts; and</w:t>
      </w:r>
    </w:p>
    <w:p w14:paraId="666FBAA3" w14:textId="77777777" w:rsidR="00DF16BE" w:rsidRDefault="00DF16BE" w:rsidP="00DF16BE">
      <w:pPr>
        <w:pStyle w:val="BodyPara"/>
      </w:pPr>
      <w:r>
        <w:t>another review of sunsetting provisions be undertaken by 1 October 2027.</w:t>
      </w:r>
    </w:p>
    <w:p w14:paraId="6757F959" w14:textId="56ACFEB7" w:rsidR="00DF16BE" w:rsidRDefault="00DF16BE" w:rsidP="00DF16BE">
      <w:pPr>
        <w:pStyle w:val="BodyNum"/>
      </w:pPr>
      <w:r>
        <w:t xml:space="preserve">The </w:t>
      </w:r>
      <w:hyperlink r:id="rId33" w:history="1">
        <w:r w:rsidRPr="009805B7">
          <w:rPr>
            <w:rStyle w:val="Hyperlink"/>
            <w:i/>
          </w:rPr>
          <w:t>Legislation Amendment (Sunsetting Review and Other Measures) Act 2018</w:t>
        </w:r>
      </w:hyperlink>
      <w:r w:rsidRPr="009805B7">
        <w:t xml:space="preserve"> was</w:t>
      </w:r>
      <w:r>
        <w:t xml:space="preserve"> assented to on 24 August 2018. The Act addresses a number of the Sunsetting Review recommendations</w:t>
      </w:r>
      <w:r w:rsidR="00DC31FD">
        <w:t>,</w:t>
      </w:r>
      <w:r>
        <w:t xml:space="preserve"> including that:</w:t>
      </w:r>
    </w:p>
    <w:p w14:paraId="3505A805" w14:textId="77777777" w:rsidR="00DF16BE" w:rsidRDefault="00DF16BE" w:rsidP="00DF16BE">
      <w:pPr>
        <w:pStyle w:val="BodyPara"/>
      </w:pPr>
      <w:r>
        <w:t>the Attorney</w:t>
      </w:r>
      <w:r>
        <w:noBreakHyphen/>
        <w:t>General be allowed to grant deferrals of sunsetting for up to 24 months; and</w:t>
      </w:r>
    </w:p>
    <w:p w14:paraId="350B95BE" w14:textId="41B064D5" w:rsidR="00DF16BE" w:rsidRDefault="00DF16BE" w:rsidP="00DF16BE">
      <w:pPr>
        <w:pStyle w:val="BodyPara"/>
      </w:pPr>
      <w:r>
        <w:t>Parliament be allowed to pass a resolution to roll over a legislative instrument at any time after that instrument is mentioned in the sunsetting list or a certificate of deferral; and</w:t>
      </w:r>
    </w:p>
    <w:p w14:paraId="187C7045" w14:textId="6E198E8C" w:rsidR="00DF16BE" w:rsidRDefault="00DF16BE" w:rsidP="00DF16BE">
      <w:pPr>
        <w:pStyle w:val="BodyPara"/>
      </w:pPr>
      <w:r>
        <w:t xml:space="preserve">rules of court should be subject to the registration and publication requirements of the </w:t>
      </w:r>
      <w:hyperlink r:id="rId34" w:history="1">
        <w:r w:rsidRPr="00657CF9">
          <w:rPr>
            <w:rStyle w:val="Hyperlink"/>
          </w:rPr>
          <w:t>LA</w:t>
        </w:r>
      </w:hyperlink>
      <w:r>
        <w:t xml:space="preserve"> but not subject to sunsetting; and</w:t>
      </w:r>
    </w:p>
    <w:p w14:paraId="78EBBD29" w14:textId="657E72CA" w:rsidR="00DF16BE" w:rsidRDefault="00DF16BE" w:rsidP="00DF16BE">
      <w:pPr>
        <w:pStyle w:val="BodyPara"/>
      </w:pPr>
      <w:r>
        <w:t xml:space="preserve">automatic repeal of disallowable legislative instruments under Division 1 of Part 3 of Chapter 3 of the </w:t>
      </w:r>
      <w:hyperlink r:id="rId35" w:history="1">
        <w:r w:rsidRPr="00657CF9">
          <w:rPr>
            <w:rStyle w:val="Hyperlink"/>
          </w:rPr>
          <w:t>LA</w:t>
        </w:r>
      </w:hyperlink>
      <w:r w:rsidRPr="00657CF9">
        <w:t xml:space="preserve"> do</w:t>
      </w:r>
      <w:r>
        <w:t xml:space="preserve"> not operate before the end of the disallowance period; and</w:t>
      </w:r>
    </w:p>
    <w:p w14:paraId="06C4D3A5" w14:textId="3F0698CF" w:rsidR="00DF16BE" w:rsidRDefault="00DF16BE" w:rsidP="00DF16BE">
      <w:pPr>
        <w:pStyle w:val="BodyPara"/>
      </w:pPr>
      <w:r>
        <w:t xml:space="preserve">the term </w:t>
      </w:r>
      <w:r>
        <w:rPr>
          <w:b/>
          <w:i/>
        </w:rPr>
        <w:t>sitting day</w:t>
      </w:r>
      <w:r>
        <w:t xml:space="preserve"> be defined in t</w:t>
      </w:r>
      <w:r w:rsidRPr="009805B7">
        <w:t xml:space="preserve">he </w:t>
      </w:r>
      <w:hyperlink r:id="rId36" w:history="1">
        <w:r w:rsidRPr="009A4D26">
          <w:rPr>
            <w:rStyle w:val="Hyperlink"/>
            <w:i/>
          </w:rPr>
          <w:t>Acts Interpretation Act 1901</w:t>
        </w:r>
      </w:hyperlink>
      <w:r w:rsidRPr="009805B7">
        <w:t>.</w:t>
      </w:r>
    </w:p>
    <w:p w14:paraId="47F81D42" w14:textId="77777777" w:rsidR="00DF16BE" w:rsidRPr="00FD274F" w:rsidRDefault="00DF16BE" w:rsidP="00DF16BE">
      <w:pPr>
        <w:pStyle w:val="Head3"/>
      </w:pPr>
      <w:bookmarkStart w:id="13" w:name="_Toc183694624"/>
      <w:r w:rsidRPr="00FD274F">
        <w:t>Further statutory reviews</w:t>
      </w:r>
      <w:bookmarkEnd w:id="13"/>
    </w:p>
    <w:p w14:paraId="0591EB1F" w14:textId="3D0268E3" w:rsidR="006C36A7" w:rsidRDefault="00DF16BE" w:rsidP="00C41883">
      <w:pPr>
        <w:pStyle w:val="BodyNum"/>
      </w:pPr>
      <w:r w:rsidRPr="00434F5B">
        <w:t>A review of the operation o</w:t>
      </w:r>
      <w:r w:rsidRPr="00657CF9">
        <w:t>f Part 4 of Chapter 3</w:t>
      </w:r>
      <w:r w:rsidRPr="00434F5B">
        <w:t xml:space="preserve"> of the </w:t>
      </w:r>
      <w:hyperlink r:id="rId37" w:history="1">
        <w:r w:rsidRPr="00657CF9">
          <w:rPr>
            <w:rStyle w:val="Hyperlink"/>
          </w:rPr>
          <w:t>LA</w:t>
        </w:r>
      </w:hyperlink>
      <w:r w:rsidRPr="00657CF9">
        <w:t xml:space="preserve"> (</w:t>
      </w:r>
      <w:r w:rsidRPr="00434F5B">
        <w:t xml:space="preserve">sunsetting of legislative instruments) will be conducted in 2027 under section 60 of the </w:t>
      </w:r>
      <w:hyperlink r:id="rId38" w:history="1">
        <w:r w:rsidRPr="00657CF9">
          <w:rPr>
            <w:rStyle w:val="Hyperlink"/>
          </w:rPr>
          <w:t>LA</w:t>
        </w:r>
      </w:hyperlink>
      <w:r w:rsidRPr="00657CF9">
        <w:t>.</w:t>
      </w:r>
      <w:bookmarkStart w:id="14" w:name="Chapter2"/>
    </w:p>
    <w:p w14:paraId="3E1763BA" w14:textId="77777777" w:rsidR="00915ADF" w:rsidRDefault="00915ADF" w:rsidP="00DF16BE">
      <w:pPr>
        <w:pStyle w:val="Head2"/>
        <w:sectPr w:rsidR="00915ADF" w:rsidSect="00590636">
          <w:headerReference w:type="default" r:id="rId39"/>
          <w:footerReference w:type="even" r:id="rId40"/>
          <w:footerReference w:type="default" r:id="rId41"/>
          <w:pgSz w:w="11907" w:h="16839" w:code="9"/>
          <w:pgMar w:top="1440" w:right="1440" w:bottom="1418" w:left="1440" w:header="720" w:footer="720" w:gutter="0"/>
          <w:pgNumType w:start="1"/>
          <w:cols w:sep="1" w:space="567"/>
          <w:docGrid w:linePitch="360"/>
        </w:sectPr>
      </w:pPr>
    </w:p>
    <w:p w14:paraId="6B57319D" w14:textId="6EB441B4" w:rsidR="00DF16BE" w:rsidRPr="00FD274F" w:rsidRDefault="00DF16BE" w:rsidP="00DF16BE">
      <w:pPr>
        <w:pStyle w:val="Head2"/>
      </w:pPr>
      <w:bookmarkStart w:id="15" w:name="_Toc183694625"/>
      <w:r w:rsidRPr="00FD274F">
        <w:lastRenderedPageBreak/>
        <w:t>Chapter 2—Key concepts</w:t>
      </w:r>
      <w:bookmarkEnd w:id="15"/>
    </w:p>
    <w:bookmarkEnd w:id="14"/>
    <w:p w14:paraId="0B174C99" w14:textId="77777777" w:rsidR="00DF16BE" w:rsidRPr="00FD274F" w:rsidRDefault="00DF16BE" w:rsidP="00DF16BE">
      <w:pPr>
        <w:pStyle w:val="SundryBoxHeadBold"/>
      </w:pPr>
      <w:r w:rsidRPr="00FD274F">
        <w:t>Main points</w:t>
      </w:r>
    </w:p>
    <w:p w14:paraId="17E2471A" w14:textId="207E9BF7" w:rsidR="00DF16BE" w:rsidRPr="00FD274F" w:rsidRDefault="00DF16BE" w:rsidP="00DF16BE">
      <w:pPr>
        <w:pStyle w:val="SundryBoxBullet"/>
      </w:pPr>
      <w:r w:rsidRPr="00FD274F">
        <w:t>•</w:t>
      </w:r>
      <w:r w:rsidRPr="00FD274F">
        <w:tab/>
        <w:t xml:space="preserve">The </w:t>
      </w:r>
      <w:hyperlink r:id="rId42" w:history="1">
        <w:r w:rsidRPr="00FC211B">
          <w:rPr>
            <w:rStyle w:val="Hyperlink"/>
          </w:rPr>
          <w:t>LA</w:t>
        </w:r>
      </w:hyperlink>
      <w:r w:rsidRPr="00FC211B">
        <w:rPr>
          <w:rStyle w:val="Hyperlink"/>
        </w:rPr>
        <w:t xml:space="preserve"> </w:t>
      </w:r>
      <w:r w:rsidRPr="00FC211B">
        <w:t>im</w:t>
      </w:r>
      <w:r w:rsidRPr="00FD274F">
        <w:t>poses a number of obligations on rule</w:t>
      </w:r>
      <w:r>
        <w:noBreakHyphen/>
      </w:r>
      <w:r w:rsidRPr="00FD274F">
        <w:t>makers in respect of legislative instruments and notifiable instruments.</w:t>
      </w:r>
    </w:p>
    <w:p w14:paraId="5ECE68CA" w14:textId="343221DB" w:rsidR="00DF16BE" w:rsidRPr="00FD274F" w:rsidRDefault="00DF16BE" w:rsidP="00DF16BE">
      <w:pPr>
        <w:pStyle w:val="SundryBoxBullet"/>
      </w:pPr>
      <w:r w:rsidRPr="00FD274F">
        <w:t>•</w:t>
      </w:r>
      <w:r w:rsidRPr="00FD274F">
        <w:tab/>
      </w:r>
      <w:r>
        <w:t xml:space="preserve">For the purposes of the </w:t>
      </w:r>
      <w:hyperlink r:id="rId43" w:history="1">
        <w:r w:rsidRPr="00FC211B">
          <w:rPr>
            <w:rStyle w:val="Hyperlink"/>
          </w:rPr>
          <w:t>LA</w:t>
        </w:r>
      </w:hyperlink>
      <w:r w:rsidRPr="00FC211B">
        <w:t xml:space="preserve">, the </w:t>
      </w:r>
      <w:r w:rsidRPr="00FC211B">
        <w:rPr>
          <w:b/>
          <w:i/>
        </w:rPr>
        <w:t>r</w:t>
      </w:r>
      <w:r w:rsidRPr="00FD274F">
        <w:rPr>
          <w:b/>
          <w:i/>
        </w:rPr>
        <w:t>ule</w:t>
      </w:r>
      <w:r>
        <w:rPr>
          <w:b/>
          <w:i/>
        </w:rPr>
        <w:noBreakHyphen/>
      </w:r>
      <w:r w:rsidRPr="00FD274F">
        <w:rPr>
          <w:b/>
          <w:i/>
        </w:rPr>
        <w:t>maker</w:t>
      </w:r>
      <w:r w:rsidRPr="00FD274F">
        <w:t xml:space="preserve"> generally refers to the person or body </w:t>
      </w:r>
      <w:r>
        <w:t xml:space="preserve">(or a delegate) </w:t>
      </w:r>
      <w:r w:rsidRPr="00FD274F">
        <w:t>authorised to make an instrument under its enabling legislation.</w:t>
      </w:r>
    </w:p>
    <w:p w14:paraId="2F96FE00" w14:textId="5DBA2F24" w:rsidR="00DF16BE" w:rsidRPr="00FD274F" w:rsidRDefault="00DF16BE" w:rsidP="00DF16BE">
      <w:pPr>
        <w:pStyle w:val="SundryBoxBullet"/>
      </w:pPr>
      <w:r w:rsidRPr="00FD274F">
        <w:t>•</w:t>
      </w:r>
      <w:r w:rsidRPr="00FD274F">
        <w:tab/>
        <w:t>Declarations about whether or not a class of instrument is a legislative instrument or a notifiable instrument can be found in t</w:t>
      </w:r>
      <w:r w:rsidRPr="00FC211B">
        <w:t xml:space="preserve">he </w:t>
      </w:r>
      <w:hyperlink r:id="rId44" w:history="1">
        <w:r w:rsidRPr="00FC211B">
          <w:rPr>
            <w:rStyle w:val="Hyperlink"/>
          </w:rPr>
          <w:t>LA</w:t>
        </w:r>
      </w:hyperlink>
      <w:r w:rsidRPr="00FC211B">
        <w:t xml:space="preserve">, </w:t>
      </w:r>
      <w:hyperlink r:id="rId45" w:history="1">
        <w:r w:rsidRPr="00FC211B">
          <w:rPr>
            <w:rStyle w:val="Hyperlink"/>
          </w:rPr>
          <w:t>LEOMR</w:t>
        </w:r>
      </w:hyperlink>
      <w:r w:rsidRPr="00FC211B">
        <w:t xml:space="preserve"> a</w:t>
      </w:r>
      <w:r w:rsidRPr="00FD274F">
        <w:t>nd some enabling legislation.</w:t>
      </w:r>
    </w:p>
    <w:p w14:paraId="4E9B2010" w14:textId="4AAF5D75" w:rsidR="00DF16BE" w:rsidRPr="00FD274F" w:rsidRDefault="00DF16BE" w:rsidP="00DF16BE">
      <w:pPr>
        <w:pStyle w:val="SundryBoxBullet"/>
      </w:pPr>
      <w:r w:rsidRPr="00FD274F">
        <w:t>•</w:t>
      </w:r>
      <w:r w:rsidRPr="00FD274F">
        <w:tab/>
        <w:t>In the absence of an express declaration, the definition of a</w:t>
      </w:r>
      <w:r w:rsidRPr="00FD274F">
        <w:rPr>
          <w:b/>
        </w:rPr>
        <w:t xml:space="preserve"> </w:t>
      </w:r>
      <w:r w:rsidRPr="00FD274F">
        <w:rPr>
          <w:b/>
          <w:i/>
        </w:rPr>
        <w:t>legislative instrument</w:t>
      </w:r>
      <w:r w:rsidRPr="00FD274F">
        <w:t xml:space="preserve"> in </w:t>
      </w:r>
      <w:r w:rsidRPr="00FC211B">
        <w:t xml:space="preserve">section 8 of the </w:t>
      </w:r>
      <w:hyperlink r:id="rId46" w:history="1">
        <w:r w:rsidRPr="00FC211B">
          <w:rPr>
            <w:rStyle w:val="Hyperlink"/>
          </w:rPr>
          <w:t>LA</w:t>
        </w:r>
      </w:hyperlink>
      <w:r w:rsidRPr="00FD274F">
        <w:rPr>
          <w:rStyle w:val="Hyperlink"/>
        </w:rPr>
        <w:t xml:space="preserve"> </w:t>
      </w:r>
      <w:r w:rsidRPr="00FD274F">
        <w:t>must be applied to an instrument.</w:t>
      </w:r>
    </w:p>
    <w:p w14:paraId="3029EC64" w14:textId="77777777" w:rsidR="00DF16BE" w:rsidRPr="00FD274F" w:rsidRDefault="00DF16BE" w:rsidP="00DF16BE">
      <w:pPr>
        <w:pStyle w:val="SundryBoxBullet"/>
      </w:pPr>
      <w:r w:rsidRPr="00FD274F">
        <w:t>•</w:t>
      </w:r>
      <w:r w:rsidRPr="00FD274F">
        <w:tab/>
        <w:t xml:space="preserve">If it is unclear whether an instrument is a legislative instrument, it would be prudent to get legal advice and </w:t>
      </w:r>
      <w:proofErr w:type="gramStart"/>
      <w:r w:rsidRPr="00FD274F">
        <w:t>take action</w:t>
      </w:r>
      <w:proofErr w:type="gramEnd"/>
      <w:r w:rsidRPr="00FD274F">
        <w:t xml:space="preserve"> if necessary to put the issue beyond doubt.</w:t>
      </w:r>
    </w:p>
    <w:p w14:paraId="535E855B" w14:textId="77777777" w:rsidR="00DF16BE" w:rsidRPr="00FD274F" w:rsidRDefault="00DF16BE" w:rsidP="00DF16BE">
      <w:pPr>
        <w:pStyle w:val="SundryBoxBullet"/>
      </w:pPr>
      <w:r w:rsidRPr="00FD274F">
        <w:t>•</w:t>
      </w:r>
      <w:r w:rsidRPr="00FD274F">
        <w:tab/>
        <w:t>The Federal Register of Legislation is an authorised database of legislation and related material including instruments, their explanatory statements and compilations of instruments as amended.</w:t>
      </w:r>
    </w:p>
    <w:p w14:paraId="6C2EC368" w14:textId="44A13921" w:rsidR="00DF16BE" w:rsidRPr="005023D4" w:rsidRDefault="00DF16BE" w:rsidP="00DF16BE">
      <w:pPr>
        <w:pStyle w:val="SundryBoxBullet"/>
      </w:pPr>
      <w:r w:rsidRPr="00FD274F">
        <w:t>•</w:t>
      </w:r>
      <w:r w:rsidRPr="00FD274F">
        <w:tab/>
        <w:t xml:space="preserve">The Register is accessible online free of charge at </w:t>
      </w:r>
      <w:hyperlink r:id="rId47" w:history="1">
        <w:r w:rsidRPr="00FD274F">
          <w:rPr>
            <w:rStyle w:val="Hyperlink"/>
          </w:rPr>
          <w:t>https://www.legislation.gov.au</w:t>
        </w:r>
      </w:hyperlink>
      <w:r w:rsidRPr="005023D4">
        <w:t>.</w:t>
      </w:r>
    </w:p>
    <w:p w14:paraId="590B5455" w14:textId="77777777" w:rsidR="00DF16BE" w:rsidRPr="00FD274F" w:rsidRDefault="00DF16BE" w:rsidP="00DF16BE">
      <w:pPr>
        <w:pStyle w:val="Head3"/>
      </w:pPr>
      <w:bookmarkStart w:id="16" w:name="_Toc183694626"/>
      <w:r w:rsidRPr="00FD274F">
        <w:t>Who is a rule</w:t>
      </w:r>
      <w:r>
        <w:noBreakHyphen/>
      </w:r>
      <w:r w:rsidRPr="00FD274F">
        <w:t>maker?</w:t>
      </w:r>
      <w:bookmarkEnd w:id="16"/>
    </w:p>
    <w:p w14:paraId="22AF1BEB" w14:textId="781988D7" w:rsidR="00DF16BE" w:rsidRPr="00FD274F" w:rsidRDefault="00DF16BE" w:rsidP="00DF16BE">
      <w:pPr>
        <w:pStyle w:val="BodyNum"/>
      </w:pPr>
      <w:r w:rsidRPr="00FD274F">
        <w:t>Th</w:t>
      </w:r>
      <w:r w:rsidRPr="00FC211B">
        <w:t xml:space="preserve">e </w:t>
      </w:r>
      <w:hyperlink r:id="rId48" w:history="1">
        <w:r w:rsidRPr="00FC211B">
          <w:rPr>
            <w:rStyle w:val="Hyperlink"/>
          </w:rPr>
          <w:t>LA</w:t>
        </w:r>
      </w:hyperlink>
      <w:r w:rsidRPr="00FD274F">
        <w:t xml:space="preserve"> imposes a number of obligations on rule</w:t>
      </w:r>
      <w:r>
        <w:noBreakHyphen/>
      </w:r>
      <w:r w:rsidRPr="00FD274F">
        <w:t>makers, including lodging instruments for registration, and notifying events that may affect the accuracy an</w:t>
      </w:r>
      <w:r>
        <w:t>d completeness of the Register.</w:t>
      </w:r>
    </w:p>
    <w:p w14:paraId="32CED473" w14:textId="4F9179B4" w:rsidR="00DF16BE" w:rsidRPr="00FD274F" w:rsidRDefault="00DF16BE" w:rsidP="00DF16BE">
      <w:pPr>
        <w:pStyle w:val="BodyNum"/>
      </w:pPr>
      <w:r w:rsidRPr="00FD274F">
        <w:t xml:space="preserve">For the purposes of the </w:t>
      </w:r>
      <w:hyperlink r:id="rId49" w:history="1">
        <w:r w:rsidRPr="00FC211B">
          <w:rPr>
            <w:rStyle w:val="Hyperlink"/>
          </w:rPr>
          <w:t>LA</w:t>
        </w:r>
      </w:hyperlink>
      <w:r w:rsidRPr="00FC211B">
        <w:t>,</w:t>
      </w:r>
      <w:r w:rsidRPr="00FD274F">
        <w:t xml:space="preserve"> </w:t>
      </w:r>
      <w:r w:rsidRPr="00FD274F">
        <w:rPr>
          <w:b/>
          <w:i/>
        </w:rPr>
        <w:t>rule</w:t>
      </w:r>
      <w:r>
        <w:rPr>
          <w:b/>
          <w:i/>
        </w:rPr>
        <w:noBreakHyphen/>
      </w:r>
      <w:r w:rsidRPr="00FD274F">
        <w:rPr>
          <w:b/>
          <w:i/>
        </w:rPr>
        <w:t>maker</w:t>
      </w:r>
      <w:r w:rsidRPr="00FD274F">
        <w:t xml:space="preserve"> generally means the person or body authorised to make an instrument under its enabling legislation, whether or not the person or body actually made the instrument concerne</w:t>
      </w:r>
      <w:r w:rsidRPr="00FC211B">
        <w:t>d (</w:t>
      </w:r>
      <w:hyperlink r:id="rId50" w:history="1">
        <w:r w:rsidRPr="00FC211B">
          <w:rPr>
            <w:rStyle w:val="Hyperlink"/>
          </w:rPr>
          <w:t>LA</w:t>
        </w:r>
      </w:hyperlink>
      <w:r w:rsidRPr="00FC211B">
        <w:t xml:space="preserve"> s 6(1)(c)).</w:t>
      </w:r>
      <w:r w:rsidRPr="00FD274F">
        <w:t xml:space="preserve"> There is one exception to this rule. For instruments made by the Governor</w:t>
      </w:r>
      <w:r>
        <w:noBreakHyphen/>
      </w:r>
      <w:r w:rsidRPr="00FD274F">
        <w:t>General, the rule</w:t>
      </w:r>
      <w:r>
        <w:noBreakHyphen/>
      </w:r>
      <w:r w:rsidRPr="00FD274F">
        <w:t>maker is taken to be:</w:t>
      </w:r>
    </w:p>
    <w:p w14:paraId="43B8FD98" w14:textId="1AF6C54F" w:rsidR="00DF16BE" w:rsidRPr="00FD274F" w:rsidRDefault="00DF16BE" w:rsidP="00DF16BE">
      <w:pPr>
        <w:pStyle w:val="BodyPara"/>
      </w:pPr>
      <w:r w:rsidRPr="00FD274F">
        <w:t>the Minister responsible for the enabling legislation under which the instrument is m</w:t>
      </w:r>
      <w:r w:rsidRPr="00FC211B">
        <w:t>ade (</w:t>
      </w:r>
      <w:hyperlink r:id="rId51" w:history="1">
        <w:r w:rsidRPr="00FC211B">
          <w:rPr>
            <w:rStyle w:val="Hyperlink"/>
          </w:rPr>
          <w:t>LA</w:t>
        </w:r>
      </w:hyperlink>
      <w:r w:rsidRPr="00FC211B">
        <w:t xml:space="preserve"> s 6(1)(a)); or</w:t>
      </w:r>
    </w:p>
    <w:p w14:paraId="2AE58471" w14:textId="07FC3627" w:rsidR="00DF16BE" w:rsidRPr="00FD274F" w:rsidRDefault="00DF16BE" w:rsidP="00DF16BE">
      <w:pPr>
        <w:pStyle w:val="BodyPara"/>
      </w:pPr>
      <w:r w:rsidRPr="00FD274F">
        <w:t>if the instrument is made under executive power—the Prime Minister, or a Minister prescribed by regulatio</w:t>
      </w:r>
      <w:r w:rsidRPr="00FC211B">
        <w:t>n (</w:t>
      </w:r>
      <w:hyperlink r:id="rId52" w:history="1">
        <w:r w:rsidRPr="00FC211B">
          <w:rPr>
            <w:rStyle w:val="Hyperlink"/>
          </w:rPr>
          <w:t>LA</w:t>
        </w:r>
      </w:hyperlink>
      <w:r w:rsidRPr="00FC211B">
        <w:t xml:space="preserve"> s 6(1)(b)).</w:t>
      </w:r>
    </w:p>
    <w:p w14:paraId="42169CD2" w14:textId="14ECA6CF" w:rsidR="00DF16BE" w:rsidRPr="00FD274F" w:rsidRDefault="00DF16BE" w:rsidP="00DF16BE">
      <w:pPr>
        <w:pStyle w:val="BodyNum"/>
      </w:pPr>
      <w:r w:rsidRPr="00FD274F">
        <w:t>A rule</w:t>
      </w:r>
      <w:r>
        <w:noBreakHyphen/>
      </w:r>
      <w:r w:rsidRPr="00FD274F">
        <w:t xml:space="preserve">maker may be able to delegate the power to make an instrument </w:t>
      </w:r>
      <w:r>
        <w:t xml:space="preserve">to another person </w:t>
      </w:r>
      <w:r w:rsidRPr="004A7454">
        <w:t xml:space="preserve">(see paragraphs </w:t>
      </w:r>
      <w:r w:rsidRPr="00FC211B">
        <w:fldChar w:fldCharType="begin"/>
      </w:r>
      <w:r w:rsidRPr="004A7454">
        <w:instrText xml:space="preserve"> REF _Ref369883259 \r \h  \* MERGEFORMAT </w:instrText>
      </w:r>
      <w:r w:rsidRPr="00FC211B">
        <w:fldChar w:fldCharType="separate"/>
      </w:r>
      <w:r w:rsidR="00833171">
        <w:t>102</w:t>
      </w:r>
      <w:r w:rsidRPr="00FC211B">
        <w:fldChar w:fldCharType="end"/>
      </w:r>
      <w:r w:rsidRPr="004A7454">
        <w:t xml:space="preserve"> to </w:t>
      </w:r>
      <w:r w:rsidRPr="00FC211B">
        <w:fldChar w:fldCharType="begin"/>
      </w:r>
      <w:r w:rsidRPr="004A7454">
        <w:instrText xml:space="preserve"> REF _Ref449608075 \r \h  \* MERGEFORMAT </w:instrText>
      </w:r>
      <w:r w:rsidRPr="00FC211B">
        <w:fldChar w:fldCharType="separate"/>
      </w:r>
      <w:r w:rsidR="00833171">
        <w:t>106</w:t>
      </w:r>
      <w:r w:rsidRPr="00FC211B">
        <w:fldChar w:fldCharType="end"/>
      </w:r>
      <w:r w:rsidRPr="004A7454">
        <w:t>). H</w:t>
      </w:r>
      <w:r>
        <w:t>owever, t</w:t>
      </w:r>
      <w:r w:rsidRPr="00FD274F">
        <w:t>he delegation of power does not affect the obligations of the rule</w:t>
      </w:r>
      <w:r>
        <w:noBreakHyphen/>
      </w:r>
      <w:r w:rsidRPr="00FD274F">
        <w:t>maker under t</w:t>
      </w:r>
      <w:r w:rsidRPr="00FC211B">
        <w:t xml:space="preserve">he </w:t>
      </w:r>
      <w:hyperlink r:id="rId53" w:history="1">
        <w:r w:rsidRPr="00FC211B">
          <w:rPr>
            <w:rStyle w:val="Hyperlink"/>
          </w:rPr>
          <w:t>LA</w:t>
        </w:r>
      </w:hyperlink>
      <w:r w:rsidRPr="00FC211B">
        <w:t>.</w:t>
      </w:r>
    </w:p>
    <w:p w14:paraId="788AFFD9" w14:textId="31799EFD" w:rsidR="00DF16BE" w:rsidRPr="00FD274F" w:rsidRDefault="00DF16BE" w:rsidP="00DF16BE">
      <w:pPr>
        <w:pStyle w:val="BodyNum"/>
      </w:pPr>
      <w:r w:rsidRPr="00FD274F">
        <w:t>Although rule</w:t>
      </w:r>
      <w:r>
        <w:noBreakHyphen/>
      </w:r>
      <w:r w:rsidRPr="00FD274F">
        <w:t xml:space="preserve">makers are responsible for ensuring that the requirements of </w:t>
      </w:r>
      <w:r w:rsidRPr="00FC211B">
        <w:t xml:space="preserve">the </w:t>
      </w:r>
      <w:hyperlink r:id="rId54" w:history="1">
        <w:r w:rsidRPr="00FC211B">
          <w:rPr>
            <w:rStyle w:val="Hyperlink"/>
          </w:rPr>
          <w:t>LA</w:t>
        </w:r>
      </w:hyperlink>
      <w:r>
        <w:t xml:space="preserve"> </w:t>
      </w:r>
      <w:r w:rsidRPr="00FD274F">
        <w:t>are met, agencies play an important role advising rule</w:t>
      </w:r>
      <w:r>
        <w:noBreakHyphen/>
      </w:r>
      <w:r w:rsidRPr="00FD274F">
        <w:t xml:space="preserve">makers on their powers and obligations, </w:t>
      </w:r>
      <w:r w:rsidRPr="00FD274F">
        <w:lastRenderedPageBreak/>
        <w:t>and taking care of administrative matters such as lodgement of instruments and other material for registration, preparation of compilations if required, and payment of associated fees.</w:t>
      </w:r>
    </w:p>
    <w:p w14:paraId="2B491CBD" w14:textId="77777777" w:rsidR="00DF16BE" w:rsidRPr="00FD274F" w:rsidRDefault="00DF16BE" w:rsidP="00DF16BE">
      <w:pPr>
        <w:pStyle w:val="Head3"/>
      </w:pPr>
      <w:bookmarkStart w:id="17" w:name="_Toc183694627"/>
      <w:bookmarkStart w:id="18" w:name="_Ref367445999"/>
      <w:r w:rsidRPr="00FD274F">
        <w:t>What is an instrument?</w:t>
      </w:r>
      <w:bookmarkEnd w:id="17"/>
    </w:p>
    <w:p w14:paraId="2EE03F79" w14:textId="069BDFDC" w:rsidR="00DF16BE" w:rsidRPr="00FD274F" w:rsidRDefault="00DF16BE" w:rsidP="00DF16BE">
      <w:pPr>
        <w:pStyle w:val="BodyNum"/>
      </w:pPr>
      <w:r w:rsidRPr="00FD274F">
        <w:t xml:space="preserve">An </w:t>
      </w:r>
      <w:r w:rsidRPr="00FD274F">
        <w:rPr>
          <w:b/>
          <w:i/>
        </w:rPr>
        <w:t>instrument</w:t>
      </w:r>
      <w:r w:rsidRPr="00FD274F">
        <w:t xml:space="preserve"> means any writing or other </w:t>
      </w:r>
      <w:proofErr w:type="gramStart"/>
      <w:r w:rsidRPr="00FD274F">
        <w:t>document, and</w:t>
      </w:r>
      <w:proofErr w:type="gramEnd"/>
      <w:r w:rsidRPr="00FD274F">
        <w:t xml:space="preserve"> includes an instrument in electronic form </w:t>
      </w:r>
      <w:r w:rsidRPr="00E970D8">
        <w:t>(</w:t>
      </w:r>
      <w:hyperlink r:id="rId55" w:history="1">
        <w:r w:rsidRPr="00E970D8">
          <w:rPr>
            <w:rStyle w:val="Hyperlink"/>
          </w:rPr>
          <w:t>LA</w:t>
        </w:r>
      </w:hyperlink>
      <w:r w:rsidRPr="00E970D8">
        <w:t xml:space="preserve"> s 4). For</w:t>
      </w:r>
      <w:r w:rsidRPr="00FD274F">
        <w:t xml:space="preserve"> the purposes of complying with th</w:t>
      </w:r>
      <w:r w:rsidRPr="00E970D8">
        <w:t xml:space="preserve">e </w:t>
      </w:r>
      <w:hyperlink r:id="rId56" w:history="1">
        <w:r w:rsidRPr="00E970D8">
          <w:rPr>
            <w:rStyle w:val="Hyperlink"/>
          </w:rPr>
          <w:t>LA</w:t>
        </w:r>
      </w:hyperlink>
      <w:r w:rsidRPr="00E970D8">
        <w:t>,</w:t>
      </w:r>
      <w:r w:rsidRPr="00FD274F">
        <w:t xml:space="preserve"> there are three distinct types of </w:t>
      </w:r>
      <w:proofErr w:type="gramStart"/>
      <w:r w:rsidRPr="00FD274F">
        <w:t>instrument</w:t>
      </w:r>
      <w:proofErr w:type="gramEnd"/>
      <w:r w:rsidRPr="00FD274F">
        <w:t xml:space="preserve"> to consider:</w:t>
      </w:r>
    </w:p>
    <w:p w14:paraId="6BEFE35D" w14:textId="24E7BE96" w:rsidR="00DF16BE" w:rsidRPr="00FD274F" w:rsidRDefault="00DF16BE" w:rsidP="00DF16BE">
      <w:pPr>
        <w:pStyle w:val="BodyPara"/>
      </w:pPr>
      <w:r w:rsidRPr="00FD274F">
        <w:rPr>
          <w:b/>
          <w:i/>
        </w:rPr>
        <w:t>legislative instruments</w:t>
      </w:r>
      <w:r w:rsidR="005A2961" w:rsidRPr="009805B7">
        <w:rPr>
          <w:rStyle w:val="FootnoteReference"/>
        </w:rPr>
        <w:footnoteReference w:id="5"/>
      </w:r>
      <w:r w:rsidRPr="00FD274F">
        <w:t xml:space="preserve">, which are subject to additional requirements as outlined in </w:t>
      </w:r>
      <w:hyperlink w:anchor="Chapter7" w:history="1">
        <w:r w:rsidRPr="004A7454">
          <w:rPr>
            <w:rStyle w:val="Hyperlink"/>
          </w:rPr>
          <w:t>Part 2</w:t>
        </w:r>
      </w:hyperlink>
      <w:r w:rsidRPr="00FD274F">
        <w:t>; and</w:t>
      </w:r>
    </w:p>
    <w:p w14:paraId="6CF261E4" w14:textId="77777777" w:rsidR="00DF16BE" w:rsidRPr="00FD274F" w:rsidRDefault="00DF16BE" w:rsidP="00DF16BE">
      <w:pPr>
        <w:pStyle w:val="BodyPara"/>
      </w:pPr>
      <w:r w:rsidRPr="00FD274F">
        <w:rPr>
          <w:b/>
          <w:i/>
        </w:rPr>
        <w:t>notifiable instruments</w:t>
      </w:r>
      <w:r w:rsidRPr="00FD274F">
        <w:t>; and</w:t>
      </w:r>
    </w:p>
    <w:p w14:paraId="29A25274" w14:textId="77777777" w:rsidR="00DF16BE" w:rsidRPr="00FD274F" w:rsidRDefault="00DF16BE" w:rsidP="00DF16BE">
      <w:pPr>
        <w:pStyle w:val="BodyPara"/>
      </w:pPr>
      <w:r w:rsidRPr="00FD274F">
        <w:t>other instruments</w:t>
      </w:r>
      <w:r>
        <w:t xml:space="preserve"> </w:t>
      </w:r>
      <w:r w:rsidRPr="00FD274F">
        <w:t>that are</w:t>
      </w:r>
      <w:r>
        <w:t xml:space="preserve"> not required to be registered.</w:t>
      </w:r>
    </w:p>
    <w:p w14:paraId="5341F1E6" w14:textId="7935C42B" w:rsidR="00DF16BE" w:rsidRPr="00FD274F" w:rsidRDefault="00DF16BE" w:rsidP="00DF16BE">
      <w:pPr>
        <w:pStyle w:val="BodyNum"/>
      </w:pPr>
      <w:r>
        <w:t xml:space="preserve">To identify the type of instrument, it is necessary to </w:t>
      </w:r>
      <w:r w:rsidRPr="00FD274F">
        <w:t xml:space="preserve">look at the text of an instrument and see whether it commences, amends or repeals a registered law </w:t>
      </w:r>
      <w:r w:rsidRPr="00235C52">
        <w:t xml:space="preserve">(see paragraph </w:t>
      </w:r>
      <w:r w:rsidRPr="00E970D8">
        <w:fldChar w:fldCharType="begin"/>
      </w:r>
      <w:r w:rsidRPr="00235C52">
        <w:instrText xml:space="preserve"> REF _Ref442190512 \r \h  \* MERGEFORMAT </w:instrText>
      </w:r>
      <w:r w:rsidRPr="00E970D8">
        <w:fldChar w:fldCharType="separate"/>
      </w:r>
      <w:r w:rsidR="00833171">
        <w:t>24</w:t>
      </w:r>
      <w:r w:rsidRPr="00E970D8">
        <w:fldChar w:fldCharType="end"/>
      </w:r>
      <w:r w:rsidRPr="00235C52">
        <w:t>). F</w:t>
      </w:r>
      <w:r w:rsidRPr="00FD274F">
        <w:t>or instruments that are stand</w:t>
      </w:r>
      <w:r>
        <w:noBreakHyphen/>
      </w:r>
      <w:r w:rsidRPr="00FD274F">
        <w:t xml:space="preserve">alone or </w:t>
      </w:r>
      <w:r w:rsidRPr="00FD274F">
        <w:rPr>
          <w:b/>
          <w:i/>
        </w:rPr>
        <w:t>principal instruments</w:t>
      </w:r>
      <w:r w:rsidRPr="00FD274F">
        <w:t>, it is necessary to establish whether an instrument:</w:t>
      </w:r>
    </w:p>
    <w:p w14:paraId="23E9E284" w14:textId="69E54451" w:rsidR="00DF16BE" w:rsidRPr="00FD274F" w:rsidRDefault="00DF16BE" w:rsidP="00DF16BE">
      <w:pPr>
        <w:pStyle w:val="BodyPara"/>
      </w:pPr>
      <w:r w:rsidRPr="00FD274F">
        <w:t>has been declared to be a legislative instrument (</w:t>
      </w:r>
      <w:r w:rsidRPr="00235C52">
        <w:t xml:space="preserve">paragraph </w:t>
      </w:r>
      <w:r w:rsidRPr="00235C52">
        <w:fldChar w:fldCharType="begin"/>
      </w:r>
      <w:r w:rsidRPr="00E970D8">
        <w:instrText xml:space="preserve"> REF _Ref367445987 \r \h  \* MERGEFORMAT </w:instrText>
      </w:r>
      <w:r w:rsidRPr="00235C52">
        <w:fldChar w:fldCharType="separate"/>
      </w:r>
      <w:r w:rsidR="00833171">
        <w:t>27</w:t>
      </w:r>
      <w:r w:rsidRPr="00235C52">
        <w:fldChar w:fldCharType="end"/>
      </w:r>
      <w:r w:rsidRPr="00235C52">
        <w:t>); or</w:t>
      </w:r>
    </w:p>
    <w:p w14:paraId="5EA3B340" w14:textId="4DEF23DD" w:rsidR="00DF16BE" w:rsidRPr="00FD274F" w:rsidRDefault="00DF16BE" w:rsidP="00DF16BE">
      <w:pPr>
        <w:pStyle w:val="BodyPara"/>
      </w:pPr>
      <w:r w:rsidRPr="00FD274F">
        <w:t>has been declared to be a notifiable instrumen</w:t>
      </w:r>
      <w:r w:rsidRPr="00235C52">
        <w:t xml:space="preserve">t (paragraph </w:t>
      </w:r>
      <w:r w:rsidRPr="00E970D8">
        <w:fldChar w:fldCharType="begin"/>
      </w:r>
      <w:r w:rsidRPr="00235C52">
        <w:instrText xml:space="preserve"> REF _Ref442195914 \r \h  \* MERGEFORMAT </w:instrText>
      </w:r>
      <w:r w:rsidRPr="00E970D8">
        <w:fldChar w:fldCharType="separate"/>
      </w:r>
      <w:r w:rsidR="00833171">
        <w:t>32</w:t>
      </w:r>
      <w:r w:rsidRPr="00E970D8">
        <w:fldChar w:fldCharType="end"/>
      </w:r>
      <w:r w:rsidRPr="00235C52">
        <w:t>); or</w:t>
      </w:r>
    </w:p>
    <w:p w14:paraId="49207B29" w14:textId="53E543A1" w:rsidR="00DF16BE" w:rsidRPr="00FD274F" w:rsidRDefault="00DF16BE" w:rsidP="00DF16BE">
      <w:pPr>
        <w:pStyle w:val="BodyPara"/>
      </w:pPr>
      <w:r w:rsidRPr="00FD274F">
        <w:t xml:space="preserve">is subject to other criteria including, in some cases, whether the instrument is of legislative character </w:t>
      </w:r>
      <w:r w:rsidRPr="0009463D">
        <w:t xml:space="preserve">(paragraphs </w:t>
      </w:r>
      <w:r w:rsidRPr="00E970D8">
        <w:fldChar w:fldCharType="begin"/>
      </w:r>
      <w:r w:rsidRPr="0009463D">
        <w:instrText xml:space="preserve"> REF _Ref442196278 \r \h  \* MERGEFORMAT </w:instrText>
      </w:r>
      <w:r w:rsidRPr="00E970D8">
        <w:fldChar w:fldCharType="separate"/>
      </w:r>
      <w:r w:rsidR="00833171">
        <w:t>35</w:t>
      </w:r>
      <w:r w:rsidRPr="00E970D8">
        <w:fldChar w:fldCharType="end"/>
      </w:r>
      <w:r w:rsidRPr="0009463D">
        <w:t xml:space="preserve"> to </w:t>
      </w:r>
      <w:r w:rsidRPr="00E970D8">
        <w:fldChar w:fldCharType="begin"/>
      </w:r>
      <w:r w:rsidRPr="0009463D">
        <w:instrText xml:space="preserve"> REF _Ref444606268 \r \h  \* MERGEFORMAT </w:instrText>
      </w:r>
      <w:r w:rsidRPr="00E970D8">
        <w:fldChar w:fldCharType="separate"/>
      </w:r>
      <w:r w:rsidR="00833171">
        <w:t>37</w:t>
      </w:r>
      <w:r w:rsidRPr="00E970D8">
        <w:fldChar w:fldCharType="end"/>
      </w:r>
      <w:r w:rsidRPr="0009463D">
        <w:t>).</w:t>
      </w:r>
    </w:p>
    <w:p w14:paraId="7E21B6B9" w14:textId="1AC6E583" w:rsidR="00DF16BE" w:rsidRPr="00FD274F" w:rsidRDefault="00DF16BE" w:rsidP="00DF16BE">
      <w:pPr>
        <w:pStyle w:val="BodyNum"/>
      </w:pPr>
      <w:r>
        <w:t>It cannot be assumed that</w:t>
      </w:r>
      <w:r w:rsidRPr="00FD274F">
        <w:t xml:space="preserve"> a legislative instrument is of legislative character. The fact that an instrument is a legislative instrument does not imply that it is or must be of legislative charact</w:t>
      </w:r>
      <w:r w:rsidRPr="00A01157">
        <w:t>er (</w:t>
      </w:r>
      <w:hyperlink r:id="rId57" w:history="1">
        <w:r w:rsidRPr="00A01157">
          <w:rPr>
            <w:rStyle w:val="Hyperlink"/>
          </w:rPr>
          <w:t>LA</w:t>
        </w:r>
      </w:hyperlink>
      <w:r w:rsidRPr="00A01157">
        <w:t xml:space="preserve"> s 9(1)).</w:t>
      </w:r>
      <w:r w:rsidRPr="00FD274F">
        <w:t xml:space="preserve"> The reverse is also true: the fact that an instrument is not a legislative instrument does not imply that it is not or must not be of legislative chara</w:t>
      </w:r>
      <w:r w:rsidRPr="00A01157">
        <w:t>cter (</w:t>
      </w:r>
      <w:hyperlink r:id="rId58" w:history="1">
        <w:r w:rsidRPr="00A01157">
          <w:rPr>
            <w:rStyle w:val="Hyperlink"/>
          </w:rPr>
          <w:t>LA</w:t>
        </w:r>
      </w:hyperlink>
      <w:r w:rsidRPr="00A01157">
        <w:t xml:space="preserve"> s 9(2))</w:t>
      </w:r>
      <w:r w:rsidRPr="00FD274F">
        <w:t>.</w:t>
      </w:r>
    </w:p>
    <w:p w14:paraId="6E6BC772" w14:textId="77777777" w:rsidR="00DF16BE" w:rsidRPr="00FD274F" w:rsidRDefault="00DF16BE" w:rsidP="00DF16BE">
      <w:pPr>
        <w:pStyle w:val="Head4"/>
      </w:pPr>
      <w:bookmarkStart w:id="19" w:name="_Toc183694628"/>
      <w:r w:rsidRPr="00FD274F">
        <w:t>Instruments that commence, amend or repeal registered laws</w:t>
      </w:r>
      <w:bookmarkEnd w:id="19"/>
    </w:p>
    <w:p w14:paraId="37CF6483" w14:textId="77777777" w:rsidR="00DF16BE" w:rsidRPr="00FD274F" w:rsidRDefault="00DF16BE" w:rsidP="00DF16BE">
      <w:pPr>
        <w:pStyle w:val="BodyNum"/>
      </w:pPr>
      <w:bookmarkStart w:id="20" w:name="_Ref442190512"/>
      <w:r w:rsidRPr="00FD274F">
        <w:t xml:space="preserve">An instrument must be lodged for registration if it commences, amends or repeals a registered instrument, Act or provision of such an instrument or Act (a </w:t>
      </w:r>
      <w:r w:rsidRPr="00FD274F">
        <w:rPr>
          <w:b/>
          <w:i/>
        </w:rPr>
        <w:t>r</w:t>
      </w:r>
      <w:r w:rsidRPr="0009463D">
        <w:rPr>
          <w:b/>
          <w:i/>
        </w:rPr>
        <w:t>egistered law</w:t>
      </w:r>
      <w:r w:rsidRPr="0009463D">
        <w:t>).</w:t>
      </w:r>
      <w:bookmarkEnd w:id="20"/>
    </w:p>
    <w:p w14:paraId="2A4FD86C" w14:textId="7EC29753" w:rsidR="00DF16BE" w:rsidRPr="00FD274F" w:rsidRDefault="00DF16BE" w:rsidP="00DF16BE">
      <w:pPr>
        <w:pStyle w:val="BodyNum"/>
      </w:pPr>
      <w:r w:rsidRPr="00FD274F">
        <w:t xml:space="preserve">An instrument that has the sole effect of commencing a registered law (a </w:t>
      </w:r>
      <w:r w:rsidRPr="0009463D">
        <w:rPr>
          <w:b/>
          <w:i/>
        </w:rPr>
        <w:t>commencement instrument</w:t>
      </w:r>
      <w:r w:rsidRPr="0009463D">
        <w:t>)</w:t>
      </w:r>
      <w:r w:rsidRPr="00FD274F">
        <w:t xml:space="preserve"> must in all cases be lodged for registration as a notifiable instrume</w:t>
      </w:r>
      <w:r w:rsidRPr="00A01157">
        <w:t>nt (</w:t>
      </w:r>
      <w:hyperlink r:id="rId59" w:history="1">
        <w:r w:rsidRPr="00A01157">
          <w:rPr>
            <w:rStyle w:val="Hyperlink"/>
          </w:rPr>
          <w:t>LA</w:t>
        </w:r>
      </w:hyperlink>
      <w:r w:rsidRPr="00A01157">
        <w:t xml:space="preserve"> s 4 and 11(2)(a)). T</w:t>
      </w:r>
      <w:r w:rsidRPr="00FD274F">
        <w:t>his also applies to any instrument that announces the day that an international agreement enters into force for Australia, regardless of whether the treaty itself is ever registered (</w:t>
      </w:r>
      <w:hyperlink r:id="rId60" w:history="1">
        <w:hyperlink r:id="rId61" w:history="1">
          <w:r w:rsidRPr="0053438B">
            <w:rPr>
              <w:rStyle w:val="Hyperlink"/>
            </w:rPr>
            <w:t>LEOMR</w:t>
          </w:r>
        </w:hyperlink>
      </w:hyperlink>
      <w:r w:rsidRPr="0053438B">
        <w:t xml:space="preserve"> s 8 item 1).</w:t>
      </w:r>
    </w:p>
    <w:p w14:paraId="542E711D" w14:textId="11A945EA" w:rsidR="00DF16BE" w:rsidRPr="00FD274F" w:rsidRDefault="00DF16BE" w:rsidP="00DF16BE">
      <w:pPr>
        <w:pStyle w:val="BodyNum"/>
      </w:pPr>
      <w:r w:rsidRPr="00FD274F">
        <w:t>An instrument that amends or repeals a registered law must also be lodged for registration. If it only affects notifiable instruments, it must be lodged as a notifiable instrume</w:t>
      </w:r>
      <w:r w:rsidRPr="00A01157">
        <w:t>nt (</w:t>
      </w:r>
      <w:hyperlink r:id="rId62" w:history="1">
        <w:r w:rsidRPr="00A01157">
          <w:rPr>
            <w:rStyle w:val="Hyperlink"/>
          </w:rPr>
          <w:t>LA</w:t>
        </w:r>
      </w:hyperlink>
      <w:r w:rsidRPr="00A01157">
        <w:t xml:space="preserve"> s 11(2)(d)). O</w:t>
      </w:r>
      <w:r w:rsidRPr="00FD274F">
        <w:t>therwise, unless the instrument’s enabling Act specifies otherwise, it must be lodged as a legislative instrument (</w:t>
      </w:r>
      <w:hyperlink r:id="rId63" w:history="1">
        <w:r w:rsidRPr="00A01157">
          <w:rPr>
            <w:rStyle w:val="Hyperlink"/>
          </w:rPr>
          <w:t>LA</w:t>
        </w:r>
      </w:hyperlink>
      <w:r w:rsidRPr="00A01157">
        <w:t xml:space="preserve"> s 10(1)(d)).</w:t>
      </w:r>
    </w:p>
    <w:p w14:paraId="14B64320" w14:textId="77777777" w:rsidR="00DF16BE" w:rsidRPr="00FD274F" w:rsidRDefault="00DF16BE" w:rsidP="00DF16BE">
      <w:pPr>
        <w:pStyle w:val="Head4"/>
      </w:pPr>
      <w:bookmarkStart w:id="21" w:name="_Toc183694629"/>
      <w:r w:rsidRPr="00FD274F">
        <w:lastRenderedPageBreak/>
        <w:t>Instruments declared to be legislative instruments</w:t>
      </w:r>
      <w:bookmarkEnd w:id="21"/>
    </w:p>
    <w:p w14:paraId="2F39D115" w14:textId="5D68FF63" w:rsidR="00DF16BE" w:rsidRPr="00FD274F" w:rsidRDefault="00DF16BE" w:rsidP="00DF16BE">
      <w:pPr>
        <w:pStyle w:val="BodyNum"/>
        <w:keepNext/>
      </w:pPr>
      <w:bookmarkStart w:id="22" w:name="_Ref367445987"/>
      <w:r w:rsidRPr="00FD274F">
        <w:t>An instrument’s enabling legislation ma</w:t>
      </w:r>
      <w:r w:rsidRPr="00A01157">
        <w:t>y declare it to be a legislative instrument. Examples of provisions that do this are as follows (</w:t>
      </w:r>
      <w:hyperlink r:id="rId64" w:history="1">
        <w:r w:rsidRPr="00A01157">
          <w:rPr>
            <w:rStyle w:val="Hyperlink"/>
          </w:rPr>
          <w:t>LA</w:t>
        </w:r>
      </w:hyperlink>
      <w:r w:rsidRPr="00A01157">
        <w:t xml:space="preserve"> s 8(2)):</w:t>
      </w:r>
      <w:bookmarkEnd w:id="22"/>
    </w:p>
    <w:p w14:paraId="5816DDC8" w14:textId="77777777" w:rsidR="00DF16BE" w:rsidRPr="00FD274F" w:rsidRDefault="00DF16BE" w:rsidP="00DF16BE">
      <w:pPr>
        <w:pStyle w:val="BodyPara"/>
      </w:pPr>
      <w:r w:rsidRPr="00FD274F">
        <w:t>“The Minister may, by legislative instrument, determine licence conditions…</w:t>
      </w:r>
      <w:proofErr w:type="gramStart"/>
      <w:r w:rsidRPr="00FD274F">
        <w:t>”;</w:t>
      </w:r>
      <w:proofErr w:type="gramEnd"/>
    </w:p>
    <w:p w14:paraId="0047229E" w14:textId="77777777" w:rsidR="00DF16BE" w:rsidRPr="00FD274F" w:rsidRDefault="00DF16BE" w:rsidP="00DF16BE">
      <w:pPr>
        <w:pStyle w:val="BodyPara"/>
      </w:pPr>
      <w:r w:rsidRPr="00FD274F">
        <w:t>“An instrument made under ... is a legislative instrument”.</w:t>
      </w:r>
    </w:p>
    <w:p w14:paraId="4407BC86" w14:textId="25EBDD81" w:rsidR="00DF16BE" w:rsidRPr="00FD274F" w:rsidRDefault="00DF16BE" w:rsidP="00DF16BE">
      <w:pPr>
        <w:pStyle w:val="BodyNum"/>
      </w:pPr>
      <w:r w:rsidRPr="00FD274F">
        <w:t xml:space="preserve">The </w:t>
      </w:r>
      <w:hyperlink r:id="rId65" w:history="1">
        <w:r w:rsidRPr="006F45CA">
          <w:rPr>
            <w:rStyle w:val="Hyperlink"/>
          </w:rPr>
          <w:t>LA</w:t>
        </w:r>
      </w:hyperlink>
      <w:r w:rsidRPr="006F45CA">
        <w:t xml:space="preserve"> a</w:t>
      </w:r>
      <w:r w:rsidRPr="00FD274F">
        <w:t>lso declares the following to be a legislative instrument:</w:t>
      </w:r>
    </w:p>
    <w:p w14:paraId="77D83233" w14:textId="649D59E1" w:rsidR="00DF16BE" w:rsidRPr="00FD274F" w:rsidRDefault="00DF16BE" w:rsidP="00DF16BE">
      <w:pPr>
        <w:pStyle w:val="BodyPara"/>
      </w:pPr>
      <w:r w:rsidRPr="00FD274F">
        <w:t xml:space="preserve">an instrument described as a regulation by its enabling legislation </w:t>
      </w:r>
      <w:r w:rsidRPr="006F45CA">
        <w:t>(</w:t>
      </w:r>
      <w:hyperlink r:id="rId66" w:history="1">
        <w:r w:rsidRPr="006F45CA">
          <w:rPr>
            <w:rStyle w:val="Hyperlink"/>
          </w:rPr>
          <w:t>LA</w:t>
        </w:r>
      </w:hyperlink>
      <w:r w:rsidRPr="006F45CA">
        <w:t> s 10(1)(a)</w:t>
      </w:r>
      <w:proofErr w:type="gramStart"/>
      <w:r w:rsidRPr="006F45CA">
        <w:t>);</w:t>
      </w:r>
      <w:proofErr w:type="gramEnd"/>
    </w:p>
    <w:p w14:paraId="3C0ACEBB" w14:textId="038DF98A" w:rsidR="00DF16BE" w:rsidRPr="00FD274F" w:rsidRDefault="00DF16BE" w:rsidP="00DF16BE">
      <w:pPr>
        <w:pStyle w:val="BodyPara"/>
      </w:pPr>
      <w:r w:rsidRPr="00FD274F">
        <w:t>an instrument described as a Proclamation by its enabling legislation, unless it is a commencement inst</w:t>
      </w:r>
      <w:r w:rsidRPr="006F45CA">
        <w:t>rument (</w:t>
      </w:r>
      <w:hyperlink r:id="rId67" w:history="1">
        <w:r w:rsidRPr="006F45CA">
          <w:rPr>
            <w:rStyle w:val="Hyperlink"/>
          </w:rPr>
          <w:t>LA</w:t>
        </w:r>
      </w:hyperlink>
      <w:r w:rsidRPr="006F45CA">
        <w:t xml:space="preserve"> s 10(1)(a) and 11(2)</w:t>
      </w:r>
      <w:proofErr w:type="gramStart"/>
      <w:r w:rsidRPr="006F45CA">
        <w:t>);</w:t>
      </w:r>
      <w:proofErr w:type="gramEnd"/>
    </w:p>
    <w:p w14:paraId="05A9ADAF" w14:textId="5B628B93" w:rsidR="00DF16BE" w:rsidRPr="00FD274F" w:rsidRDefault="00DF16BE" w:rsidP="00DF16BE">
      <w:pPr>
        <w:pStyle w:val="BodyPara"/>
      </w:pPr>
      <w:r w:rsidRPr="00FD274F">
        <w:t xml:space="preserve">an ordinance that deals with certain aspects of the governance of Australian Territories (for </w:t>
      </w:r>
      <w:r w:rsidRPr="006F45CA">
        <w:t>details</w:t>
      </w:r>
      <w:r w:rsidR="00C27B60">
        <w:t>,</w:t>
      </w:r>
      <w:r w:rsidRPr="006F45CA">
        <w:t xml:space="preserve"> see </w:t>
      </w:r>
      <w:hyperlink r:id="rId68" w:history="1">
        <w:r w:rsidRPr="006F45CA">
          <w:rPr>
            <w:rStyle w:val="Hyperlink"/>
          </w:rPr>
          <w:t>LA</w:t>
        </w:r>
      </w:hyperlink>
      <w:r w:rsidRPr="006F45CA">
        <w:t xml:space="preserve"> s 10(1)(b) and 10(2)</w:t>
      </w:r>
      <w:proofErr w:type="gramStart"/>
      <w:r w:rsidRPr="006F45CA">
        <w:t>);</w:t>
      </w:r>
      <w:proofErr w:type="gramEnd"/>
    </w:p>
    <w:p w14:paraId="5978CC91" w14:textId="4B7C816A" w:rsidR="00DF16BE" w:rsidRPr="00FD274F" w:rsidRDefault="00DF16BE" w:rsidP="00DF16BE">
      <w:pPr>
        <w:pStyle w:val="BodyPara"/>
      </w:pPr>
      <w:r w:rsidRPr="00FD274F">
        <w:t xml:space="preserve">an instrument prescribed by regulation </w:t>
      </w:r>
      <w:r w:rsidRPr="006F45CA">
        <w:t>(</w:t>
      </w:r>
      <w:hyperlink r:id="rId69" w:history="1">
        <w:r w:rsidRPr="006F45CA">
          <w:rPr>
            <w:rStyle w:val="Hyperlink"/>
          </w:rPr>
          <w:t>LA</w:t>
        </w:r>
      </w:hyperlink>
      <w:r w:rsidRPr="006F45CA">
        <w:t xml:space="preserve"> s 10(1)(c)</w:t>
      </w:r>
      <w:proofErr w:type="gramStart"/>
      <w:r w:rsidRPr="006F45CA">
        <w:t>);</w:t>
      </w:r>
      <w:proofErr w:type="gramEnd"/>
    </w:p>
    <w:p w14:paraId="0A4CC726" w14:textId="027D9FF2" w:rsidR="00DF16BE" w:rsidRPr="00FD274F" w:rsidRDefault="00DF16BE" w:rsidP="00DF16BE">
      <w:pPr>
        <w:pStyle w:val="BodyPara"/>
      </w:pPr>
      <w:r w:rsidRPr="00FD274F">
        <w:t>an instrument that includes a provision that amends or repeals another legislative instrumen</w:t>
      </w:r>
      <w:r w:rsidRPr="006F45CA">
        <w:t>t (</w:t>
      </w:r>
      <w:hyperlink r:id="rId70" w:history="1">
        <w:r w:rsidRPr="006F45CA">
          <w:rPr>
            <w:rStyle w:val="Hyperlink"/>
          </w:rPr>
          <w:t>LA</w:t>
        </w:r>
      </w:hyperlink>
      <w:r w:rsidRPr="006F45CA">
        <w:t xml:space="preserve"> s 10(1)(d)</w:t>
      </w:r>
      <w:proofErr w:type="gramStart"/>
      <w:r w:rsidRPr="006F45CA">
        <w:t>);</w:t>
      </w:r>
      <w:proofErr w:type="gramEnd"/>
    </w:p>
    <w:p w14:paraId="3E80A292" w14:textId="286DB1A0" w:rsidR="00DF16BE" w:rsidRPr="00FD274F" w:rsidRDefault="00DF16BE" w:rsidP="00DF16BE">
      <w:pPr>
        <w:pStyle w:val="BodyPara"/>
      </w:pPr>
      <w:r w:rsidRPr="00FD274F">
        <w:t xml:space="preserve">any instrument that is registered as a legislative instrument, unless it is a notifiable instrument that meets certain criteria </w:t>
      </w:r>
      <w:r w:rsidRPr="006F45CA">
        <w:t>(</w:t>
      </w:r>
      <w:hyperlink r:id="rId71" w:history="1">
        <w:r w:rsidRPr="006F45CA">
          <w:rPr>
            <w:rStyle w:val="Hyperlink"/>
          </w:rPr>
          <w:t>LA</w:t>
        </w:r>
      </w:hyperlink>
      <w:r w:rsidRPr="006F45CA">
        <w:t xml:space="preserve"> s 8(8)).</w:t>
      </w:r>
    </w:p>
    <w:p w14:paraId="67E9837E" w14:textId="5D564499" w:rsidR="00DF16BE" w:rsidRPr="005262F0" w:rsidRDefault="00DF16BE" w:rsidP="00DF16BE">
      <w:pPr>
        <w:pStyle w:val="BodyNum"/>
      </w:pPr>
      <w:r w:rsidRPr="005262F0">
        <w:t xml:space="preserve">Commonwealth rules of court are not legislative instruments </w:t>
      </w:r>
      <w:r w:rsidRPr="006F45CA">
        <w:t>(</w:t>
      </w:r>
      <w:hyperlink r:id="rId72" w:history="1">
        <w:r w:rsidRPr="006F45CA">
          <w:rPr>
            <w:rStyle w:val="Hyperlink"/>
          </w:rPr>
          <w:t>LA</w:t>
        </w:r>
      </w:hyperlink>
      <w:r w:rsidRPr="006F45CA">
        <w:t xml:space="preserve"> s 8(8)(d)).</w:t>
      </w:r>
      <w:r w:rsidRPr="005262F0">
        <w:t xml:space="preserve"> However, the enabling legislation for Commonwealth rules of court has the effect that the </w:t>
      </w:r>
      <w:hyperlink r:id="rId73" w:history="1">
        <w:r w:rsidRPr="006F45CA">
          <w:rPr>
            <w:rStyle w:val="Hyperlink"/>
          </w:rPr>
          <w:t>LA</w:t>
        </w:r>
      </w:hyperlink>
      <w:r w:rsidRPr="005262F0">
        <w:t xml:space="preserve"> generally applies in relation to the rules of court as if a reference in t</w:t>
      </w:r>
      <w:r w:rsidRPr="006F45CA">
        <w:t xml:space="preserve">he </w:t>
      </w:r>
      <w:hyperlink r:id="rId74" w:history="1">
        <w:r w:rsidRPr="006F45CA">
          <w:rPr>
            <w:rStyle w:val="Hyperlink"/>
          </w:rPr>
          <w:t>LA</w:t>
        </w:r>
      </w:hyperlink>
      <w:r w:rsidRPr="006F45CA">
        <w:t xml:space="preserve"> to</w:t>
      </w:r>
      <w:r w:rsidRPr="005262F0">
        <w:t xml:space="preserve"> a legislative instrument were a reference to a rule of court. This means that the rules of court are subject to most of the provisions of th</w:t>
      </w:r>
      <w:r w:rsidRPr="006F45CA">
        <w:t xml:space="preserve">e </w:t>
      </w:r>
      <w:hyperlink r:id="rId75" w:history="1">
        <w:r w:rsidRPr="006F45CA">
          <w:rPr>
            <w:rStyle w:val="Hyperlink"/>
          </w:rPr>
          <w:t>LA</w:t>
        </w:r>
      </w:hyperlink>
      <w:r w:rsidRPr="006F45CA">
        <w:t>, includi</w:t>
      </w:r>
      <w:r w:rsidRPr="005262F0">
        <w:t>ng the provisions about registration</w:t>
      </w:r>
      <w:r>
        <w:t>, publication</w:t>
      </w:r>
      <w:r w:rsidRPr="005262F0">
        <w:t xml:space="preserve"> and disallowance</w:t>
      </w:r>
      <w:r>
        <w:t>.</w:t>
      </w:r>
    </w:p>
    <w:p w14:paraId="04666B6B" w14:textId="77777777" w:rsidR="00DF16BE" w:rsidRPr="00C04082" w:rsidRDefault="00DF16BE" w:rsidP="00DF16BE">
      <w:pPr>
        <w:pStyle w:val="BodyNum"/>
      </w:pPr>
      <w:r>
        <w:t>The exception is that sunsetting does not apply to most rules of court</w:t>
      </w:r>
      <w:r w:rsidRPr="00C04082">
        <w:t>.</w:t>
      </w:r>
    </w:p>
    <w:p w14:paraId="683397E6" w14:textId="51928DC7" w:rsidR="00DF16BE" w:rsidRPr="00FD274F" w:rsidRDefault="00DF16BE" w:rsidP="00DF16BE">
      <w:pPr>
        <w:pStyle w:val="BodyNum"/>
      </w:pPr>
      <w:r w:rsidRPr="00FD274F">
        <w:t>If an instrument is declared to be a legislative instrument, no further action is required to establish its status under th</w:t>
      </w:r>
      <w:r w:rsidRPr="006F45CA">
        <w:t xml:space="preserve">e </w:t>
      </w:r>
      <w:hyperlink r:id="rId76" w:history="1">
        <w:r w:rsidRPr="006F45CA">
          <w:rPr>
            <w:rStyle w:val="Hyperlink"/>
          </w:rPr>
          <w:t>LA</w:t>
        </w:r>
      </w:hyperlink>
      <w:r w:rsidRPr="006F45CA">
        <w:t>.</w:t>
      </w:r>
    </w:p>
    <w:p w14:paraId="1E573CF5" w14:textId="77777777" w:rsidR="00DF16BE" w:rsidRPr="00FD274F" w:rsidRDefault="00DF16BE" w:rsidP="00DF16BE">
      <w:pPr>
        <w:pStyle w:val="Head4"/>
      </w:pPr>
      <w:bookmarkStart w:id="23" w:name="_Toc183694630"/>
      <w:r w:rsidRPr="00FD274F">
        <w:t>Instruments declared to be notifiable instruments</w:t>
      </w:r>
      <w:bookmarkEnd w:id="23"/>
    </w:p>
    <w:p w14:paraId="13CA33C9" w14:textId="441889DE" w:rsidR="00DF16BE" w:rsidRPr="00FD274F" w:rsidRDefault="00DF16BE" w:rsidP="00DF16BE">
      <w:pPr>
        <w:pStyle w:val="BodyNum"/>
      </w:pPr>
      <w:bookmarkStart w:id="24" w:name="_Ref442195914"/>
      <w:r w:rsidRPr="00FD274F">
        <w:t>An instrument’s enabling legislation may declare it to be a notifiable instrument. Examples of provisions that do this are as follows (</w:t>
      </w:r>
      <w:hyperlink r:id="rId77" w:history="1">
        <w:r w:rsidRPr="006F45CA">
          <w:rPr>
            <w:rStyle w:val="Hyperlink"/>
          </w:rPr>
          <w:t>LA</w:t>
        </w:r>
      </w:hyperlink>
      <w:r w:rsidRPr="006F45CA">
        <w:t xml:space="preserve"> s 11(1)):</w:t>
      </w:r>
      <w:bookmarkEnd w:id="24"/>
    </w:p>
    <w:p w14:paraId="4F316303" w14:textId="77777777" w:rsidR="00DF16BE" w:rsidRPr="00FD274F" w:rsidRDefault="00DF16BE" w:rsidP="00DF16BE">
      <w:pPr>
        <w:pStyle w:val="BodyPara"/>
      </w:pPr>
      <w:r w:rsidRPr="00FD274F">
        <w:t>“The Minister may, by notifiable instrument, approve a form…</w:t>
      </w:r>
      <w:proofErr w:type="gramStart"/>
      <w:r w:rsidRPr="00FD274F">
        <w:t>”;</w:t>
      </w:r>
      <w:proofErr w:type="gramEnd"/>
    </w:p>
    <w:p w14:paraId="34B03E63" w14:textId="77777777" w:rsidR="00DF16BE" w:rsidRPr="00FD274F" w:rsidRDefault="00DF16BE" w:rsidP="00DF16BE">
      <w:pPr>
        <w:pStyle w:val="BodyPara"/>
      </w:pPr>
      <w:r w:rsidRPr="00FD274F">
        <w:t>“An instrument made under ... is a notifiable instrument”.</w:t>
      </w:r>
    </w:p>
    <w:p w14:paraId="68561CB3" w14:textId="5082C689" w:rsidR="00DF16BE" w:rsidRPr="00FD274F" w:rsidRDefault="00DF16BE" w:rsidP="00DF16BE">
      <w:pPr>
        <w:pStyle w:val="BodyNum"/>
      </w:pPr>
      <w:r w:rsidRPr="00FD274F">
        <w:lastRenderedPageBreak/>
        <w:t xml:space="preserve">The </w:t>
      </w:r>
      <w:hyperlink r:id="rId78" w:history="1">
        <w:r w:rsidRPr="006F45CA">
          <w:rPr>
            <w:rStyle w:val="Hyperlink"/>
          </w:rPr>
          <w:t>LA</w:t>
        </w:r>
      </w:hyperlink>
      <w:r w:rsidRPr="0053438B">
        <w:t xml:space="preserve"> and </w:t>
      </w:r>
      <w:hyperlink r:id="rId79" w:history="1">
        <w:hyperlink r:id="rId80" w:history="1">
          <w:r w:rsidRPr="0053438B">
            <w:rPr>
              <w:rStyle w:val="Hyperlink"/>
            </w:rPr>
            <w:t>LEOMR</w:t>
          </w:r>
        </w:hyperlink>
      </w:hyperlink>
      <w:r w:rsidRPr="0053438B">
        <w:t xml:space="preserve"> also de</w:t>
      </w:r>
      <w:r w:rsidRPr="00FD274F">
        <w:t>clare the following to be a notifiable instrument:</w:t>
      </w:r>
    </w:p>
    <w:bookmarkEnd w:id="18"/>
    <w:p w14:paraId="02E2F445" w14:textId="44076304" w:rsidR="000C68CB" w:rsidRPr="006F45CA" w:rsidRDefault="000C68CB" w:rsidP="000C68CB">
      <w:pPr>
        <w:pStyle w:val="BodyPara"/>
      </w:pPr>
      <w:r w:rsidRPr="00FD274F">
        <w:t xml:space="preserve">a commencement instrument that commences a registered law </w:t>
      </w:r>
      <w:r w:rsidRPr="006F45CA">
        <w:t>(</w:t>
      </w:r>
      <w:hyperlink r:id="rId81" w:history="1">
        <w:r w:rsidRPr="006F45CA">
          <w:rPr>
            <w:rStyle w:val="Hyperlink"/>
          </w:rPr>
          <w:t>LA</w:t>
        </w:r>
      </w:hyperlink>
      <w:r w:rsidRPr="006F45CA">
        <w:t xml:space="preserve"> s </w:t>
      </w:r>
      <w:r>
        <w:t xml:space="preserve">4 and </w:t>
      </w:r>
      <w:r w:rsidRPr="006F45CA">
        <w:t>8(8)(b)</w:t>
      </w:r>
      <w:proofErr w:type="gramStart"/>
      <w:r w:rsidR="00260AC6">
        <w:t>)</w:t>
      </w:r>
      <w:r w:rsidRPr="006F45CA">
        <w:t>;</w:t>
      </w:r>
      <w:proofErr w:type="gramEnd"/>
    </w:p>
    <w:p w14:paraId="57C1A1BA" w14:textId="244CCE2A" w:rsidR="000C68CB" w:rsidRPr="00FD274F" w:rsidRDefault="000C68CB" w:rsidP="000C68CB">
      <w:pPr>
        <w:pStyle w:val="BodyPara"/>
      </w:pPr>
      <w:r w:rsidRPr="00FD274F">
        <w:t xml:space="preserve">an instrument that announces the day an international agreement enters into force for Australia, regardless of whether the treaty itself has been registered </w:t>
      </w:r>
      <w:r w:rsidRPr="0053438B">
        <w:t>(</w:t>
      </w:r>
      <w:hyperlink r:id="rId82" w:history="1">
        <w:hyperlink r:id="rId83" w:history="1">
          <w:hyperlink r:id="rId84" w:history="1">
            <w:r w:rsidRPr="0053438B">
              <w:rPr>
                <w:rStyle w:val="Hyperlink"/>
              </w:rPr>
              <w:t>LEOMR</w:t>
            </w:r>
          </w:hyperlink>
        </w:hyperlink>
      </w:hyperlink>
      <w:r w:rsidRPr="0053438B">
        <w:t xml:space="preserve"> s 8 item 1).</w:t>
      </w:r>
    </w:p>
    <w:p w14:paraId="3A665249" w14:textId="318DF5A1" w:rsidR="000C68CB" w:rsidRPr="00FD274F" w:rsidRDefault="000C68CB" w:rsidP="000C68CB">
      <w:pPr>
        <w:pStyle w:val="BodyNum"/>
      </w:pPr>
      <w:r w:rsidRPr="00FD274F">
        <w:t>If an instrument is declared to be a notifiable instrument, no further action is required to establish its status under th</w:t>
      </w:r>
      <w:r w:rsidRPr="006F45CA">
        <w:t xml:space="preserve">e </w:t>
      </w:r>
      <w:hyperlink r:id="rId85" w:history="1">
        <w:r w:rsidRPr="006F45CA">
          <w:rPr>
            <w:rStyle w:val="Hyperlink"/>
          </w:rPr>
          <w:t>LA</w:t>
        </w:r>
      </w:hyperlink>
      <w:r w:rsidRPr="006F45CA">
        <w:t>.</w:t>
      </w:r>
    </w:p>
    <w:p w14:paraId="026F92B7" w14:textId="72E27074" w:rsidR="000C68CB" w:rsidRPr="00FD274F" w:rsidRDefault="000C68CB" w:rsidP="000C68CB">
      <w:pPr>
        <w:pStyle w:val="Head4"/>
      </w:pPr>
      <w:bookmarkStart w:id="25" w:name="_Toc183694631"/>
      <w:r w:rsidRPr="00FD274F">
        <w:t>Other instruments</w:t>
      </w:r>
      <w:bookmarkEnd w:id="25"/>
    </w:p>
    <w:p w14:paraId="0D5C21F1" w14:textId="46BFBA05" w:rsidR="000C68CB" w:rsidRPr="00FD274F" w:rsidRDefault="000C68CB" w:rsidP="000C68CB">
      <w:pPr>
        <w:pStyle w:val="BodyNum"/>
      </w:pPr>
      <w:bookmarkStart w:id="26" w:name="_Ref442196278"/>
      <w:r w:rsidRPr="00FD274F">
        <w:t xml:space="preserve">Sometimes an instrument’s enabling legislation will include a different kind of declaration to the effect that an instrument is not a legislative </w:t>
      </w:r>
      <w:proofErr w:type="gramStart"/>
      <w:r w:rsidRPr="00FD274F">
        <w:t>instrument</w:t>
      </w:r>
      <w:r>
        <w:t>,</w:t>
      </w:r>
      <w:r w:rsidRPr="00FD274F">
        <w:t xml:space="preserve"> or</w:t>
      </w:r>
      <w:proofErr w:type="gramEnd"/>
      <w:r w:rsidRPr="00FD274F">
        <w:t xml:space="preserve"> is not a notifiable instrument. </w:t>
      </w:r>
      <w:r w:rsidRPr="006F45CA">
        <w:t xml:space="preserve">The </w:t>
      </w:r>
      <w:hyperlink r:id="rId86" w:history="1">
        <w:r w:rsidRPr="006F45CA">
          <w:rPr>
            <w:rStyle w:val="Hyperlink"/>
          </w:rPr>
          <w:t>LA</w:t>
        </w:r>
      </w:hyperlink>
      <w:r w:rsidRPr="006F45CA">
        <w:t xml:space="preserve"> an</w:t>
      </w:r>
      <w:r w:rsidRPr="00317B28">
        <w:t xml:space="preserve">d </w:t>
      </w:r>
      <w:hyperlink r:id="rId87" w:history="1">
        <w:r w:rsidRPr="00317B28">
          <w:rPr>
            <w:rStyle w:val="Hyperlink"/>
          </w:rPr>
          <w:t>LEOMR</w:t>
        </w:r>
      </w:hyperlink>
      <w:r w:rsidRPr="00317B28">
        <w:t xml:space="preserve"> also</w:t>
      </w:r>
      <w:r w:rsidRPr="00FD274F">
        <w:t xml:space="preserve"> contain declarations that certain instruments are not legislative instruments as follows:</w:t>
      </w:r>
      <w:bookmarkEnd w:id="26"/>
    </w:p>
    <w:p w14:paraId="228EDB85" w14:textId="6AF6CC49" w:rsidR="000C68CB" w:rsidRPr="00317B28" w:rsidRDefault="000C68CB" w:rsidP="000C68CB">
      <w:pPr>
        <w:pStyle w:val="BodyPara"/>
      </w:pPr>
      <w:r w:rsidRPr="00FD274F">
        <w:t>specific declarations for instruments made u</w:t>
      </w:r>
      <w:r w:rsidRPr="00317B28">
        <w:t>nder a particular Act or provision of an Act (</w:t>
      </w:r>
      <w:hyperlink r:id="rId88" w:history="1">
        <w:r w:rsidRPr="00317B28">
          <w:rPr>
            <w:rStyle w:val="Hyperlink"/>
          </w:rPr>
          <w:t>LA</w:t>
        </w:r>
      </w:hyperlink>
      <w:r w:rsidRPr="00317B28">
        <w:t xml:space="preserve"> s 8(8) and </w:t>
      </w:r>
      <w:hyperlink r:id="rId89" w:history="1">
        <w:hyperlink r:id="rId90" w:history="1">
          <w:r w:rsidRPr="00317B28">
            <w:rPr>
              <w:rStyle w:val="Hyperlink"/>
            </w:rPr>
            <w:t>LEOMR</w:t>
          </w:r>
        </w:hyperlink>
      </w:hyperlink>
      <w:r w:rsidRPr="00317B28">
        <w:t xml:space="preserve"> s 7);</w:t>
      </w:r>
    </w:p>
    <w:p w14:paraId="5D8833F0" w14:textId="610B92EC" w:rsidR="000C68CB" w:rsidRPr="00FD274F" w:rsidRDefault="000C68CB" w:rsidP="000C68CB">
      <w:pPr>
        <w:pStyle w:val="BodyPara"/>
      </w:pPr>
      <w:r w:rsidRPr="00317B28">
        <w:t>generic declarations that apply to instrum</w:t>
      </w:r>
      <w:r w:rsidRPr="00FD274F">
        <w:t>ents made under a</w:t>
      </w:r>
      <w:r>
        <w:t>ny</w:t>
      </w:r>
      <w:r w:rsidRPr="00FD274F">
        <w:t xml:space="preserve"> Act unless the contrary intention appears (</w:t>
      </w:r>
      <w:hyperlink r:id="rId91" w:history="1">
        <w:hyperlink r:id="rId92" w:history="1">
          <w:r w:rsidRPr="00317B28">
            <w:rPr>
              <w:rStyle w:val="Hyperlink"/>
            </w:rPr>
            <w:t>LEOMR</w:t>
          </w:r>
        </w:hyperlink>
      </w:hyperlink>
      <w:r w:rsidRPr="00317B28">
        <w:t xml:space="preserve"> s 6).</w:t>
      </w:r>
    </w:p>
    <w:p w14:paraId="4D3D67FC" w14:textId="70B59373" w:rsidR="000C68CB" w:rsidRPr="00FD274F" w:rsidRDefault="000C68CB" w:rsidP="000C68CB">
      <w:pPr>
        <w:pStyle w:val="BodyNum"/>
      </w:pPr>
      <w:bookmarkStart w:id="27" w:name="_Ref184283711"/>
      <w:r w:rsidRPr="00FD274F">
        <w:t xml:space="preserve">Please note, </w:t>
      </w:r>
      <w:hyperlink r:id="rId93" w:history="1">
        <w:hyperlink r:id="rId94" w:history="1">
          <w:r w:rsidRPr="00317B28">
            <w:rPr>
              <w:rStyle w:val="Hyperlink"/>
            </w:rPr>
            <w:t>LEOMR</w:t>
          </w:r>
        </w:hyperlink>
      </w:hyperlink>
      <w:r>
        <w:rPr>
          <w:rStyle w:val="Hyperlink"/>
        </w:rPr>
        <w:t xml:space="preserve"> </w:t>
      </w:r>
      <w:r w:rsidRPr="00FD274F">
        <w:t>does not apply if an Act (such as an instrument’s enabling Act) declares that an instrument is a legislative instrument. An instrument’s enabling Act should always be checked for declarations befo</w:t>
      </w:r>
      <w:r w:rsidRPr="00317B28">
        <w:t xml:space="preserve">re </w:t>
      </w:r>
      <w:hyperlink r:id="rId95" w:history="1">
        <w:hyperlink r:id="rId96" w:history="1">
          <w:r w:rsidRPr="00317B28">
            <w:rPr>
              <w:rStyle w:val="Hyperlink"/>
            </w:rPr>
            <w:t>LEOMR</w:t>
          </w:r>
        </w:hyperlink>
      </w:hyperlink>
      <w:r w:rsidRPr="00317B28">
        <w:t>, a</w:t>
      </w:r>
      <w:r w:rsidRPr="00FD274F">
        <w:t>nd lodging agencies are advised to take particular care when it comes to:</w:t>
      </w:r>
      <w:bookmarkEnd w:id="27"/>
    </w:p>
    <w:p w14:paraId="47CB1AAB" w14:textId="2B496608" w:rsidR="000C68CB" w:rsidRPr="00317B28" w:rsidRDefault="000C68CB" w:rsidP="000C68CB">
      <w:pPr>
        <w:pStyle w:val="BodyPara"/>
      </w:pPr>
      <w:r w:rsidRPr="00FD274F">
        <w:t xml:space="preserve">instruments of delegation and directions to delegates </w:t>
      </w:r>
      <w:r w:rsidRPr="00317B28">
        <w:t>(</w:t>
      </w:r>
      <w:hyperlink r:id="rId97" w:history="1">
        <w:hyperlink r:id="rId98" w:history="1">
          <w:r w:rsidRPr="00317B28">
            <w:rPr>
              <w:rStyle w:val="Hyperlink"/>
            </w:rPr>
            <w:t>LEOMR</w:t>
          </w:r>
        </w:hyperlink>
      </w:hyperlink>
      <w:r w:rsidRPr="00317B28">
        <w:t xml:space="preserve"> s 6</w:t>
      </w:r>
      <w:r>
        <w:t>(1)</w:t>
      </w:r>
      <w:r w:rsidRPr="00317B28">
        <w:t xml:space="preserve"> items 1 and 2); and</w:t>
      </w:r>
    </w:p>
    <w:p w14:paraId="55CAF015" w14:textId="4B4B9673" w:rsidR="000C68CB" w:rsidRPr="00FD274F" w:rsidRDefault="000C68CB" w:rsidP="000C68CB">
      <w:pPr>
        <w:pStyle w:val="BodyPara"/>
      </w:pPr>
      <w:r w:rsidRPr="00FD274F">
        <w:t>instruments of authorisation and approval (</w:t>
      </w:r>
      <w:hyperlink r:id="rId99" w:history="1">
        <w:hyperlink r:id="rId100" w:history="1">
          <w:r w:rsidRPr="00FD274F">
            <w:rPr>
              <w:rStyle w:val="Hyperlink"/>
            </w:rPr>
            <w:t>LEOMR</w:t>
          </w:r>
        </w:hyperlink>
      </w:hyperlink>
      <w:r w:rsidRPr="00FD274F">
        <w:t xml:space="preserve"> </w:t>
      </w:r>
      <w:r w:rsidRPr="00317B28">
        <w:t>s 6</w:t>
      </w:r>
      <w:r>
        <w:t>(1)</w:t>
      </w:r>
      <w:r w:rsidRPr="00317B28">
        <w:t xml:space="preserve"> items 4 and 5);</w:t>
      </w:r>
      <w:r>
        <w:t xml:space="preserve"> and</w:t>
      </w:r>
    </w:p>
    <w:p w14:paraId="656926ED" w14:textId="41D6CB1D" w:rsidR="000C68CB" w:rsidRPr="00FD274F" w:rsidRDefault="000C68CB" w:rsidP="000C68CB">
      <w:pPr>
        <w:pStyle w:val="BodyPara"/>
      </w:pPr>
      <w:r w:rsidRPr="00FD274F">
        <w:t>instruments prescribing or approving forms (</w:t>
      </w:r>
      <w:hyperlink r:id="rId101" w:history="1">
        <w:hyperlink r:id="rId102" w:history="1">
          <w:r w:rsidRPr="00317B28">
            <w:rPr>
              <w:rStyle w:val="Hyperlink"/>
            </w:rPr>
            <w:t>LEOMR</w:t>
          </w:r>
        </w:hyperlink>
      </w:hyperlink>
      <w:r w:rsidRPr="00317B28">
        <w:t xml:space="preserve"> s 6</w:t>
      </w:r>
      <w:r>
        <w:t>(1)</w:t>
      </w:r>
      <w:r w:rsidRPr="00317B28">
        <w:t xml:space="preserve"> item 6)</w:t>
      </w:r>
      <w:r w:rsidRPr="00FD274F">
        <w:t>.</w:t>
      </w:r>
    </w:p>
    <w:p w14:paraId="0E072F03" w14:textId="118E119E" w:rsidR="000C68CB" w:rsidRPr="00FD274F" w:rsidRDefault="000C68CB" w:rsidP="000C68CB">
      <w:pPr>
        <w:pStyle w:val="BodyNum"/>
      </w:pPr>
      <w:bookmarkStart w:id="28" w:name="_Ref444606268"/>
      <w:r w:rsidRPr="00FD274F">
        <w:t>In the event that no declaration can be found in an Act o</w:t>
      </w:r>
      <w:r w:rsidRPr="00317B28">
        <w:t xml:space="preserve">r </w:t>
      </w:r>
      <w:hyperlink r:id="rId103" w:history="1">
        <w:hyperlink r:id="rId104" w:history="1">
          <w:r w:rsidRPr="00317B28">
            <w:rPr>
              <w:rStyle w:val="Hyperlink"/>
            </w:rPr>
            <w:t>LEOMR</w:t>
          </w:r>
        </w:hyperlink>
      </w:hyperlink>
      <w:r w:rsidRPr="00317B28">
        <w:t>,</w:t>
      </w:r>
      <w:r w:rsidRPr="00FD274F">
        <w:t xml:space="preserve"> the status of the instrument under the </w:t>
      </w:r>
      <w:hyperlink r:id="rId105" w:history="1">
        <w:r w:rsidRPr="006F45CA">
          <w:rPr>
            <w:rStyle w:val="Hyperlink"/>
          </w:rPr>
          <w:t>LA</w:t>
        </w:r>
      </w:hyperlink>
      <w:r w:rsidRPr="00FD274F">
        <w:t xml:space="preserve"> can only be established by looking closely at </w:t>
      </w:r>
      <w:bookmarkStart w:id="29" w:name="_Ref367446033"/>
      <w:r w:rsidRPr="00FD274F">
        <w:t xml:space="preserve">the individual instrument that has been or will be made and whether it is of legislative character. </w:t>
      </w:r>
      <w:bookmarkEnd w:id="29"/>
      <w:r w:rsidRPr="006F45CA">
        <w:t xml:space="preserve">Subsection 8(4) of the </w:t>
      </w:r>
      <w:hyperlink r:id="rId106" w:history="1">
        <w:r w:rsidRPr="006F45CA">
          <w:rPr>
            <w:rStyle w:val="Hyperlink"/>
          </w:rPr>
          <w:t>LA</w:t>
        </w:r>
      </w:hyperlink>
      <w:r w:rsidRPr="006F45CA">
        <w:t xml:space="preserve"> s</w:t>
      </w:r>
      <w:r w:rsidRPr="00FD274F">
        <w:t>pecifies that an instrument is a legislative instrument if:</w:t>
      </w:r>
      <w:bookmarkEnd w:id="28"/>
    </w:p>
    <w:p w14:paraId="44A3428F" w14:textId="77777777" w:rsidR="000C68CB" w:rsidRPr="00FD274F" w:rsidRDefault="000C68CB" w:rsidP="000C68CB">
      <w:pPr>
        <w:pStyle w:val="BodyPara"/>
      </w:pPr>
      <w:r w:rsidRPr="00FD274F">
        <w:t>it is made under a power d</w:t>
      </w:r>
      <w:r>
        <w:t>elegated by the Parliament; and</w:t>
      </w:r>
    </w:p>
    <w:p w14:paraId="463D31D4" w14:textId="77777777" w:rsidR="000C68CB" w:rsidRPr="00FD274F" w:rsidRDefault="000C68CB" w:rsidP="000C68CB">
      <w:pPr>
        <w:pStyle w:val="BodyPara"/>
      </w:pPr>
      <w:r w:rsidRPr="00FD274F">
        <w:t>any provision of the instrument:</w:t>
      </w:r>
    </w:p>
    <w:p w14:paraId="34AD6F9A" w14:textId="77777777" w:rsidR="000C68CB" w:rsidRPr="00FD274F" w:rsidRDefault="000C68CB" w:rsidP="000C68CB">
      <w:pPr>
        <w:pStyle w:val="BodySubPara"/>
      </w:pPr>
      <w:r w:rsidRPr="00FD274F">
        <w:t>determines the law or alters the content of the law, rather than whether or how it applies to particular cases or</w:t>
      </w:r>
      <w:r>
        <w:t xml:space="preserve"> circumstances; and</w:t>
      </w:r>
    </w:p>
    <w:p w14:paraId="7C9F3BC3" w14:textId="77777777" w:rsidR="000C68CB" w:rsidRPr="00FD274F" w:rsidRDefault="000C68CB" w:rsidP="000C68CB">
      <w:pPr>
        <w:pStyle w:val="BodySubPara"/>
      </w:pPr>
      <w:r w:rsidRPr="00FD274F">
        <w:lastRenderedPageBreak/>
        <w:t>has the direct or indirect effect of affecting a privilege or interest, imposing an obligation, creating a right, or varying or removing an obligation or right.</w:t>
      </w:r>
    </w:p>
    <w:p w14:paraId="03C4995C" w14:textId="77777777" w:rsidR="000C68CB" w:rsidRPr="00FD274F" w:rsidRDefault="000C68CB" w:rsidP="000C68CB">
      <w:pPr>
        <w:pStyle w:val="BodyNum"/>
      </w:pPr>
      <w:r w:rsidRPr="00FD274F">
        <w:t>Even if an instrument is not a legislative instrument, it may still be useful to lodge it for registration as a notifiable instrument, especially if it is required to be published in the Gazette or elsewhere. Registering such an instrument as a notifiable instrument:</w:t>
      </w:r>
    </w:p>
    <w:p w14:paraId="283C1918" w14:textId="683AF831" w:rsidR="000C68CB" w:rsidRPr="00FD274F" w:rsidRDefault="000C68CB" w:rsidP="000C68CB">
      <w:pPr>
        <w:pStyle w:val="BodyPara"/>
      </w:pPr>
      <w:r w:rsidRPr="00FD274F">
        <w:t>will generally satisfy any statutory requirement for the instrument to be gazetted or publis</w:t>
      </w:r>
      <w:r w:rsidRPr="00102718">
        <w:t xml:space="preserve">hed (see </w:t>
      </w:r>
      <w:hyperlink r:id="rId107" w:history="1">
        <w:r w:rsidRPr="00102718">
          <w:rPr>
            <w:rStyle w:val="Hyperlink"/>
          </w:rPr>
          <w:t>LA</w:t>
        </w:r>
      </w:hyperlink>
      <w:r w:rsidRPr="00102718">
        <w:t xml:space="preserve"> s 11(4)); a</w:t>
      </w:r>
      <w:r w:rsidRPr="00FD274F">
        <w:t>nd</w:t>
      </w:r>
    </w:p>
    <w:p w14:paraId="249B69D0" w14:textId="77777777" w:rsidR="000C68CB" w:rsidRPr="00FD274F" w:rsidRDefault="000C68CB" w:rsidP="000C68CB">
      <w:pPr>
        <w:pStyle w:val="BodyPara"/>
      </w:pPr>
      <w:r w:rsidRPr="00FD274F">
        <w:t>is much cheaper than alternatives suc</w:t>
      </w:r>
      <w:r>
        <w:t>h as newspaper advertising; and</w:t>
      </w:r>
    </w:p>
    <w:p w14:paraId="79371DF6" w14:textId="77777777" w:rsidR="000C68CB" w:rsidRPr="00FD274F" w:rsidRDefault="000C68CB" w:rsidP="000C68CB">
      <w:pPr>
        <w:pStyle w:val="BodyPara"/>
      </w:pPr>
      <w:r w:rsidRPr="00FD274F">
        <w:t>ensures long</w:t>
      </w:r>
      <w:r>
        <w:noBreakHyphen/>
      </w:r>
      <w:r w:rsidRPr="00FD274F">
        <w:t xml:space="preserve">term access to your instrument (unlike agency websites where there is often </w:t>
      </w:r>
      <w:proofErr w:type="gramStart"/>
      <w:r w:rsidRPr="00FD274F">
        <w:t>pressure</w:t>
      </w:r>
      <w:proofErr w:type="gramEnd"/>
      <w:r w:rsidRPr="00FD274F">
        <w:t xml:space="preserve"> to archive older content and to change URLs for agency name changes and website redevelopment).</w:t>
      </w:r>
    </w:p>
    <w:p w14:paraId="5285588F" w14:textId="41E57D28" w:rsidR="000C68CB" w:rsidRPr="00FD274F" w:rsidRDefault="000C68CB" w:rsidP="000C68CB">
      <w:pPr>
        <w:pStyle w:val="BodyNum"/>
      </w:pPr>
      <w:r w:rsidRPr="00FD274F">
        <w:t xml:space="preserve">Unlike legislative instruments, notifiable instruments are not subject to tabling, disallowance or sunsetting. However, they can still be repealed in bulk by means of a regulation made under </w:t>
      </w:r>
      <w:r w:rsidRPr="00102718">
        <w:t xml:space="preserve">section 48E of the </w:t>
      </w:r>
      <w:hyperlink r:id="rId108" w:history="1">
        <w:r w:rsidRPr="00102718">
          <w:rPr>
            <w:rStyle w:val="Hyperlink"/>
          </w:rPr>
          <w:t>LA</w:t>
        </w:r>
      </w:hyperlink>
      <w:r w:rsidRPr="00102718">
        <w:t xml:space="preserve"> if</w:t>
      </w:r>
      <w:r w:rsidRPr="00FD274F">
        <w:t xml:space="preserve"> appropria</w:t>
      </w:r>
      <w:r w:rsidRPr="0009463D">
        <w:t xml:space="preserve">te (see paragraph </w:t>
      </w:r>
      <w:r>
        <w:fldChar w:fldCharType="begin"/>
      </w:r>
      <w:r>
        <w:instrText xml:space="preserve"> REF _Ref110331308 \r \h </w:instrText>
      </w:r>
      <w:r>
        <w:fldChar w:fldCharType="separate"/>
      </w:r>
      <w:r w:rsidR="00833171">
        <w:t>243</w:t>
      </w:r>
      <w:r>
        <w:fldChar w:fldCharType="end"/>
      </w:r>
      <w:r w:rsidRPr="00102718">
        <w:t>).</w:t>
      </w:r>
    </w:p>
    <w:p w14:paraId="60A338E5" w14:textId="77777777" w:rsidR="000C68CB" w:rsidRPr="00FD274F" w:rsidRDefault="000C68CB" w:rsidP="000C68CB">
      <w:pPr>
        <w:pStyle w:val="Head3"/>
      </w:pPr>
      <w:bookmarkStart w:id="30" w:name="_Toc183694632"/>
      <w:r w:rsidRPr="00FD274F">
        <w:t>If there is uncertainty about the status of an instrument</w:t>
      </w:r>
      <w:bookmarkEnd w:id="30"/>
    </w:p>
    <w:p w14:paraId="70CA85F3" w14:textId="50C9B35D" w:rsidR="000C68CB" w:rsidRPr="00FD274F" w:rsidRDefault="000C68CB" w:rsidP="000C68CB">
      <w:pPr>
        <w:pStyle w:val="BodyNum"/>
      </w:pPr>
      <w:r w:rsidRPr="00FD274F">
        <w:t xml:space="preserve">It is important to identify instruments correctly: a legislative instrument is not enforceable by or against any person including the Commonwealth unless and until it is registered as a legislative instrument </w:t>
      </w:r>
      <w:r w:rsidRPr="00102718">
        <w:t>(</w:t>
      </w:r>
      <w:hyperlink r:id="rId109" w:history="1">
        <w:r w:rsidRPr="00102718">
          <w:rPr>
            <w:rStyle w:val="Hyperlink"/>
          </w:rPr>
          <w:t>LA</w:t>
        </w:r>
      </w:hyperlink>
      <w:r w:rsidRPr="00102718">
        <w:t xml:space="preserve"> s 15K(1)).</w:t>
      </w:r>
    </w:p>
    <w:p w14:paraId="2481B689" w14:textId="55D51248" w:rsidR="000C68CB" w:rsidRPr="00FD274F" w:rsidRDefault="000C68CB" w:rsidP="000C68CB">
      <w:pPr>
        <w:pStyle w:val="BodyNum"/>
      </w:pPr>
      <w:r w:rsidRPr="00FD274F">
        <w:t xml:space="preserve">Lodging agencies, not OPC, are responsible for establishing the status of an instrument under the </w:t>
      </w:r>
      <w:hyperlink r:id="rId110" w:history="1">
        <w:r w:rsidRPr="00102718">
          <w:rPr>
            <w:rStyle w:val="Hyperlink"/>
          </w:rPr>
          <w:t>LA</w:t>
        </w:r>
      </w:hyperlink>
      <w:r w:rsidRPr="00102718">
        <w:t xml:space="preserve"> a</w:t>
      </w:r>
      <w:r w:rsidRPr="00FD274F">
        <w:t xml:space="preserve">nd for choosing the appropriate lodgement type at </w:t>
      </w:r>
      <w:r>
        <w:t xml:space="preserve">the </w:t>
      </w:r>
      <w:r w:rsidRPr="00FD274F">
        <w:t xml:space="preserve">time of lodgement. Under </w:t>
      </w:r>
      <w:r w:rsidRPr="00102718">
        <w:t xml:space="preserve">section 15H of the </w:t>
      </w:r>
      <w:hyperlink r:id="rId111" w:history="1">
        <w:r w:rsidRPr="00102718">
          <w:rPr>
            <w:rStyle w:val="Hyperlink"/>
          </w:rPr>
          <w:t>LA</w:t>
        </w:r>
      </w:hyperlink>
      <w:r w:rsidRPr="00102718">
        <w:t>, if an i</w:t>
      </w:r>
      <w:r w:rsidRPr="00FD274F">
        <w:t>nstrument is lodged for registration:</w:t>
      </w:r>
    </w:p>
    <w:p w14:paraId="1F4477F8" w14:textId="6A2B4166" w:rsidR="000C68CB" w:rsidRPr="00FD274F" w:rsidRDefault="000C68CB" w:rsidP="000C68CB">
      <w:pPr>
        <w:pStyle w:val="BodyPara"/>
      </w:pPr>
      <w:r w:rsidRPr="00FD274F">
        <w:t xml:space="preserve">as a legislative instrument, it must be registered as a legislative instrument </w:t>
      </w:r>
      <w:r w:rsidRPr="00102718">
        <w:t>(</w:t>
      </w:r>
      <w:hyperlink r:id="rId112" w:history="1">
        <w:r w:rsidRPr="00102718">
          <w:rPr>
            <w:rStyle w:val="Hyperlink"/>
          </w:rPr>
          <w:t>LA</w:t>
        </w:r>
      </w:hyperlink>
      <w:r w:rsidRPr="00102718">
        <w:t xml:space="preserve"> s 15H(1)(a));</w:t>
      </w:r>
      <w:r>
        <w:t xml:space="preserve"> or</w:t>
      </w:r>
    </w:p>
    <w:p w14:paraId="20BB228A" w14:textId="1878DFD1" w:rsidR="000C68CB" w:rsidRPr="00FD274F" w:rsidRDefault="000C68CB" w:rsidP="000C68CB">
      <w:pPr>
        <w:pStyle w:val="BodyPara"/>
      </w:pPr>
      <w:r w:rsidRPr="00FD274F">
        <w:t>as a notifiable instrument, it must be registered as a notifiable instrument (</w:t>
      </w:r>
      <w:hyperlink r:id="rId113" w:history="1">
        <w:r w:rsidRPr="00102718">
          <w:rPr>
            <w:rStyle w:val="Hyperlink"/>
          </w:rPr>
          <w:t>LA</w:t>
        </w:r>
      </w:hyperlink>
      <w:r w:rsidRPr="00102718">
        <w:rPr>
          <w:rStyle w:val="Hyperlink"/>
        </w:rPr>
        <w:t> </w:t>
      </w:r>
      <w:r w:rsidRPr="00102718">
        <w:t>s 15H(1)(b)).</w:t>
      </w:r>
    </w:p>
    <w:p w14:paraId="4628B983" w14:textId="77777777" w:rsidR="000C68CB" w:rsidRPr="00FD274F" w:rsidRDefault="000C68CB" w:rsidP="000C68CB">
      <w:pPr>
        <w:pStyle w:val="Head4"/>
      </w:pPr>
      <w:bookmarkStart w:id="31" w:name="_Toc183694633"/>
      <w:r w:rsidRPr="00FD274F">
        <w:t>For new instruments</w:t>
      </w:r>
      <w:bookmarkEnd w:id="31"/>
    </w:p>
    <w:p w14:paraId="2361A4F8" w14:textId="77777777" w:rsidR="000C68CB" w:rsidRPr="00FD274F" w:rsidRDefault="000C68CB" w:rsidP="000C68CB">
      <w:pPr>
        <w:pStyle w:val="BodyNum"/>
      </w:pPr>
      <w:r w:rsidRPr="00FD274F">
        <w:t>If it is unclear whether a particular instrument is a legislative instrument, it would be prudent to get legal advice and consider the potential risks to government policy if the instrument is, or is not, registered as a legislative instrument. If there is a need to put the issue beyond doubt, there are two options to consider as follows:</w:t>
      </w:r>
    </w:p>
    <w:p w14:paraId="7402716B" w14:textId="33515D6E" w:rsidR="000C68CB" w:rsidRPr="00FD274F" w:rsidRDefault="000C68CB" w:rsidP="000C68CB">
      <w:pPr>
        <w:pStyle w:val="BodyPara"/>
      </w:pPr>
      <w:r w:rsidRPr="00FD274F">
        <w:t>if the instrument does not need to be made urgently—there may be scope to include an express declaration in relevant legislation (gen</w:t>
      </w:r>
      <w:r w:rsidRPr="00317B28">
        <w:t xml:space="preserve">erally </w:t>
      </w:r>
      <w:hyperlink r:id="rId114" w:history="1">
        <w:r w:rsidRPr="00317B28">
          <w:rPr>
            <w:rStyle w:val="Hyperlink"/>
          </w:rPr>
          <w:t>LEOMR</w:t>
        </w:r>
      </w:hyperlink>
      <w:proofErr w:type="gramStart"/>
      <w:r w:rsidRPr="00317B28">
        <w:t>);</w:t>
      </w:r>
      <w:proofErr w:type="gramEnd"/>
    </w:p>
    <w:p w14:paraId="1CC5FFF9" w14:textId="77777777" w:rsidR="000C68CB" w:rsidRPr="00FD274F" w:rsidRDefault="000C68CB" w:rsidP="000C68CB">
      <w:pPr>
        <w:pStyle w:val="BodyPara"/>
      </w:pPr>
      <w:r w:rsidRPr="00FD274F">
        <w:t xml:space="preserve">if the instrument has already been </w:t>
      </w:r>
      <w:proofErr w:type="gramStart"/>
      <w:r w:rsidRPr="00FD274F">
        <w:t>made, or</w:t>
      </w:r>
      <w:proofErr w:type="gramEnd"/>
      <w:r w:rsidRPr="00FD274F">
        <w:t xml:space="preserve"> needs to be made urgently—it should be registered as</w:t>
      </w:r>
      <w:r>
        <w:t xml:space="preserve"> a legislative instrument.</w:t>
      </w:r>
    </w:p>
    <w:p w14:paraId="72F9AEB9" w14:textId="024569A0" w:rsidR="000C68CB" w:rsidRPr="00FD274F" w:rsidRDefault="000C68CB" w:rsidP="000C68CB">
      <w:pPr>
        <w:pStyle w:val="BodyNum"/>
      </w:pPr>
      <w:r w:rsidRPr="00FD274F">
        <w:lastRenderedPageBreak/>
        <w:t>Registering an instrument as a legislative instrument generally results in it, and an instrument that amends or repeals it, becoming a legislative instrumen</w:t>
      </w:r>
      <w:r w:rsidRPr="00102718">
        <w:t>t (</w:t>
      </w:r>
      <w:hyperlink r:id="rId115" w:history="1">
        <w:r w:rsidRPr="00102718">
          <w:rPr>
            <w:rStyle w:val="Hyperlink"/>
          </w:rPr>
          <w:t>LA</w:t>
        </w:r>
      </w:hyperlink>
      <w:r w:rsidRPr="00102718">
        <w:t xml:space="preserve"> s 10(</w:t>
      </w:r>
      <w:r>
        <w:t>1</w:t>
      </w:r>
      <w:r w:rsidRPr="00102718">
        <w:t>)(</w:t>
      </w:r>
      <w:r>
        <w:t>d</w:t>
      </w:r>
      <w:r w:rsidRPr="00102718">
        <w:t>)).</w:t>
      </w:r>
      <w:r w:rsidRPr="00FD274F">
        <w:t xml:space="preserve"> However, this principle </w:t>
      </w:r>
      <w:r w:rsidR="00224371">
        <w:t>(</w:t>
      </w:r>
      <w:r w:rsidRPr="00FD274F">
        <w:t>and associated disallowance and sunsetting regimes</w:t>
      </w:r>
      <w:r w:rsidR="00224371">
        <w:t>)</w:t>
      </w:r>
      <w:r w:rsidRPr="00FD274F">
        <w:t>, does not apply to a notifiable instrument that is:</w:t>
      </w:r>
    </w:p>
    <w:p w14:paraId="6FB0E30B" w14:textId="09305988" w:rsidR="000C68CB" w:rsidRPr="00FD274F" w:rsidRDefault="000C68CB" w:rsidP="000C68CB">
      <w:pPr>
        <w:pStyle w:val="BodyPara"/>
      </w:pPr>
      <w:r w:rsidRPr="00FD274F">
        <w:t>a commencement instrumen</w:t>
      </w:r>
      <w:r w:rsidRPr="00AB101B">
        <w:t>t (</w:t>
      </w:r>
      <w:hyperlink r:id="rId116" w:history="1">
        <w:r w:rsidRPr="00AB101B">
          <w:rPr>
            <w:rStyle w:val="Hyperlink"/>
          </w:rPr>
          <w:t>LA</w:t>
        </w:r>
      </w:hyperlink>
      <w:r w:rsidRPr="00AB101B">
        <w:t xml:space="preserve"> s 8(8)(b) and 11(2)); o</w:t>
      </w:r>
      <w:r w:rsidRPr="00FD274F">
        <w:t>r</w:t>
      </w:r>
    </w:p>
    <w:p w14:paraId="7003164D" w14:textId="1EE75EB8" w:rsidR="000C68CB" w:rsidRPr="00AB101B" w:rsidRDefault="000C68CB" w:rsidP="000C68CB">
      <w:pPr>
        <w:pStyle w:val="BodyPara"/>
      </w:pPr>
      <w:r w:rsidRPr="00FD274F">
        <w:t xml:space="preserve">declared to be a notifiable instrument by its enabling legislation </w:t>
      </w:r>
      <w:r w:rsidRPr="00AB101B">
        <w:t>(</w:t>
      </w:r>
      <w:hyperlink r:id="rId117" w:history="1">
        <w:r w:rsidRPr="00AB101B">
          <w:rPr>
            <w:rStyle w:val="Hyperlink"/>
          </w:rPr>
          <w:t>LA</w:t>
        </w:r>
      </w:hyperlink>
      <w:r w:rsidRPr="00AB101B">
        <w:t xml:space="preserve"> s 8(8)(a) and 11(1)).</w:t>
      </w:r>
    </w:p>
    <w:p w14:paraId="417B8B2C" w14:textId="2D462ECE" w:rsidR="000C68CB" w:rsidRDefault="000C68CB" w:rsidP="000C68CB">
      <w:pPr>
        <w:pStyle w:val="noteToPara"/>
        <w:ind w:left="1429"/>
      </w:pPr>
      <w:r w:rsidRPr="00FD274F">
        <w:t xml:space="preserve">Note: </w:t>
      </w:r>
      <w:r w:rsidRPr="00FD274F">
        <w:tab/>
      </w:r>
      <w:r w:rsidR="002F347F">
        <w:t xml:space="preserve">Unlike instruments that are notifiable instruments because of paragraph 8(8)(a) of the </w:t>
      </w:r>
      <w:hyperlink r:id="rId118" w:history="1">
        <w:r w:rsidR="002F347F" w:rsidRPr="00AB101B">
          <w:rPr>
            <w:rStyle w:val="Hyperlink"/>
          </w:rPr>
          <w:t>LA</w:t>
        </w:r>
      </w:hyperlink>
      <w:r w:rsidR="002F347F">
        <w:t xml:space="preserve">, instruments that are notifiable instruments under section 8 of </w:t>
      </w:r>
      <w:hyperlink r:id="rId119" w:history="1">
        <w:hyperlink r:id="rId120" w:history="1">
          <w:r w:rsidR="002F347F" w:rsidRPr="00F409B4">
            <w:rPr>
              <w:rStyle w:val="Hyperlink"/>
            </w:rPr>
            <w:t>LEOMR</w:t>
          </w:r>
        </w:hyperlink>
      </w:hyperlink>
      <w:r w:rsidR="002F347F">
        <w:t xml:space="preserve"> can be registered as, and become, legislative instruments.</w:t>
      </w:r>
    </w:p>
    <w:p w14:paraId="3B96F2EC" w14:textId="2853C404" w:rsidR="000C68CB" w:rsidRPr="00FD274F" w:rsidRDefault="000C68CB" w:rsidP="000C68CB">
      <w:pPr>
        <w:pStyle w:val="BodyNum"/>
      </w:pPr>
      <w:r w:rsidRPr="00FD274F">
        <w:t xml:space="preserve">An express declaration that an instrument is not a legislative instrument can be inserted </w:t>
      </w:r>
      <w:r w:rsidRPr="00F409B4">
        <w:t xml:space="preserve">into </w:t>
      </w:r>
      <w:hyperlink r:id="rId121" w:history="1">
        <w:hyperlink r:id="rId122" w:history="1">
          <w:r w:rsidRPr="00F409B4">
            <w:rPr>
              <w:rStyle w:val="Hyperlink"/>
            </w:rPr>
            <w:t>LEOMR</w:t>
          </w:r>
        </w:hyperlink>
      </w:hyperlink>
      <w:r w:rsidRPr="00FD274F">
        <w:t xml:space="preserve"> or an instrument’s enabling legislation, but exceptional policy reasons will be required for a type of instrument that is likely to be of legislative character (</w:t>
      </w:r>
      <w:r w:rsidRPr="0009463D">
        <w:t xml:space="preserve">see paragraph </w:t>
      </w:r>
      <w:r w:rsidRPr="00C856F3">
        <w:fldChar w:fldCharType="begin"/>
      </w:r>
      <w:r w:rsidRPr="0009463D">
        <w:instrText xml:space="preserve"> REF _Ref444606268 \r \h  \* MERGEFORMAT </w:instrText>
      </w:r>
      <w:r w:rsidRPr="00C856F3">
        <w:fldChar w:fldCharType="separate"/>
      </w:r>
      <w:r w:rsidR="00833171">
        <w:t>37</w:t>
      </w:r>
      <w:r w:rsidRPr="00C856F3">
        <w:fldChar w:fldCharType="end"/>
      </w:r>
      <w:r w:rsidRPr="0009463D">
        <w:t>).</w:t>
      </w:r>
      <w:r w:rsidRPr="00FD274F">
        <w:t xml:space="preserve"> Before making or instructing OPC to draft an exemption, please consult </w:t>
      </w:r>
      <w:r w:rsidRPr="00F409B4">
        <w:t>AGD (</w:t>
      </w:r>
      <w:r w:rsidR="00E277CA">
        <w:t xml:space="preserve">email </w:t>
      </w:r>
      <w:hyperlink r:id="rId123" w:history="1">
        <w:r w:rsidR="00E277CA" w:rsidRPr="00C24A30">
          <w:rPr>
            <w:rStyle w:val="Hyperlink"/>
          </w:rPr>
          <w:t>adminlaw@ag.gov.au</w:t>
        </w:r>
      </w:hyperlink>
      <w:r w:rsidRPr="00FD274F">
        <w:rPr>
          <w:rStyle w:val="Hyperlink"/>
        </w:rPr>
        <w:t xml:space="preserve"> </w:t>
      </w:r>
      <w:r w:rsidRPr="00FD274F">
        <w:t xml:space="preserve">or </w:t>
      </w:r>
      <w:r w:rsidR="00E277CA">
        <w:t xml:space="preserve">call the AGD Switchboard on </w:t>
      </w:r>
      <w:r w:rsidR="00E277CA" w:rsidRPr="00E277CA">
        <w:t>(02) 6141 6666</w:t>
      </w:r>
      <w:r w:rsidR="00E277CA">
        <w:t xml:space="preserve"> and ask to be redirected to the Administrative Law Section</w:t>
      </w:r>
      <w:r w:rsidRPr="00F409B4">
        <w:t>).</w:t>
      </w:r>
      <w:r w:rsidRPr="00FD274F">
        <w:t xml:space="preserve"> The formal policy approval of the responsible Minister and the Attorney</w:t>
      </w:r>
      <w:r>
        <w:noBreakHyphen/>
      </w:r>
      <w:r w:rsidRPr="00FD274F">
        <w:t>General is required for such a declaration.</w:t>
      </w:r>
    </w:p>
    <w:p w14:paraId="28F21CB4" w14:textId="77777777" w:rsidR="000C68CB" w:rsidRPr="00FD274F" w:rsidRDefault="000C68CB" w:rsidP="000C68CB">
      <w:pPr>
        <w:pStyle w:val="Head4"/>
      </w:pPr>
      <w:bookmarkStart w:id="32" w:name="_Toc183694634"/>
      <w:r w:rsidRPr="00FD274F">
        <w:t>For older instruments</w:t>
      </w:r>
      <w:bookmarkEnd w:id="32"/>
    </w:p>
    <w:p w14:paraId="6B43FE7A" w14:textId="6109F701" w:rsidR="000C68CB" w:rsidRPr="00FD274F" w:rsidRDefault="000C68CB" w:rsidP="000C68CB">
      <w:pPr>
        <w:pStyle w:val="BodyNum"/>
      </w:pPr>
      <w:r w:rsidRPr="00FD274F">
        <w:t xml:space="preserve">Instruments that would be notifiable instruments if they were made on or after 5 March 2016 are not required to be lodged for registration. However, they can be registered if the First Parliamentary Counsel agrees that this is likely to be useful to users of the Register </w:t>
      </w:r>
      <w:r w:rsidR="00C0506C">
        <w:t>(</w:t>
      </w:r>
      <w:r w:rsidRPr="00FD274F">
        <w:t>for example, because instruments of ongoing or historic interest would cease to be available online as a result of m</w:t>
      </w:r>
      <w:r>
        <w:t>achinery of government changes</w:t>
      </w:r>
      <w:r w:rsidR="00C0506C">
        <w:t>)</w:t>
      </w:r>
      <w:r>
        <w:t>.</w:t>
      </w:r>
    </w:p>
    <w:p w14:paraId="2A868D66" w14:textId="188F8566" w:rsidR="000C68CB" w:rsidRPr="00FD274F" w:rsidRDefault="000C68CB" w:rsidP="000C68CB">
      <w:pPr>
        <w:pStyle w:val="BodyNum"/>
      </w:pPr>
      <w:r w:rsidRPr="00FD274F">
        <w:t>Legislative instruments made before 1 January 2005 were, however, required to be lodged by certain deadlines that have now passed. Any legislative instruments not lodged by the relevant deadline were, in almost all cases, repealed by the operation of s</w:t>
      </w:r>
      <w:r w:rsidRPr="00F409B4">
        <w:t xml:space="preserve">ection 32 of the </w:t>
      </w:r>
      <w:hyperlink r:id="rId124" w:history="1">
        <w:r w:rsidRPr="00F409B4">
          <w:rPr>
            <w:rStyle w:val="Hyperlink"/>
          </w:rPr>
          <w:t>LA</w:t>
        </w:r>
      </w:hyperlink>
      <w:r w:rsidRPr="00FD274F">
        <w:rPr>
          <w:rStyle w:val="Hyperlink"/>
        </w:rPr>
        <w:t xml:space="preserve"> </w:t>
      </w:r>
      <w:r w:rsidRPr="00FD274F">
        <w:t>when it was known as th</w:t>
      </w:r>
      <w:r w:rsidRPr="00F409B4">
        <w:t>e LIA.</w:t>
      </w:r>
      <w:r w:rsidRPr="00FD274F">
        <w:t xml:space="preserve"> That section has since been repealed, but its repeal does not affect:</w:t>
      </w:r>
    </w:p>
    <w:p w14:paraId="06EB5E4C" w14:textId="77777777" w:rsidR="000C68CB" w:rsidRPr="00FD274F" w:rsidRDefault="000C68CB" w:rsidP="000C68CB">
      <w:pPr>
        <w:pStyle w:val="BodyPara"/>
      </w:pPr>
      <w:r w:rsidRPr="00FD274F">
        <w:t>the operation of a handful of older legislative instruments lodged later and registered under subsecti</w:t>
      </w:r>
      <w:r w:rsidRPr="00F409B4">
        <w:t>ons 32(3) and 32(4) of the LIA;</w:t>
      </w:r>
      <w:r>
        <w:t xml:space="preserve"> and</w:t>
      </w:r>
    </w:p>
    <w:p w14:paraId="0E8D2DBA" w14:textId="77777777" w:rsidR="000C68CB" w:rsidRPr="00FD274F" w:rsidRDefault="000C68CB" w:rsidP="000C68CB">
      <w:pPr>
        <w:pStyle w:val="BodyPara"/>
      </w:pPr>
      <w:r w:rsidRPr="00FD274F">
        <w:t>the repeal of all other legislative instruments not lodged as required.</w:t>
      </w:r>
    </w:p>
    <w:p w14:paraId="5920012D" w14:textId="77777777" w:rsidR="000C68CB" w:rsidRPr="00FD274F" w:rsidRDefault="000C68CB" w:rsidP="000C68CB">
      <w:pPr>
        <w:pStyle w:val="Head3"/>
      </w:pPr>
      <w:bookmarkStart w:id="33" w:name="_Toc183694635"/>
      <w:r w:rsidRPr="00FD274F">
        <w:t>What is the Federal Register of Legislation?</w:t>
      </w:r>
      <w:bookmarkEnd w:id="33"/>
    </w:p>
    <w:p w14:paraId="3BD9F590" w14:textId="54FD47FC" w:rsidR="000C68CB" w:rsidRPr="00FD274F" w:rsidRDefault="000C68CB" w:rsidP="000C68CB">
      <w:pPr>
        <w:pStyle w:val="BodyNum"/>
      </w:pPr>
      <w:r w:rsidRPr="00FD274F">
        <w:t>The Federal Register of Legislation is the authorised whole</w:t>
      </w:r>
      <w:r>
        <w:noBreakHyphen/>
      </w:r>
      <w:r w:rsidRPr="00FD274F">
        <w:t>of</w:t>
      </w:r>
      <w:r>
        <w:noBreakHyphen/>
      </w:r>
      <w:r w:rsidRPr="00FD274F">
        <w:t>government website for Commonwealth legislation and related documents. The Register contains the full text of laws, as well as details of the lifecycle of individual laws and the relationships between them. It is managed by OPC in accordance w</w:t>
      </w:r>
      <w:r w:rsidRPr="00C856F3">
        <w:t xml:space="preserve">ith section 15A of the </w:t>
      </w:r>
      <w:hyperlink r:id="rId125" w:history="1">
        <w:r w:rsidRPr="00C856F3">
          <w:rPr>
            <w:rStyle w:val="Hyperlink"/>
          </w:rPr>
          <w:t>LA</w:t>
        </w:r>
      </w:hyperlink>
      <w:r w:rsidRPr="00C856F3">
        <w:rPr>
          <w:rStyle w:val="Hyperlink"/>
        </w:rPr>
        <w:t xml:space="preserve">, </w:t>
      </w:r>
      <w:r w:rsidRPr="00C856F3">
        <w:t>a</w:t>
      </w:r>
      <w:r w:rsidRPr="00FD274F">
        <w:t>nd it includes:</w:t>
      </w:r>
    </w:p>
    <w:p w14:paraId="33AE6377" w14:textId="77777777" w:rsidR="000C68CB" w:rsidRDefault="000C68CB" w:rsidP="000C68CB">
      <w:pPr>
        <w:pStyle w:val="BodyPara"/>
      </w:pPr>
      <w:r w:rsidRPr="00FD274F">
        <w:t>all Acts as made since 1901; and</w:t>
      </w:r>
    </w:p>
    <w:p w14:paraId="442A9104" w14:textId="77777777" w:rsidR="000C68CB" w:rsidRDefault="000C68CB" w:rsidP="000C68CB">
      <w:pPr>
        <w:pStyle w:val="BodyPara"/>
      </w:pPr>
      <w:r>
        <w:t>all Statutory Rules as made from 1904 to 2004; and</w:t>
      </w:r>
    </w:p>
    <w:p w14:paraId="300A168E" w14:textId="77777777" w:rsidR="000C68CB" w:rsidRPr="00FD274F" w:rsidRDefault="000C68CB" w:rsidP="000C68CB">
      <w:pPr>
        <w:pStyle w:val="BodyPara"/>
      </w:pPr>
      <w:r w:rsidRPr="00FD274F">
        <w:lastRenderedPageBreak/>
        <w:t>all legislative instruments made on or from 1 January 2005, including all older instruments in force on 1 January 200</w:t>
      </w:r>
      <w:r>
        <w:t>5</w:t>
      </w:r>
      <w:r w:rsidRPr="00FD274F">
        <w:t>, and associated explanatory statements; and</w:t>
      </w:r>
    </w:p>
    <w:p w14:paraId="0E0FFFBC" w14:textId="77777777" w:rsidR="000C68CB" w:rsidRPr="00FD274F" w:rsidRDefault="000C68CB" w:rsidP="000C68CB">
      <w:pPr>
        <w:pStyle w:val="BodyPara"/>
      </w:pPr>
      <w:r w:rsidRPr="00FD274F">
        <w:t>all notifiable instruments as made from 5 March 2016; and</w:t>
      </w:r>
    </w:p>
    <w:p w14:paraId="16D280FA" w14:textId="77777777" w:rsidR="000C68CB" w:rsidRPr="00FD274F" w:rsidRDefault="000C68CB" w:rsidP="000C68CB">
      <w:pPr>
        <w:pStyle w:val="BodyPara"/>
      </w:pPr>
      <w:r w:rsidRPr="00FD274F">
        <w:t xml:space="preserve">compilations showing the text of Acts and </w:t>
      </w:r>
      <w:r>
        <w:t>instruments as amended; and</w:t>
      </w:r>
    </w:p>
    <w:p w14:paraId="24AABAB5" w14:textId="38B97FEF" w:rsidR="000C68CB" w:rsidRPr="00FD274F" w:rsidRDefault="000C68CB" w:rsidP="000C68CB">
      <w:pPr>
        <w:pStyle w:val="BodyPara"/>
      </w:pPr>
      <w:r w:rsidRPr="00FD274F">
        <w:t>related documents such as Gazette notices.</w:t>
      </w:r>
    </w:p>
    <w:p w14:paraId="1ADB8802" w14:textId="7AA89605" w:rsidR="00AA291B" w:rsidRDefault="00CE206C" w:rsidP="00736102">
      <w:pPr>
        <w:pStyle w:val="BodyNum"/>
      </w:pPr>
      <w:r>
        <w:t xml:space="preserve">The </w:t>
      </w:r>
      <w:r w:rsidR="00DC10AB">
        <w:t>Register</w:t>
      </w:r>
      <w:r>
        <w:t xml:space="preserve"> does not have a complete collection of all Bills and explanatory material.</w:t>
      </w:r>
      <w:r w:rsidR="00D83534">
        <w:t xml:space="preserve"> On the Register, you will find:</w:t>
      </w:r>
    </w:p>
    <w:p w14:paraId="0D4B5A3B" w14:textId="758326DF" w:rsidR="00AA291B" w:rsidRDefault="00D83534" w:rsidP="00AA291B">
      <w:pPr>
        <w:pStyle w:val="BodyPara"/>
      </w:pPr>
      <w:r>
        <w:t xml:space="preserve">for some older Acts, </w:t>
      </w:r>
      <w:r w:rsidRPr="000624BF">
        <w:t xml:space="preserve">a link to a page with a copy of the Bill as first introduced and the initial </w:t>
      </w:r>
      <w:r>
        <w:t>explanatory memorandum (EM)</w:t>
      </w:r>
      <w:r w:rsidRPr="000624BF">
        <w:t xml:space="preserve"> on the Register</w:t>
      </w:r>
      <w:r w:rsidR="00AA291B" w:rsidRPr="00FD274F">
        <w:t>; and</w:t>
      </w:r>
    </w:p>
    <w:p w14:paraId="60D04E3A" w14:textId="5655C34B" w:rsidR="002B303B" w:rsidRDefault="00D83534" w:rsidP="00D83534">
      <w:pPr>
        <w:pStyle w:val="BodyPara"/>
      </w:pPr>
      <w:r>
        <w:t>f</w:t>
      </w:r>
      <w:r w:rsidRPr="000624BF">
        <w:t xml:space="preserve">or </w:t>
      </w:r>
      <w:r>
        <w:t xml:space="preserve">more recent </w:t>
      </w:r>
      <w:r w:rsidRPr="000624BF">
        <w:t>Acts</w:t>
      </w:r>
      <w:r>
        <w:t>,</w:t>
      </w:r>
      <w:r w:rsidRPr="000624BF">
        <w:t xml:space="preserve"> a link to the </w:t>
      </w:r>
      <w:r>
        <w:t xml:space="preserve">Australian Parliament House (APH) </w:t>
      </w:r>
      <w:r w:rsidRPr="000624BF">
        <w:t xml:space="preserve">website Bills page, with a full history of the Bill, at the bottom of the </w:t>
      </w:r>
      <w:proofErr w:type="gramStart"/>
      <w:r w:rsidR="00363585">
        <w:t>A</w:t>
      </w:r>
      <w:r w:rsidRPr="000624BF">
        <w:t>ll versions</w:t>
      </w:r>
      <w:proofErr w:type="gramEnd"/>
      <w:r w:rsidRPr="000624BF">
        <w:t xml:space="preserve"> page for each Act</w:t>
      </w:r>
      <w:r>
        <w:t>.</w:t>
      </w:r>
    </w:p>
    <w:p w14:paraId="6DD20B81" w14:textId="7FBA2516" w:rsidR="00234E6D" w:rsidRDefault="00C1051A" w:rsidP="00C32ACE">
      <w:pPr>
        <w:pStyle w:val="BodyNum"/>
      </w:pPr>
      <w:r>
        <w:t>The APH website</w:t>
      </w:r>
      <w:r w:rsidR="00977814" w:rsidRPr="00C97A6C">
        <w:rPr>
          <w:rStyle w:val="FootnoteReference"/>
          <w:spacing w:val="-2"/>
        </w:rPr>
        <w:footnoteReference w:id="6"/>
      </w:r>
      <w:r>
        <w:t xml:space="preserve"> is the authoritative source for Bills, EMs and associated documents and includes information about their passage through Parliament.</w:t>
      </w:r>
      <w:r w:rsidR="00977814">
        <w:t xml:space="preserve"> </w:t>
      </w:r>
      <w:r w:rsidR="00A030F6">
        <w:t>H</w:t>
      </w:r>
      <w:r w:rsidR="00977814">
        <w:t>istoric Bills and EMs (pre-1997</w:t>
      </w:r>
      <w:r w:rsidR="00A030F6">
        <w:t xml:space="preserve">) can be found through </w:t>
      </w:r>
      <w:r w:rsidR="00011D03">
        <w:t xml:space="preserve">APH’s </w:t>
      </w:r>
      <w:proofErr w:type="spellStart"/>
      <w:r w:rsidR="00011D03">
        <w:t>Parlinfo</w:t>
      </w:r>
      <w:proofErr w:type="spellEnd"/>
      <w:r w:rsidR="00011D03">
        <w:t xml:space="preserve"> database</w:t>
      </w:r>
      <w:r w:rsidR="00A030F6" w:rsidRPr="00C97A6C">
        <w:rPr>
          <w:rStyle w:val="FootnoteReference"/>
          <w:spacing w:val="-2"/>
        </w:rPr>
        <w:footnoteReference w:id="7"/>
      </w:r>
      <w:r w:rsidR="00A030F6">
        <w:t>.</w:t>
      </w:r>
    </w:p>
    <w:p w14:paraId="6E726FA0" w14:textId="146467BD" w:rsidR="004175CE" w:rsidRDefault="00B54537" w:rsidP="004175CE">
      <w:pPr>
        <w:pStyle w:val="BodyNum"/>
      </w:pPr>
      <w:r>
        <w:t>For Acts and instruments, t</w:t>
      </w:r>
      <w:r w:rsidR="000C68CB" w:rsidRPr="00FD274F">
        <w:t xml:space="preserve">he authorised version of a document that has been registered is always in a PDF format and is always stamped with the document’s unique identifier and a prescribed form of words such as “Authorised version” or “Authoritative” </w:t>
      </w:r>
      <w:r w:rsidR="000C68CB" w:rsidRPr="00F409B4">
        <w:t xml:space="preserve">(for a complete list, see </w:t>
      </w:r>
      <w:hyperlink r:id="rId126" w:history="1">
        <w:r w:rsidR="000C68CB" w:rsidRPr="00F409B4">
          <w:rPr>
            <w:rStyle w:val="Hyperlink"/>
          </w:rPr>
          <w:t>Rule</w:t>
        </w:r>
      </w:hyperlink>
      <w:r w:rsidR="000C68CB" w:rsidRPr="00F409B4">
        <w:t xml:space="preserve"> s 14).</w:t>
      </w:r>
    </w:p>
    <w:p w14:paraId="1CEEC6C1" w14:textId="36BAD041" w:rsidR="004175CE" w:rsidRPr="004175CE" w:rsidRDefault="000C68CB" w:rsidP="004175CE">
      <w:pPr>
        <w:pStyle w:val="BodyNum"/>
        <w:sectPr w:rsidR="004175CE" w:rsidRPr="004175CE" w:rsidSect="00756824">
          <w:headerReference w:type="default" r:id="rId127"/>
          <w:pgSz w:w="11907" w:h="16839" w:code="9"/>
          <w:pgMar w:top="1440" w:right="1440" w:bottom="1418" w:left="1440" w:header="720" w:footer="720" w:gutter="0"/>
          <w:pgNumType w:start="4"/>
          <w:cols w:sep="1" w:space="567"/>
          <w:docGrid w:linePitch="360"/>
        </w:sectPr>
      </w:pPr>
      <w:r w:rsidRPr="00FD274F">
        <w:t xml:space="preserve">For information on how and when to lodge instruments and related documents for registration, see </w:t>
      </w:r>
      <w:hyperlink w:anchor="Chapter4" w:history="1">
        <w:r w:rsidRPr="00041A27">
          <w:rPr>
            <w:rStyle w:val="Hyperlink"/>
          </w:rPr>
          <w:t>Chapter 4</w:t>
        </w:r>
      </w:hyperlink>
      <w:r w:rsidRPr="00FD274F">
        <w:t xml:space="preserve">. For information on how and when to lodge compilations, see </w:t>
      </w:r>
      <w:hyperlink w:anchor="Chapter5" w:history="1">
        <w:r w:rsidRPr="00041A27">
          <w:rPr>
            <w:rStyle w:val="Hyperlink"/>
          </w:rPr>
          <w:t>Chapter 5</w:t>
        </w:r>
      </w:hyperlink>
      <w:r w:rsidRPr="00041A27">
        <w:t>.</w:t>
      </w:r>
      <w:bookmarkStart w:id="34" w:name="Chapter3"/>
    </w:p>
    <w:p w14:paraId="3BDB18EF" w14:textId="22443997" w:rsidR="008E40D0" w:rsidRPr="00FD274F" w:rsidRDefault="008E40D0" w:rsidP="008E40D0">
      <w:pPr>
        <w:pStyle w:val="Head2"/>
        <w:rPr>
          <w:rFonts w:cs="Arial"/>
          <w:sz w:val="32"/>
        </w:rPr>
      </w:pPr>
      <w:bookmarkStart w:id="35" w:name="_Toc183694636"/>
      <w:r w:rsidRPr="00FD274F">
        <w:rPr>
          <w:rFonts w:cs="Arial"/>
          <w:sz w:val="32"/>
        </w:rPr>
        <w:lastRenderedPageBreak/>
        <w:t>Chapter 3—Drafting and interpretation of instruments</w:t>
      </w:r>
      <w:bookmarkEnd w:id="35"/>
    </w:p>
    <w:bookmarkEnd w:id="34"/>
    <w:p w14:paraId="5F585121" w14:textId="77777777" w:rsidR="008E40D0" w:rsidRPr="00FD274F" w:rsidRDefault="008E40D0" w:rsidP="008E40D0">
      <w:pPr>
        <w:pStyle w:val="SundryBoxHeadBold"/>
      </w:pPr>
      <w:r w:rsidRPr="00FD274F">
        <w:t>Main points</w:t>
      </w:r>
    </w:p>
    <w:p w14:paraId="5A2D5AB2" w14:textId="77777777" w:rsidR="008E40D0" w:rsidRPr="00FD274F" w:rsidRDefault="008E40D0" w:rsidP="008E40D0">
      <w:pPr>
        <w:pStyle w:val="SundryBoxBullet"/>
      </w:pPr>
      <w:r w:rsidRPr="00FD274F">
        <w:t>•</w:t>
      </w:r>
      <w:r w:rsidRPr="00FD274F">
        <w:tab/>
        <w:t>OPC is required to draft certain instruments, is available to assist with other drafting matters, and publishes detailed guidance on a range of drafting issues.</w:t>
      </w:r>
    </w:p>
    <w:p w14:paraId="18FD343C" w14:textId="37D4116D" w:rsidR="008E40D0" w:rsidRPr="00FD274F" w:rsidRDefault="008E40D0" w:rsidP="008E40D0">
      <w:pPr>
        <w:pStyle w:val="SundryBoxBullet"/>
      </w:pPr>
      <w:r w:rsidRPr="00FD274F">
        <w:t>•</w:t>
      </w:r>
      <w:r w:rsidRPr="00FD274F">
        <w:tab/>
        <w:t>In reading or drafting a legislative instrument, it is important to have regard to any special provisions in the enabling legislation that may apply in addition to, or instead of, the default rules provided b</w:t>
      </w:r>
      <w:r w:rsidRPr="00C856F3">
        <w:t xml:space="preserve">y the </w:t>
      </w:r>
      <w:hyperlink r:id="rId128" w:history="1">
        <w:r w:rsidRPr="00C856F3">
          <w:rPr>
            <w:rStyle w:val="Hyperlink"/>
          </w:rPr>
          <w:t>LA</w:t>
        </w:r>
      </w:hyperlink>
      <w:r w:rsidRPr="00C856F3">
        <w:rPr>
          <w:rStyle w:val="Hyperlink"/>
        </w:rPr>
        <w:t xml:space="preserve"> </w:t>
      </w:r>
      <w:r w:rsidRPr="00C856F3">
        <w:t>o</w:t>
      </w:r>
      <w:r w:rsidRPr="00FD274F">
        <w:t>n issues such as commencement, incorporation of documents by reference, and use of gender</w:t>
      </w:r>
      <w:r>
        <w:noBreakHyphen/>
      </w:r>
      <w:r w:rsidRPr="00FD274F">
        <w:t>specific language.</w:t>
      </w:r>
    </w:p>
    <w:p w14:paraId="44C9A5E8" w14:textId="5DAD44D5" w:rsidR="008E40D0" w:rsidRPr="00FD274F" w:rsidRDefault="008E40D0" w:rsidP="008E40D0">
      <w:pPr>
        <w:pStyle w:val="SundryBoxBullet"/>
      </w:pPr>
      <w:r w:rsidRPr="00FD274F">
        <w:t>•</w:t>
      </w:r>
      <w:r w:rsidRPr="00FD274F">
        <w:tab/>
        <w:t xml:space="preserve">Lack of attention to the default </w:t>
      </w:r>
      <w:hyperlink r:id="rId129" w:history="1">
        <w:r w:rsidRPr="00C856F3">
          <w:rPr>
            <w:rStyle w:val="Hyperlink"/>
          </w:rPr>
          <w:t>LA</w:t>
        </w:r>
      </w:hyperlink>
      <w:r w:rsidRPr="00FD274F">
        <w:rPr>
          <w:rStyle w:val="Hyperlink"/>
        </w:rPr>
        <w:t xml:space="preserve"> </w:t>
      </w:r>
      <w:r w:rsidRPr="00FD274F">
        <w:t>rules can have significant legal and other consequences.</w:t>
      </w:r>
    </w:p>
    <w:p w14:paraId="06EE9365" w14:textId="77777777" w:rsidR="008E40D0" w:rsidRPr="00FD274F" w:rsidRDefault="008E40D0" w:rsidP="008E40D0">
      <w:pPr>
        <w:pStyle w:val="SundryBoxBullet"/>
      </w:pPr>
      <w:r w:rsidRPr="00FD274F">
        <w:t>•</w:t>
      </w:r>
      <w:r w:rsidRPr="00FD274F">
        <w:tab/>
        <w:t>Attention to formatting issues is also important to ensure that registered documents meet government accessibility requirements and read as intended.</w:t>
      </w:r>
    </w:p>
    <w:p w14:paraId="09994291" w14:textId="77777777" w:rsidR="008E40D0" w:rsidRPr="00FD274F" w:rsidRDefault="008E40D0" w:rsidP="008E40D0">
      <w:pPr>
        <w:pStyle w:val="Head3"/>
      </w:pPr>
      <w:bookmarkStart w:id="36" w:name="_Toc183694637"/>
      <w:r w:rsidRPr="00FD274F">
        <w:t>Drafting of legislative instruments</w:t>
      </w:r>
      <w:bookmarkEnd w:id="36"/>
    </w:p>
    <w:p w14:paraId="579B62FB" w14:textId="5B368F18" w:rsidR="008E40D0" w:rsidRPr="00FD274F" w:rsidRDefault="008E40D0" w:rsidP="008E40D0">
      <w:pPr>
        <w:pStyle w:val="BodyNum"/>
      </w:pPr>
      <w:bookmarkStart w:id="37" w:name="_Ref386114686"/>
      <w:r w:rsidRPr="00FD274F">
        <w:t>Under the</w:t>
      </w:r>
      <w:r>
        <w:t xml:space="preserve"> </w:t>
      </w:r>
      <w:hyperlink r:id="rId130" w:history="1">
        <w:r w:rsidRPr="00C97A6C">
          <w:rPr>
            <w:rStyle w:val="Hyperlink"/>
            <w:i/>
          </w:rPr>
          <w:t>Legal Services Directions 2017</w:t>
        </w:r>
      </w:hyperlink>
      <w:r w:rsidRPr="00C97A6C">
        <w:t>, c</w:t>
      </w:r>
      <w:r w:rsidRPr="00FD274F">
        <w:t>ertain drafting work is tied to OPC. Agencies must use OPC’s drafting services to prepare new or amending regulations, Ordinances and regulations of certain Territories, and any other legislative instruments made or approved by the Governor</w:t>
      </w:r>
      <w:r>
        <w:noBreakHyphen/>
      </w:r>
      <w:r w:rsidRPr="00FD274F">
        <w:t>General.</w:t>
      </w:r>
      <w:bookmarkEnd w:id="37"/>
    </w:p>
    <w:p w14:paraId="7F311AC2" w14:textId="5FDB82EA" w:rsidR="008E40D0" w:rsidRPr="00FD274F" w:rsidRDefault="008E40D0" w:rsidP="008E40D0">
      <w:pPr>
        <w:pStyle w:val="BodyNum"/>
        <w:rPr>
          <w:spacing w:val="-2"/>
        </w:rPr>
      </w:pPr>
      <w:r w:rsidRPr="00FD274F">
        <w:rPr>
          <w:spacing w:val="-2"/>
        </w:rPr>
        <w:t>To better target OPC’s drafting services to government needs, OPC has a prioritisation system for legislative instruments made or approved by the Governor</w:t>
      </w:r>
      <w:r>
        <w:rPr>
          <w:spacing w:val="-2"/>
        </w:rPr>
        <w:noBreakHyphen/>
      </w:r>
      <w:r w:rsidRPr="00FD274F">
        <w:rPr>
          <w:spacing w:val="-2"/>
        </w:rPr>
        <w:t>General (</w:t>
      </w:r>
      <w:proofErr w:type="spellStart"/>
      <w:r w:rsidRPr="00FD274F">
        <w:rPr>
          <w:spacing w:val="-2"/>
        </w:rPr>
        <w:t>ExCo</w:t>
      </w:r>
      <w:proofErr w:type="spellEnd"/>
      <w:r w:rsidRPr="00FD274F">
        <w:rPr>
          <w:spacing w:val="-2"/>
        </w:rPr>
        <w:t xml:space="preserve"> instruments). General policy approval from the Minister (or the Cabinet) for </w:t>
      </w:r>
      <w:proofErr w:type="spellStart"/>
      <w:r w:rsidRPr="00FD274F">
        <w:rPr>
          <w:spacing w:val="-2"/>
        </w:rPr>
        <w:t>ExCo</w:t>
      </w:r>
      <w:proofErr w:type="spellEnd"/>
      <w:r w:rsidRPr="00FD274F">
        <w:rPr>
          <w:spacing w:val="-2"/>
        </w:rPr>
        <w:t xml:space="preserve"> instruments is also required to be in place at the time drafting instructions are issued to OPC</w:t>
      </w:r>
      <w:r w:rsidR="00B801F2">
        <w:rPr>
          <w:spacing w:val="-2"/>
        </w:rPr>
        <w:t>,</w:t>
      </w:r>
      <w:r w:rsidRPr="00FD274F">
        <w:rPr>
          <w:spacing w:val="-2"/>
        </w:rPr>
        <w:t xml:space="preserve"> unless other arrangements have bee</w:t>
      </w:r>
      <w:r w:rsidRPr="00C97A6C">
        <w:rPr>
          <w:spacing w:val="-2"/>
        </w:rPr>
        <w:t>n made with OPC. More information is available on the OPC website</w:t>
      </w:r>
      <w:r w:rsidR="00BE5D6C">
        <w:rPr>
          <w:spacing w:val="-2"/>
        </w:rPr>
        <w:t xml:space="preserve"> </w:t>
      </w:r>
      <w:hyperlink r:id="rId131" w:history="1">
        <w:r w:rsidR="00BE5D6C" w:rsidRPr="00E12592">
          <w:rPr>
            <w:rStyle w:val="Hyperlink"/>
          </w:rPr>
          <w:t>https://www.opc.gov.au/</w:t>
        </w:r>
      </w:hyperlink>
      <w:r w:rsidRPr="00C97A6C">
        <w:rPr>
          <w:spacing w:val="-2"/>
        </w:rPr>
        <w:t xml:space="preserve"> or </w:t>
      </w:r>
      <w:bookmarkStart w:id="38" w:name="_Hlk175821279"/>
      <w:r w:rsidRPr="00C97A6C">
        <w:rPr>
          <w:spacing w:val="-2"/>
        </w:rPr>
        <w:t xml:space="preserve">by contacting </w:t>
      </w:r>
      <w:hyperlink r:id="rId132" w:history="1">
        <w:r w:rsidRPr="00E12592">
          <w:rPr>
            <w:rStyle w:val="Hyperlink"/>
            <w:spacing w:val="-2"/>
          </w:rPr>
          <w:t>OPC’s instrument client advisers</w:t>
        </w:r>
      </w:hyperlink>
      <w:r w:rsidRPr="00C97A6C">
        <w:rPr>
          <w:spacing w:val="-2"/>
        </w:rPr>
        <w:t>.</w:t>
      </w:r>
      <w:bookmarkEnd w:id="38"/>
    </w:p>
    <w:p w14:paraId="19DC940B" w14:textId="7C30D9EA" w:rsidR="008E40D0" w:rsidRPr="00FD274F" w:rsidRDefault="008E40D0" w:rsidP="008E40D0">
      <w:pPr>
        <w:pStyle w:val="BodyNum"/>
      </w:pPr>
      <w:r w:rsidRPr="00FD274F">
        <w:t>Agencies that are developing legislative proposals for instruments required to be drafted by OPC but that lack the in</w:t>
      </w:r>
      <w:r>
        <w:noBreakHyphen/>
      </w:r>
      <w:r w:rsidRPr="00FD274F">
        <w:t>house expertise to answer key legal questions can also get quick, informal advice on drafting aspects of legislation proposals from OPC</w:t>
      </w:r>
      <w:r>
        <w:t>’s</w:t>
      </w:r>
      <w:r w:rsidRPr="00FD274F">
        <w:t xml:space="preserve"> instrument client adviser</w:t>
      </w:r>
      <w:r>
        <w:t>s</w:t>
      </w:r>
      <w:r w:rsidRPr="00FD274F">
        <w:t>.</w:t>
      </w:r>
      <w:r w:rsidR="00C32ACE">
        <w:t xml:space="preserve"> </w:t>
      </w:r>
      <w:hyperlink r:id="rId133" w:history="1">
        <w:r w:rsidR="00E92C08">
          <w:rPr>
            <w:rStyle w:val="Hyperlink"/>
          </w:rPr>
          <w:t>OPC’s Instrument Fact Sheet Series</w:t>
        </w:r>
      </w:hyperlink>
      <w:r w:rsidR="000C130E">
        <w:t xml:space="preserve"> </w:t>
      </w:r>
      <w:r w:rsidR="00D14549">
        <w:t xml:space="preserve">provide brief guides and summaries on key </w:t>
      </w:r>
      <w:r w:rsidR="003F0D7A">
        <w:t xml:space="preserve">considerations for </w:t>
      </w:r>
      <w:r w:rsidR="00F10559">
        <w:t>instruments</w:t>
      </w:r>
      <w:r w:rsidR="00D14549">
        <w:t>.</w:t>
      </w:r>
    </w:p>
    <w:p w14:paraId="3E281E5F" w14:textId="3E28E1C6" w:rsidR="008E40D0" w:rsidRPr="00FD274F" w:rsidRDefault="008E40D0" w:rsidP="008E40D0">
      <w:pPr>
        <w:pStyle w:val="BodyNum"/>
        <w:rPr>
          <w:rStyle w:val="Hyperlink"/>
          <w:color w:val="auto"/>
        </w:rPr>
      </w:pPr>
      <w:r w:rsidRPr="00FD274F">
        <w:t>OPC is available to draft other instruments on a fee</w:t>
      </w:r>
      <w:r>
        <w:noBreakHyphen/>
      </w:r>
      <w:r w:rsidRPr="00FD274F">
        <w:t>for</w:t>
      </w:r>
      <w:r>
        <w:noBreakHyphen/>
      </w:r>
      <w:r w:rsidRPr="00FD274F">
        <w:t xml:space="preserve">service basis. OPC can also provide a range of support services for </w:t>
      </w:r>
      <w:r>
        <w:t>agencies drafting their own instruments</w:t>
      </w:r>
      <w:r w:rsidR="00914F11">
        <w:t>,</w:t>
      </w:r>
      <w:r w:rsidRPr="00FD274F">
        <w:t xml:space="preserve"> including editorial, document design and compilation services on this basis. More information about OPC instrument drafting and support services is available on the OPC website</w:t>
      </w:r>
      <w:r w:rsidR="00BE5D6C">
        <w:t xml:space="preserve"> </w:t>
      </w:r>
      <w:hyperlink r:id="rId134" w:history="1">
        <w:r w:rsidRPr="00E12592">
          <w:rPr>
            <w:rStyle w:val="Hyperlink"/>
          </w:rPr>
          <w:t>https://www.opc.gov.au/</w:t>
        </w:r>
      </w:hyperlink>
      <w:r w:rsidRPr="00E12592">
        <w:rPr>
          <w:rStyle w:val="Hyperlink"/>
        </w:rPr>
        <w:t>.</w:t>
      </w:r>
    </w:p>
    <w:p w14:paraId="2421FB14" w14:textId="77777777" w:rsidR="008E40D0" w:rsidRPr="00FD274F" w:rsidRDefault="008E40D0" w:rsidP="008E40D0">
      <w:pPr>
        <w:pStyle w:val="BodyNum"/>
        <w:keepNext/>
      </w:pPr>
      <w:r w:rsidRPr="00FD274F">
        <w:lastRenderedPageBreak/>
        <w:t>If an instrument is not to be drafted by OPC, the person drafting the instrument needs to be aware of the drafting and publishing standards set out in th</w:t>
      </w:r>
      <w:r w:rsidRPr="00DA1B94">
        <w:t>is Chapter</w:t>
      </w:r>
      <w:r w:rsidRPr="00FD274F">
        <w:t>. Compliance with these standards is important and will help ensure that new instruments are:</w:t>
      </w:r>
    </w:p>
    <w:p w14:paraId="46A9FC91" w14:textId="7D8D0FEA" w:rsidR="008E40D0" w:rsidRPr="00FD274F" w:rsidRDefault="008E40D0" w:rsidP="008E40D0">
      <w:pPr>
        <w:pStyle w:val="BodyPara"/>
      </w:pPr>
      <w:r w:rsidRPr="00FD274F">
        <w:t xml:space="preserve">legally effective—there are a number of laws of general application to consider (see </w:t>
      </w:r>
      <w:r w:rsidRPr="00DA1B94">
        <w:t xml:space="preserve">paragraphs </w:t>
      </w:r>
      <w:r w:rsidRPr="007841D1">
        <w:fldChar w:fldCharType="begin"/>
      </w:r>
      <w:r w:rsidRPr="00DA1B94">
        <w:instrText xml:space="preserve"> REF _Ref367446103 \r \h  \* MERGEFORMAT </w:instrText>
      </w:r>
      <w:r w:rsidRPr="007841D1">
        <w:fldChar w:fldCharType="separate"/>
      </w:r>
      <w:r w:rsidR="00833171">
        <w:t>57</w:t>
      </w:r>
      <w:r w:rsidRPr="007841D1">
        <w:fldChar w:fldCharType="end"/>
      </w:r>
      <w:r w:rsidRPr="00DA1B94">
        <w:t xml:space="preserve"> to </w:t>
      </w:r>
      <w:r>
        <w:rPr>
          <w:highlight w:val="yellow"/>
        </w:rPr>
        <w:fldChar w:fldCharType="begin"/>
      </w:r>
      <w:r>
        <w:instrText xml:space="preserve"> REF _Ref384706703 \r \h </w:instrText>
      </w:r>
      <w:r>
        <w:rPr>
          <w:highlight w:val="yellow"/>
        </w:rPr>
      </w:r>
      <w:r>
        <w:rPr>
          <w:highlight w:val="yellow"/>
        </w:rPr>
        <w:fldChar w:fldCharType="separate"/>
      </w:r>
      <w:r w:rsidR="00833171">
        <w:t>95</w:t>
      </w:r>
      <w:r>
        <w:rPr>
          <w:highlight w:val="yellow"/>
        </w:rPr>
        <w:fldChar w:fldCharType="end"/>
      </w:r>
      <w:r w:rsidRPr="00DA1B94">
        <w:t>);</w:t>
      </w:r>
      <w:r w:rsidRPr="00FD274F">
        <w:t xml:space="preserve"> and</w:t>
      </w:r>
    </w:p>
    <w:p w14:paraId="024B1967" w14:textId="77777777" w:rsidR="008E40D0" w:rsidRPr="00FD274F" w:rsidRDefault="008E40D0" w:rsidP="008E40D0">
      <w:pPr>
        <w:pStyle w:val="BodyPara"/>
      </w:pPr>
      <w:r>
        <w:t>clear; and</w:t>
      </w:r>
    </w:p>
    <w:p w14:paraId="161A25EA" w14:textId="05D0E9C8" w:rsidR="008E40D0" w:rsidRPr="00FD274F" w:rsidRDefault="008E40D0" w:rsidP="008E40D0">
      <w:pPr>
        <w:pStyle w:val="BodyPara"/>
      </w:pPr>
      <w:r w:rsidRPr="00FD274F">
        <w:t>intelligible to anticipated users, including people who may rely on assistive technolog</w:t>
      </w:r>
      <w:r w:rsidRPr="00DA1B94">
        <w:t xml:space="preserve">y (see paragraph </w:t>
      </w:r>
      <w:r w:rsidR="009A15A0">
        <w:fldChar w:fldCharType="begin"/>
      </w:r>
      <w:r w:rsidR="009A15A0">
        <w:instrText xml:space="preserve"> REF _Ref185322055 \r \h </w:instrText>
      </w:r>
      <w:r w:rsidR="009A15A0">
        <w:fldChar w:fldCharType="separate"/>
      </w:r>
      <w:r w:rsidR="00833171">
        <w:t>118</w:t>
      </w:r>
      <w:r w:rsidR="009A15A0">
        <w:fldChar w:fldCharType="end"/>
      </w:r>
      <w:r w:rsidR="00020490">
        <w:t>)</w:t>
      </w:r>
    </w:p>
    <w:p w14:paraId="042D3CE8" w14:textId="77777777" w:rsidR="008E40D0" w:rsidRPr="00FD274F" w:rsidRDefault="008E40D0" w:rsidP="008E40D0">
      <w:pPr>
        <w:pStyle w:val="Head3"/>
      </w:pPr>
      <w:bookmarkStart w:id="39" w:name="_Toc183694638"/>
      <w:r w:rsidRPr="00FD274F">
        <w:t>General principles for interpretation of instruments</w:t>
      </w:r>
      <w:bookmarkEnd w:id="39"/>
    </w:p>
    <w:p w14:paraId="568651EB" w14:textId="1508752B" w:rsidR="008E40D0" w:rsidRPr="00FD274F" w:rsidRDefault="008E40D0" w:rsidP="008E40D0">
      <w:pPr>
        <w:pStyle w:val="BodyNum"/>
      </w:pPr>
      <w:bookmarkStart w:id="40" w:name="_Ref367446103"/>
      <w:r w:rsidRPr="00FD274F">
        <w:t xml:space="preserve">Subject to a contrary intention in the enabling legislation, the </w:t>
      </w:r>
      <w:hyperlink r:id="rId135" w:history="1">
        <w:r w:rsidRPr="007841D1">
          <w:rPr>
            <w:rStyle w:val="Hyperlink"/>
          </w:rPr>
          <w:t>LA</w:t>
        </w:r>
      </w:hyperlink>
      <w:r w:rsidRPr="007841D1">
        <w:t>:</w:t>
      </w:r>
      <w:bookmarkEnd w:id="40"/>
    </w:p>
    <w:p w14:paraId="7A0182B4" w14:textId="6D633EF9" w:rsidR="008E40D0" w:rsidRPr="00FD274F" w:rsidRDefault="008E40D0" w:rsidP="008E40D0">
      <w:pPr>
        <w:pStyle w:val="BodyPara"/>
      </w:pPr>
      <w:r w:rsidRPr="00FD274F">
        <w:t xml:space="preserve">applies the </w:t>
      </w:r>
      <w:hyperlink r:id="rId136" w:history="1">
        <w:hyperlink r:id="rId137" w:history="1">
          <w:r w:rsidRPr="00E12592">
            <w:rPr>
              <w:rStyle w:val="Hyperlink"/>
              <w:i/>
            </w:rPr>
            <w:t>Acts Interpretation Act 1901</w:t>
          </w:r>
        </w:hyperlink>
      </w:hyperlink>
      <w:r w:rsidRPr="00E12592">
        <w:t xml:space="preserve"> to</w:t>
      </w:r>
      <w:r w:rsidRPr="00FD274F">
        <w:t xml:space="preserve"> a legislative instrument as if it were an Act and each provision were a section of an Act </w:t>
      </w:r>
      <w:r w:rsidRPr="007841D1">
        <w:t>(</w:t>
      </w:r>
      <w:hyperlink r:id="rId138" w:history="1">
        <w:r w:rsidRPr="007841D1">
          <w:rPr>
            <w:rStyle w:val="Hyperlink"/>
          </w:rPr>
          <w:t>LA</w:t>
        </w:r>
      </w:hyperlink>
      <w:r w:rsidRPr="007841D1">
        <w:t xml:space="preserve"> s 13(1)(a));</w:t>
      </w:r>
      <w:r w:rsidRPr="00FD274F">
        <w:t xml:space="preserve"> and</w:t>
      </w:r>
    </w:p>
    <w:p w14:paraId="27002788" w14:textId="1373BAB7" w:rsidR="008E40D0" w:rsidRPr="00FD274F" w:rsidRDefault="008E40D0" w:rsidP="008E40D0">
      <w:pPr>
        <w:pStyle w:val="BodyPara"/>
      </w:pPr>
      <w:r w:rsidRPr="00FD274F">
        <w:t xml:space="preserve">gives expressions used in a legislative instrument the same meaning as in the enabling legislation as in force from time to time </w:t>
      </w:r>
      <w:r w:rsidRPr="007841D1">
        <w:t>(</w:t>
      </w:r>
      <w:hyperlink r:id="rId139" w:history="1">
        <w:r w:rsidRPr="007841D1">
          <w:rPr>
            <w:rStyle w:val="Hyperlink"/>
          </w:rPr>
          <w:t>LA</w:t>
        </w:r>
      </w:hyperlink>
      <w:r w:rsidRPr="007841D1">
        <w:t xml:space="preserve"> s 13(1)(b));</w:t>
      </w:r>
      <w:r w:rsidRPr="00FD274F">
        <w:t xml:space="preserve"> and</w:t>
      </w:r>
    </w:p>
    <w:p w14:paraId="4BF954DD" w14:textId="59CEB374" w:rsidR="008E40D0" w:rsidRPr="00FD274F" w:rsidRDefault="008E40D0" w:rsidP="008E40D0">
      <w:pPr>
        <w:pStyle w:val="BodyPara"/>
      </w:pPr>
      <w:r w:rsidRPr="00FD274F">
        <w:t>requires a legislative instrument to be read subject to the enabling legislation as in force from time to time, and so as not to exceed the rule</w:t>
      </w:r>
      <w:r>
        <w:noBreakHyphen/>
      </w:r>
      <w:r w:rsidRPr="00FD274F">
        <w:t xml:space="preserve">maker’s power </w:t>
      </w:r>
      <w:r w:rsidRPr="007841D1">
        <w:t>(</w:t>
      </w:r>
      <w:hyperlink r:id="rId140" w:history="1">
        <w:r w:rsidRPr="007841D1">
          <w:rPr>
            <w:rStyle w:val="Hyperlink"/>
          </w:rPr>
          <w:t>LA</w:t>
        </w:r>
      </w:hyperlink>
      <w:r w:rsidRPr="007841D1">
        <w:t xml:space="preserve"> s 13(1)(c)); a</w:t>
      </w:r>
      <w:r w:rsidRPr="00FD274F">
        <w:t>nd</w:t>
      </w:r>
    </w:p>
    <w:p w14:paraId="37396E90" w14:textId="69C75316" w:rsidR="008E40D0" w:rsidRPr="00FD274F" w:rsidRDefault="008E40D0" w:rsidP="008E40D0">
      <w:pPr>
        <w:pStyle w:val="BodyPara"/>
        <w:rPr>
          <w:spacing w:val="-2"/>
        </w:rPr>
      </w:pPr>
      <w:r w:rsidRPr="00FD274F">
        <w:rPr>
          <w:spacing w:val="-2"/>
        </w:rPr>
        <w:t>provides that, if the legislative instrument exceeds the rule</w:t>
      </w:r>
      <w:r>
        <w:rPr>
          <w:spacing w:val="-2"/>
        </w:rPr>
        <w:noBreakHyphen/>
      </w:r>
      <w:r w:rsidRPr="00FD274F">
        <w:rPr>
          <w:spacing w:val="-2"/>
        </w:rPr>
        <w:t>maker’s power, the instrument is taken to be valid to the extent that it is within pow</w:t>
      </w:r>
      <w:r w:rsidRPr="007841D1">
        <w:rPr>
          <w:spacing w:val="-2"/>
        </w:rPr>
        <w:t>er (</w:t>
      </w:r>
      <w:hyperlink r:id="rId141" w:history="1">
        <w:r w:rsidRPr="007841D1">
          <w:rPr>
            <w:rStyle w:val="Hyperlink"/>
            <w:spacing w:val="-2"/>
          </w:rPr>
          <w:t>LA</w:t>
        </w:r>
      </w:hyperlink>
      <w:r w:rsidRPr="007841D1">
        <w:rPr>
          <w:rStyle w:val="Hyperlink"/>
          <w:spacing w:val="-2"/>
        </w:rPr>
        <w:t> </w:t>
      </w:r>
      <w:r w:rsidRPr="007841D1">
        <w:rPr>
          <w:spacing w:val="-2"/>
        </w:rPr>
        <w:t>s 13(2))</w:t>
      </w:r>
      <w:r w:rsidRPr="00FD274F">
        <w:rPr>
          <w:spacing w:val="-2"/>
        </w:rPr>
        <w:t>.</w:t>
      </w:r>
    </w:p>
    <w:p w14:paraId="315360B5" w14:textId="7D236170" w:rsidR="008E40D0" w:rsidRPr="00FD274F" w:rsidRDefault="008E40D0" w:rsidP="008E40D0">
      <w:pPr>
        <w:pStyle w:val="BodyNum"/>
      </w:pPr>
      <w:r w:rsidRPr="00FD274F">
        <w:t xml:space="preserve">The </w:t>
      </w:r>
      <w:hyperlink r:id="rId142" w:history="1">
        <w:r w:rsidRPr="007841D1">
          <w:rPr>
            <w:rStyle w:val="Hyperlink"/>
          </w:rPr>
          <w:t>LA</w:t>
        </w:r>
      </w:hyperlink>
      <w:r w:rsidRPr="007841D1">
        <w:rPr>
          <w:rStyle w:val="Hyperlink"/>
        </w:rPr>
        <w:t xml:space="preserve"> </w:t>
      </w:r>
      <w:r w:rsidRPr="007841D1">
        <w:t>als</w:t>
      </w:r>
      <w:r w:rsidRPr="00FD274F">
        <w:t>o provides that a rule</w:t>
      </w:r>
      <w:r>
        <w:noBreakHyphen/>
      </w:r>
      <w:r w:rsidRPr="00FD274F">
        <w:t>maker, in exercising a power to make a legislative instrument in relation to a matter (including a thing, person or animal), may identify the matter by referring to a class or classes of matter</w:t>
      </w:r>
      <w:r w:rsidRPr="007841D1">
        <w:t>s (</w:t>
      </w:r>
      <w:hyperlink r:id="rId143" w:history="1">
        <w:r w:rsidRPr="007841D1">
          <w:rPr>
            <w:rStyle w:val="Hyperlink"/>
          </w:rPr>
          <w:t>LA</w:t>
        </w:r>
      </w:hyperlink>
      <w:r w:rsidRPr="007841D1">
        <w:t xml:space="preserve"> s 13(3)).</w:t>
      </w:r>
      <w:r w:rsidRPr="00FD274F">
        <w:t xml:space="preserve"> A rule</w:t>
      </w:r>
      <w:r>
        <w:noBreakHyphen/>
      </w:r>
      <w:r w:rsidRPr="00FD274F">
        <w:t>maker may also:</w:t>
      </w:r>
    </w:p>
    <w:p w14:paraId="66B1C3C9" w14:textId="75EC5714" w:rsidR="008E40D0" w:rsidRPr="00FD274F" w:rsidRDefault="008E40D0" w:rsidP="008E40D0">
      <w:pPr>
        <w:pStyle w:val="BodyPara"/>
      </w:pPr>
      <w:r w:rsidRPr="00FD274F">
        <w:t>specify when the instrument or a provision of the instrument commences (within the limits set out i</w:t>
      </w:r>
      <w:r w:rsidRPr="007841D1">
        <w:t xml:space="preserve">n </w:t>
      </w:r>
      <w:hyperlink r:id="rId144" w:history="1">
        <w:r w:rsidRPr="007841D1">
          <w:rPr>
            <w:rStyle w:val="Hyperlink"/>
          </w:rPr>
          <w:t>LA</w:t>
        </w:r>
      </w:hyperlink>
      <w:r w:rsidRPr="007841D1">
        <w:t xml:space="preserve"> s 12</w:t>
      </w:r>
      <w:r w:rsidRPr="00FD274F">
        <w:t>: s</w:t>
      </w:r>
      <w:r w:rsidRPr="00F719B9">
        <w:t xml:space="preserve">ee paragraph </w:t>
      </w:r>
      <w:r w:rsidRPr="007841D1">
        <w:fldChar w:fldCharType="begin"/>
      </w:r>
      <w:r w:rsidRPr="00F719B9">
        <w:instrText xml:space="preserve"> REF _Ref367446165 \r \h  \* MERGEFORMAT </w:instrText>
      </w:r>
      <w:r w:rsidRPr="007841D1">
        <w:fldChar w:fldCharType="separate"/>
      </w:r>
      <w:r w:rsidR="00833171">
        <w:t>70</w:t>
      </w:r>
      <w:r w:rsidRPr="007841D1">
        <w:fldChar w:fldCharType="end"/>
      </w:r>
      <w:r w:rsidRPr="00F719B9">
        <w:t>);</w:t>
      </w:r>
      <w:r w:rsidRPr="00FD274F">
        <w:t xml:space="preserve"> and</w:t>
      </w:r>
    </w:p>
    <w:p w14:paraId="4CB0F386" w14:textId="31C39760" w:rsidR="008E40D0" w:rsidRPr="00FD274F" w:rsidRDefault="008E40D0" w:rsidP="008E40D0">
      <w:pPr>
        <w:pStyle w:val="BodyPara"/>
      </w:pPr>
      <w:r w:rsidRPr="00FD274F">
        <w:t xml:space="preserve">prescribe matters by reference to another document (within the limits set out in </w:t>
      </w:r>
      <w:hyperlink r:id="rId145" w:history="1">
        <w:r w:rsidRPr="007841D1">
          <w:rPr>
            <w:rStyle w:val="Hyperlink"/>
          </w:rPr>
          <w:t>LA</w:t>
        </w:r>
      </w:hyperlink>
      <w:r w:rsidRPr="007841D1">
        <w:rPr>
          <w:rStyle w:val="Hyperlink"/>
        </w:rPr>
        <w:t xml:space="preserve"> </w:t>
      </w:r>
      <w:r w:rsidRPr="007841D1">
        <w:t>s 14:</w:t>
      </w:r>
      <w:r w:rsidRPr="00FD274F">
        <w:t xml:space="preserve"> see </w:t>
      </w:r>
      <w:r w:rsidRPr="00F719B9">
        <w:t>paragraph</w:t>
      </w:r>
      <w:r w:rsidR="005C704A">
        <w:t xml:space="preserve">s </w:t>
      </w:r>
      <w:r w:rsidR="005C704A">
        <w:fldChar w:fldCharType="begin"/>
      </w:r>
      <w:r w:rsidR="005C704A">
        <w:instrText xml:space="preserve"> REF _Ref428882029 \r \h </w:instrText>
      </w:r>
      <w:r w:rsidR="005C704A">
        <w:fldChar w:fldCharType="separate"/>
      </w:r>
      <w:r w:rsidR="00833171">
        <w:t>96</w:t>
      </w:r>
      <w:r w:rsidR="005C704A">
        <w:fldChar w:fldCharType="end"/>
      </w:r>
      <w:r w:rsidR="005C704A">
        <w:t xml:space="preserve"> to </w:t>
      </w:r>
      <w:r w:rsidR="005C704A">
        <w:fldChar w:fldCharType="begin"/>
      </w:r>
      <w:r w:rsidR="005C704A">
        <w:instrText xml:space="preserve"> REF _Ref184283646 \r \h </w:instrText>
      </w:r>
      <w:r w:rsidR="005C704A">
        <w:fldChar w:fldCharType="separate"/>
      </w:r>
      <w:r w:rsidR="00833171">
        <w:t>101</w:t>
      </w:r>
      <w:r w:rsidR="005C704A">
        <w:fldChar w:fldCharType="end"/>
      </w:r>
      <w:r w:rsidRPr="00F719B9">
        <w:t>).</w:t>
      </w:r>
    </w:p>
    <w:p w14:paraId="3B7B3F09" w14:textId="77777777" w:rsidR="008E40D0" w:rsidRPr="00FD274F" w:rsidRDefault="008E40D0" w:rsidP="008E40D0">
      <w:pPr>
        <w:pStyle w:val="Head3"/>
      </w:pPr>
      <w:bookmarkStart w:id="41" w:name="_Toc183694639"/>
      <w:r w:rsidRPr="00FD274F">
        <w:t>What should be included in an instrument</w:t>
      </w:r>
      <w:bookmarkEnd w:id="41"/>
    </w:p>
    <w:p w14:paraId="022E1091" w14:textId="77777777" w:rsidR="008E40D0" w:rsidRPr="00FD274F" w:rsidRDefault="008E40D0" w:rsidP="008E40D0">
      <w:pPr>
        <w:pStyle w:val="BodyNum"/>
      </w:pPr>
      <w:r w:rsidRPr="00FD274F">
        <w:t>Appropriate Australian Government branding (e.g. the Commonwealth Coat of Arms or Australian Government logo) is important to ensure that an instrument is easily identifiable as an official document. The branding chosen should be consistent with relevant whole</w:t>
      </w:r>
      <w:r>
        <w:noBreakHyphen/>
      </w:r>
      <w:r w:rsidRPr="00FD274F">
        <w:t>of</w:t>
      </w:r>
      <w:r>
        <w:noBreakHyphen/>
      </w:r>
      <w:r w:rsidRPr="00FD274F">
        <w:t>government guidelin</w:t>
      </w:r>
      <w:r w:rsidRPr="00E12592">
        <w:t>es</w:t>
      </w:r>
      <w:r w:rsidRPr="00E12592">
        <w:rPr>
          <w:rStyle w:val="FootnoteReference"/>
        </w:rPr>
        <w:footnoteReference w:id="8"/>
      </w:r>
      <w:r w:rsidRPr="00E12592">
        <w:t>.</w:t>
      </w:r>
    </w:p>
    <w:p w14:paraId="3CDFF8F4" w14:textId="77777777" w:rsidR="008E40D0" w:rsidRPr="00FD274F" w:rsidRDefault="008E40D0" w:rsidP="008E40D0">
      <w:pPr>
        <w:pStyle w:val="Head4"/>
      </w:pPr>
      <w:bookmarkStart w:id="42" w:name="_Toc183694640"/>
      <w:r w:rsidRPr="00FD274F">
        <w:lastRenderedPageBreak/>
        <w:t>Recommended approach</w:t>
      </w:r>
      <w:bookmarkEnd w:id="42"/>
    </w:p>
    <w:p w14:paraId="775E7224" w14:textId="77777777" w:rsidR="008E40D0" w:rsidRPr="00134960" w:rsidRDefault="008E40D0" w:rsidP="008E40D0">
      <w:pPr>
        <w:pStyle w:val="BodyNum"/>
        <w:rPr>
          <w:spacing w:val="-4"/>
        </w:rPr>
      </w:pPr>
      <w:r w:rsidRPr="00FD274F">
        <w:rPr>
          <w:spacing w:val="-4"/>
        </w:rPr>
        <w:t xml:space="preserve">In addition to Australian Government branding, an instrument should include the following </w:t>
      </w:r>
      <w:r w:rsidRPr="00FD274F">
        <w:t xml:space="preserve">(see also </w:t>
      </w:r>
      <w:r w:rsidRPr="00134960">
        <w:t>Illustration 3A)</w:t>
      </w:r>
      <w:r w:rsidRPr="00134960">
        <w:rPr>
          <w:spacing w:val="-4"/>
        </w:rPr>
        <w:t>:</w:t>
      </w:r>
    </w:p>
    <w:p w14:paraId="7D4DD68C" w14:textId="77777777" w:rsidR="008E40D0" w:rsidRPr="00FD274F" w:rsidRDefault="008E40D0" w:rsidP="008E40D0">
      <w:pPr>
        <w:pStyle w:val="BodyPara"/>
      </w:pPr>
      <w:r w:rsidRPr="00FD274F">
        <w:t xml:space="preserve">the words making the instrument—these should reflect the language of the enabling </w:t>
      </w:r>
      <w:proofErr w:type="gramStart"/>
      <w:r w:rsidRPr="00FD274F">
        <w:t>Act;</w:t>
      </w:r>
      <w:proofErr w:type="gramEnd"/>
    </w:p>
    <w:p w14:paraId="2E2CA249" w14:textId="77777777" w:rsidR="008E40D0" w:rsidRPr="00FD274F" w:rsidRDefault="008E40D0" w:rsidP="008E40D0">
      <w:pPr>
        <w:pStyle w:val="BodyPara"/>
      </w:pPr>
      <w:r w:rsidRPr="00FD274F">
        <w:t xml:space="preserve">the date of </w:t>
      </w:r>
      <w:proofErr w:type="gramStart"/>
      <w:r w:rsidRPr="00FD274F">
        <w:t>making;</w:t>
      </w:r>
      <w:proofErr w:type="gramEnd"/>
    </w:p>
    <w:p w14:paraId="015A93E1" w14:textId="77777777" w:rsidR="008E40D0" w:rsidRDefault="008E40D0" w:rsidP="008E40D0">
      <w:pPr>
        <w:pStyle w:val="BodyPara"/>
      </w:pPr>
      <w:r w:rsidRPr="00FD274F">
        <w:t>the name as signed, and title, of each maker of the instrument.</w:t>
      </w:r>
    </w:p>
    <w:p w14:paraId="0AE7CB8D" w14:textId="489E669E" w:rsidR="008E40D0" w:rsidRDefault="008E40D0" w:rsidP="008E40D0">
      <w:pPr>
        <w:pStyle w:val="BodyNum"/>
      </w:pPr>
      <w:r>
        <w:t>For a Minister or Assistant Minister, the title of the rule-maker should be the title by which the Minister or Assistant Minister was sworn in by the Governor-General.</w:t>
      </w:r>
    </w:p>
    <w:p w14:paraId="79788529" w14:textId="343E6490" w:rsidR="008E40D0" w:rsidRDefault="0024295D" w:rsidP="008E40D0">
      <w:pPr>
        <w:pStyle w:val="BodyNum"/>
      </w:pPr>
      <w:r>
        <w:t>For example</w:t>
      </w:r>
      <w:r w:rsidR="008E40D0">
        <w:t xml:space="preserve">, </w:t>
      </w:r>
      <w:r>
        <w:t>the ti</w:t>
      </w:r>
      <w:r w:rsidR="00105C9B">
        <w:t>t</w:t>
      </w:r>
      <w:r>
        <w:t>le for an</w:t>
      </w:r>
      <w:r w:rsidR="008E40D0">
        <w:t xml:space="preserve"> Assistant Minister will include the formal Parliamentary Secretary title, such as “</w:t>
      </w:r>
      <w:r w:rsidR="008E40D0" w:rsidRPr="008262BB">
        <w:rPr>
          <w:iCs/>
          <w:szCs w:val="22"/>
        </w:rPr>
        <w:t xml:space="preserve">Assistant Minister to the Attorney-General, </w:t>
      </w:r>
      <w:r w:rsidR="008E40D0" w:rsidRPr="008262BB">
        <w:rPr>
          <w:szCs w:val="22"/>
        </w:rPr>
        <w:t xml:space="preserve">Parliamentary Secretary to the </w:t>
      </w:r>
      <w:r w:rsidR="008E40D0" w:rsidRPr="008262BB">
        <w:rPr>
          <w:iCs/>
          <w:szCs w:val="22"/>
        </w:rPr>
        <w:t>Attorney-General</w:t>
      </w:r>
      <w:r w:rsidR="008E40D0">
        <w:rPr>
          <w:iCs/>
          <w:szCs w:val="22"/>
        </w:rPr>
        <w:t>”</w:t>
      </w:r>
      <w:r w:rsidR="008E40D0">
        <w:t>.</w:t>
      </w:r>
    </w:p>
    <w:p w14:paraId="1F99704B" w14:textId="77777777" w:rsidR="008E40D0" w:rsidRPr="00FD274F" w:rsidRDefault="008E40D0" w:rsidP="008E40D0">
      <w:pPr>
        <w:pStyle w:val="BodyNum"/>
      </w:pPr>
      <w:r>
        <w:t xml:space="preserve">These titles can be verified with the </w:t>
      </w:r>
      <w:proofErr w:type="spellStart"/>
      <w:r>
        <w:t>ExCo</w:t>
      </w:r>
      <w:proofErr w:type="spellEnd"/>
      <w:r>
        <w:t xml:space="preserve"> and Government Division of PM&amp;C.</w:t>
      </w:r>
    </w:p>
    <w:p w14:paraId="5C75A8D0" w14:textId="32AD4DD9" w:rsidR="008E40D0" w:rsidRPr="00FD274F" w:rsidRDefault="008E40D0" w:rsidP="008E40D0">
      <w:pPr>
        <w:pStyle w:val="Body"/>
        <w:widowControl w:val="0"/>
        <w:rPr>
          <w:b/>
        </w:rPr>
      </w:pPr>
      <w:r w:rsidRPr="00134960">
        <w:rPr>
          <w:b/>
        </w:rPr>
        <w:t>Illustration 3A</w:t>
      </w:r>
      <w:r w:rsidRPr="00FD274F">
        <w:rPr>
          <w:b/>
        </w:rPr>
        <w:t>—generic official branding and making word</w:t>
      </w:r>
      <w:r w:rsidRPr="00E12592">
        <w:rPr>
          <w:b/>
        </w:rPr>
        <w:t>s</w:t>
      </w:r>
      <w:r w:rsidRPr="00E12592">
        <w:rPr>
          <w:rStyle w:val="FootnoteReference"/>
          <w:b/>
        </w:rPr>
        <w:footnoteReference w:id="9"/>
      </w:r>
    </w:p>
    <w:p w14:paraId="28DA1CEA" w14:textId="77777777" w:rsidR="008E40D0" w:rsidRPr="00FD274F" w:rsidRDefault="008E40D0" w:rsidP="008E40D0">
      <w:pPr>
        <w:pStyle w:val="BodyNum"/>
        <w:numPr>
          <w:ilvl w:val="0"/>
          <w:numId w:val="0"/>
        </w:numPr>
      </w:pPr>
      <w:r w:rsidRPr="00FD274F">
        <w:rPr>
          <w:noProof/>
        </w:rPr>
        <w:drawing>
          <wp:inline distT="0" distB="0" distL="0" distR="0" wp14:anchorId="02E90001" wp14:editId="5582A559">
            <wp:extent cx="5241600" cy="3960000"/>
            <wp:effectExtent l="19050" t="19050" r="16510" b="21590"/>
            <wp:docPr id="5" name="Picture 5" descr="Shows generic official branding (the Australian coat of arms) and making words followed by a signature block." title="Illustration 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 3A.png"/>
                    <pic:cNvPicPr/>
                  </pic:nvPicPr>
                  <pic:blipFill>
                    <a:blip r:embed="rId146">
                      <a:extLst>
                        <a:ext uri="{28A0092B-C50C-407E-A947-70E740481C1C}">
                          <a14:useLocalDpi xmlns:a14="http://schemas.microsoft.com/office/drawing/2010/main" val="0"/>
                        </a:ext>
                      </a:extLst>
                    </a:blip>
                    <a:stretch>
                      <a:fillRect/>
                    </a:stretch>
                  </pic:blipFill>
                  <pic:spPr>
                    <a:xfrm>
                      <a:off x="0" y="0"/>
                      <a:ext cx="5241600" cy="3960000"/>
                    </a:xfrm>
                    <a:prstGeom prst="rect">
                      <a:avLst/>
                    </a:prstGeom>
                    <a:ln>
                      <a:solidFill>
                        <a:schemeClr val="tx1"/>
                      </a:solidFill>
                    </a:ln>
                  </pic:spPr>
                </pic:pic>
              </a:graphicData>
            </a:graphic>
          </wp:inline>
        </w:drawing>
      </w:r>
    </w:p>
    <w:p w14:paraId="5293FF52" w14:textId="349CE72D" w:rsidR="008E40D0" w:rsidRPr="00FD274F" w:rsidRDefault="008E40D0" w:rsidP="008E40D0">
      <w:pPr>
        <w:pStyle w:val="BodyNum"/>
        <w:keepNext/>
        <w:keepLines/>
      </w:pPr>
      <w:r w:rsidRPr="00FD274F">
        <w:lastRenderedPageBreak/>
        <w:t xml:space="preserve">The making words are usually followed by a page break, a table of contents </w:t>
      </w:r>
      <w:r w:rsidR="003376ED">
        <w:t>(</w:t>
      </w:r>
      <w:r w:rsidRPr="00FD274F">
        <w:t>unless the instrument is very short</w:t>
      </w:r>
      <w:r w:rsidR="003376ED">
        <w:t>)</w:t>
      </w:r>
      <w:r w:rsidRPr="00FD274F">
        <w:t xml:space="preserve">, and the main body of the instrument. The main body of the instrument should start with certain standard provisions, and these provisions should not be combined with the making words or with any other provisions. These standard provisions, and the recommended order of provisions, is as follows (see </w:t>
      </w:r>
      <w:r w:rsidRPr="00134960">
        <w:t>also Illustration 3B):</w:t>
      </w:r>
    </w:p>
    <w:p w14:paraId="12B6BD1E" w14:textId="2E2AC544" w:rsidR="008E40D0" w:rsidRPr="00FD274F" w:rsidRDefault="008E40D0" w:rsidP="008E40D0">
      <w:pPr>
        <w:pStyle w:val="BodyPara"/>
        <w:keepNext/>
        <w:keepLines/>
      </w:pPr>
      <w:r w:rsidRPr="00FD274F">
        <w:rPr>
          <w:b/>
        </w:rPr>
        <w:t xml:space="preserve">Name. </w:t>
      </w:r>
      <w:r w:rsidRPr="00FD274F">
        <w:t xml:space="preserve">A naming provision should be included in all legislative instruments other than commencement instruments. The name given to an instrument should be convenient (not too long) and unique, so that the instrument can be identified with complete certainty from its name alone. For detailed guidance </w:t>
      </w:r>
      <w:r w:rsidRPr="0023124E">
        <w:t xml:space="preserve">on the naming of instruments, please refer to </w:t>
      </w:r>
      <w:hyperlink r:id="rId147" w:history="1">
        <w:r w:rsidRPr="0023124E">
          <w:rPr>
            <w:rStyle w:val="Hyperlink"/>
          </w:rPr>
          <w:t>OPC Drafting Direction 1.1A</w:t>
        </w:r>
      </w:hyperlink>
      <w:r w:rsidRPr="0023124E">
        <w:rPr>
          <w:rStyle w:val="Hyperlink"/>
        </w:rPr>
        <w:t>.</w:t>
      </w:r>
      <w:r w:rsidRPr="00FD274F">
        <w:rPr>
          <w:rStyle w:val="Hyperlink"/>
        </w:rPr>
        <w:t xml:space="preserve"> </w:t>
      </w:r>
      <w:r w:rsidRPr="00FD274F">
        <w:t xml:space="preserve">Note also that </w:t>
      </w:r>
      <w:r>
        <w:t>First Parliamentary Counsel</w:t>
      </w:r>
      <w:r w:rsidRPr="00FD274F">
        <w:t xml:space="preserve"> may name or rename </w:t>
      </w:r>
      <w:r>
        <w:t>instruments</w:t>
      </w:r>
      <w:r w:rsidRPr="00FD274F">
        <w:t xml:space="preserve"> if they do not have a name that is unique (</w:t>
      </w:r>
      <w:r w:rsidRPr="00481F36">
        <w:t xml:space="preserve">see </w:t>
      </w:r>
      <w:hyperlink r:id="rId148" w:history="1">
        <w:r w:rsidRPr="00481F36">
          <w:rPr>
            <w:rStyle w:val="Hyperlink"/>
          </w:rPr>
          <w:t>LA</w:t>
        </w:r>
      </w:hyperlink>
      <w:r w:rsidRPr="00481F36">
        <w:t xml:space="preserve"> s 15M(</w:t>
      </w:r>
      <w:r w:rsidRPr="00FD274F">
        <w:t>b) an</w:t>
      </w:r>
      <w:r w:rsidRPr="0023124E">
        <w:t xml:space="preserve">d </w:t>
      </w:r>
      <w:hyperlink r:id="rId149" w:history="1">
        <w:r w:rsidRPr="0023124E">
          <w:rPr>
            <w:rStyle w:val="Hyperlink"/>
          </w:rPr>
          <w:t>Rule</w:t>
        </w:r>
      </w:hyperlink>
      <w:r w:rsidRPr="0023124E">
        <w:t xml:space="preserve"> s 10)</w:t>
      </w:r>
      <w:r w:rsidRPr="00FD274F">
        <w:t>.</w:t>
      </w:r>
    </w:p>
    <w:p w14:paraId="0781D097" w14:textId="7A0B6BB3" w:rsidR="008E40D0" w:rsidRPr="00873C43" w:rsidRDefault="008E40D0" w:rsidP="008E40D0">
      <w:pPr>
        <w:pStyle w:val="BodyPara"/>
      </w:pPr>
      <w:r w:rsidRPr="00FD274F">
        <w:rPr>
          <w:b/>
        </w:rPr>
        <w:t xml:space="preserve">Commencement. </w:t>
      </w:r>
      <w:r w:rsidRPr="00FD274F">
        <w:t xml:space="preserve">A commencement provision is important to set out when the instrument </w:t>
      </w:r>
      <w:r w:rsidRPr="00481F36">
        <w:t>will commence, even if the default commencement applying under th</w:t>
      </w:r>
      <w:r w:rsidRPr="00FD274F">
        <w:t xml:space="preserve">e </w:t>
      </w:r>
      <w:hyperlink r:id="rId150" w:history="1">
        <w:r w:rsidRPr="00FD274F">
          <w:rPr>
            <w:rStyle w:val="Hyperlink"/>
          </w:rPr>
          <w:t>LA</w:t>
        </w:r>
      </w:hyperlink>
      <w:r w:rsidRPr="00FD274F">
        <w:t xml:space="preserve"> is to be used. For more information on commencement, see paragra</w:t>
      </w:r>
      <w:r w:rsidRPr="00873C43">
        <w:t xml:space="preserve">phs </w:t>
      </w:r>
      <w:r w:rsidRPr="00873C43">
        <w:fldChar w:fldCharType="begin"/>
      </w:r>
      <w:r w:rsidRPr="00481F36">
        <w:instrText xml:space="preserve"> REF _Ref367446165 \r \h  \* MERGEFORMAT </w:instrText>
      </w:r>
      <w:r w:rsidRPr="00873C43">
        <w:fldChar w:fldCharType="separate"/>
      </w:r>
      <w:r w:rsidR="00833171">
        <w:t>70</w:t>
      </w:r>
      <w:r w:rsidRPr="00873C43">
        <w:fldChar w:fldCharType="end"/>
      </w:r>
      <w:r w:rsidRPr="00873C43">
        <w:t xml:space="preserve"> to </w:t>
      </w:r>
      <w:r w:rsidRPr="00481F36">
        <w:fldChar w:fldCharType="begin"/>
      </w:r>
      <w:r w:rsidRPr="00873C43">
        <w:instrText xml:space="preserve"> REF _Ref386036642 \r \h  \* MERGEFORMAT </w:instrText>
      </w:r>
      <w:r w:rsidRPr="00481F36">
        <w:fldChar w:fldCharType="separate"/>
      </w:r>
      <w:r w:rsidR="00833171">
        <w:t>81</w:t>
      </w:r>
      <w:r w:rsidRPr="00481F36">
        <w:fldChar w:fldCharType="end"/>
      </w:r>
      <w:r w:rsidRPr="00873C43">
        <w:t>.</w:t>
      </w:r>
    </w:p>
    <w:p w14:paraId="1A2BD62C" w14:textId="795202B7" w:rsidR="008E40D0" w:rsidRPr="00FD274F" w:rsidRDefault="008E40D0" w:rsidP="008E40D0">
      <w:pPr>
        <w:pStyle w:val="BodyPara"/>
      </w:pPr>
      <w:r w:rsidRPr="00FD274F">
        <w:rPr>
          <w:b/>
        </w:rPr>
        <w:t xml:space="preserve">Authority. </w:t>
      </w:r>
      <w:r w:rsidRPr="00FD274F">
        <w:t xml:space="preserve">An authority provision should be included in all legislative instruments other than commencement instruments, to identify the enabling legislation as defined </w:t>
      </w:r>
      <w:r w:rsidRPr="00481F36">
        <w:t xml:space="preserve">in </w:t>
      </w:r>
      <w:hyperlink r:id="rId151" w:history="1">
        <w:r w:rsidRPr="00481F36">
          <w:rPr>
            <w:rStyle w:val="Hyperlink"/>
          </w:rPr>
          <w:t>LA</w:t>
        </w:r>
      </w:hyperlink>
      <w:r w:rsidRPr="00481F36">
        <w:rPr>
          <w:rStyle w:val="Hyperlink"/>
        </w:rPr>
        <w:t xml:space="preserve"> </w:t>
      </w:r>
      <w:r w:rsidRPr="00481F36">
        <w:t>s 4. Th</w:t>
      </w:r>
      <w:r w:rsidRPr="00FD274F">
        <w:t>e authority provision should cite the full name of each piece of enabling legislation, and also the enabling provision unless the instrument is made under a general instrument</w:t>
      </w:r>
      <w:r>
        <w:noBreakHyphen/>
      </w:r>
      <w:r w:rsidRPr="00FD274F">
        <w:t>making power.</w:t>
      </w:r>
    </w:p>
    <w:p w14:paraId="1EC41AFF" w14:textId="2A3F03F4" w:rsidR="008E40D0" w:rsidRPr="00FD274F" w:rsidRDefault="008E40D0" w:rsidP="008E40D0">
      <w:pPr>
        <w:pStyle w:val="BodyPara"/>
      </w:pPr>
      <w:r w:rsidRPr="00FD274F">
        <w:rPr>
          <w:b/>
        </w:rPr>
        <w:t>Definitions.</w:t>
      </w:r>
      <w:r w:rsidRPr="00FD274F">
        <w:t xml:space="preserve"> Any definitions should generally be presented together </w:t>
      </w:r>
      <w:r>
        <w:t>at the start of the instrument</w:t>
      </w:r>
      <w:r w:rsidRPr="00FD274F">
        <w:t xml:space="preserve"> wherever possible. If an expression is already defined </w:t>
      </w:r>
      <w:r>
        <w:t xml:space="preserve">for the purposes of the whole of </w:t>
      </w:r>
      <w:r w:rsidRPr="00FD274F">
        <w:t xml:space="preserve">an instrument’s enabling legislation, it is useful to note </w:t>
      </w:r>
      <w:proofErr w:type="gramStart"/>
      <w:r w:rsidRPr="00FD274F">
        <w:t>this</w:t>
      </w:r>
      <w:proofErr w:type="gramEnd"/>
      <w:r w:rsidRPr="00FD274F">
        <w:t xml:space="preserve"> but the definition should not be duplicated. An expression used in an instrument will generally have the same meaning as in its enabling legislation</w:t>
      </w:r>
      <w:r w:rsidRPr="00481F36">
        <w:t xml:space="preserve"> </w:t>
      </w:r>
      <w:r w:rsidR="00B345EA">
        <w:t>(</w:t>
      </w:r>
      <w:hyperlink r:id="rId152" w:history="1">
        <w:r w:rsidRPr="00481F36">
          <w:rPr>
            <w:rStyle w:val="Hyperlink"/>
          </w:rPr>
          <w:t>LA</w:t>
        </w:r>
      </w:hyperlink>
      <w:r w:rsidRPr="00481F36">
        <w:rPr>
          <w:rStyle w:val="Hyperlink"/>
        </w:rPr>
        <w:t xml:space="preserve"> </w:t>
      </w:r>
      <w:r w:rsidRPr="00481F36">
        <w:t>s 13(1)(b)</w:t>
      </w:r>
      <w:r w:rsidR="00B345EA">
        <w:t>)</w:t>
      </w:r>
      <w:r w:rsidRPr="00481F36">
        <w:t>.</w:t>
      </w:r>
      <w:r>
        <w:t xml:space="preserve"> However, this will generally apply only if the definition applies for the purposes of the entire enabling legislation, and not just a part of the enabling legislation.</w:t>
      </w:r>
    </w:p>
    <w:p w14:paraId="644C6746" w14:textId="444B92DB" w:rsidR="008E40D0" w:rsidRPr="00FD274F" w:rsidRDefault="008E40D0" w:rsidP="008E40D0">
      <w:pPr>
        <w:pStyle w:val="BodyNum"/>
      </w:pPr>
      <w:bookmarkStart w:id="43" w:name="_Ref422844015"/>
      <w:r w:rsidRPr="00FD274F">
        <w:t>Each provision in the main body of the instrument and in any Schedules should be referred to and numbered in an orderly way. This ensures that the provisions of an instrument can be referred to readily and amended with certainty, and compilations can be prepared of the instrument as amende</w:t>
      </w:r>
      <w:r w:rsidRPr="00A15B35">
        <w:t xml:space="preserve">d (see </w:t>
      </w:r>
      <w:hyperlink w:anchor="Chapter5" w:history="1">
        <w:r w:rsidRPr="00A15B35">
          <w:rPr>
            <w:rStyle w:val="Hyperlink"/>
          </w:rPr>
          <w:t>Chapter 5</w:t>
        </w:r>
      </w:hyperlink>
      <w:r w:rsidRPr="00A15B35">
        <w:t>). For c</w:t>
      </w:r>
      <w:r w:rsidRPr="00FD274F">
        <w:t xml:space="preserve">onsistency with the rest of the Commonwealth statute book, </w:t>
      </w:r>
      <w:r>
        <w:t>the person drafting the instrument</w:t>
      </w:r>
      <w:r w:rsidRPr="00FD274F">
        <w:t xml:space="preserve"> should:</w:t>
      </w:r>
      <w:bookmarkEnd w:id="43"/>
    </w:p>
    <w:p w14:paraId="6222E2F0" w14:textId="77777777" w:rsidR="008E40D0" w:rsidRPr="00FD274F" w:rsidRDefault="008E40D0" w:rsidP="008E40D0">
      <w:pPr>
        <w:pStyle w:val="BodyPara"/>
        <w:rPr>
          <w:spacing w:val="-2"/>
        </w:rPr>
      </w:pPr>
      <w:r w:rsidRPr="00FD274F">
        <w:rPr>
          <w:spacing w:val="-2"/>
        </w:rPr>
        <w:t>use Arabic numerals (e.g. 1, 2, 3) for all headings, sections and subsections; and</w:t>
      </w:r>
    </w:p>
    <w:p w14:paraId="6F68EA59" w14:textId="77777777" w:rsidR="008E40D0" w:rsidRPr="00FD274F" w:rsidRDefault="008E40D0" w:rsidP="008E40D0">
      <w:pPr>
        <w:pStyle w:val="BodyPara"/>
      </w:pPr>
      <w:r w:rsidRPr="00FD274F">
        <w:t>use letters (e.g. (a) and (b)) for paragraphs; and</w:t>
      </w:r>
    </w:p>
    <w:p w14:paraId="26F35E61" w14:textId="77777777" w:rsidR="008E40D0" w:rsidRPr="00FD274F" w:rsidRDefault="008E40D0" w:rsidP="008E40D0">
      <w:pPr>
        <w:pStyle w:val="BodyPara"/>
      </w:pPr>
      <w:r w:rsidRPr="00FD274F">
        <w:t>if inserting a new section/s (e.g. after section 25), use capital letters after the numeral to indicate the sequence of sections (e.g. section 25A, 25B etc.); and</w:t>
      </w:r>
    </w:p>
    <w:p w14:paraId="6178876D" w14:textId="77777777" w:rsidR="008E40D0" w:rsidRPr="00FD274F" w:rsidRDefault="008E40D0" w:rsidP="008E40D0">
      <w:pPr>
        <w:pStyle w:val="BodyPara"/>
        <w:rPr>
          <w:spacing w:val="-2"/>
        </w:rPr>
      </w:pPr>
      <w:r w:rsidRPr="00FD274F">
        <w:rPr>
          <w:spacing w:val="-2"/>
        </w:rPr>
        <w:lastRenderedPageBreak/>
        <w:t>if many new sections have been/are to be inserted, skip the letters “I” and “O” after numerals to avoid confusion e.g. between 25I and 251, and 25O and 250; and</w:t>
      </w:r>
    </w:p>
    <w:p w14:paraId="67F058C8" w14:textId="77777777" w:rsidR="008E40D0" w:rsidRPr="00FD274F" w:rsidRDefault="008E40D0" w:rsidP="008E40D0">
      <w:pPr>
        <w:pStyle w:val="BodyPara"/>
      </w:pPr>
      <w:r w:rsidRPr="00FD274F">
        <w:t>avoid using capitalised Roman numerals (e.g. I, II, III), unless inserting provisions into an existing instrum</w:t>
      </w:r>
      <w:r>
        <w:t>ent that already uses them; and</w:t>
      </w:r>
    </w:p>
    <w:p w14:paraId="0A8AD7FC" w14:textId="77777777" w:rsidR="008E40D0" w:rsidRPr="00FD274F" w:rsidRDefault="008E40D0" w:rsidP="008E40D0">
      <w:pPr>
        <w:pStyle w:val="BodyPara"/>
      </w:pPr>
      <w:r w:rsidRPr="00FD274F">
        <w:t>avoid “tidying up” legislation by renumbering it, without carefully considering the risks (especially if there are cross</w:t>
      </w:r>
      <w:r>
        <w:noBreakHyphen/>
      </w:r>
      <w:r w:rsidRPr="00FD274F">
        <w:t>references in related documents).</w:t>
      </w:r>
    </w:p>
    <w:p w14:paraId="0B8CA489" w14:textId="224DADAF" w:rsidR="008E40D0" w:rsidRPr="0023124E" w:rsidRDefault="008E40D0" w:rsidP="008E40D0">
      <w:pPr>
        <w:pStyle w:val="BodyNum"/>
      </w:pPr>
      <w:r w:rsidRPr="00FD274F">
        <w:t xml:space="preserve">For detailed guidance on the numbering of provisions, and the risks involved in renumbering provisions, please refer </w:t>
      </w:r>
      <w:r w:rsidRPr="0023124E">
        <w:t xml:space="preserve">to </w:t>
      </w:r>
      <w:hyperlink r:id="rId153" w:history="1">
        <w:r w:rsidRPr="0023124E">
          <w:rPr>
            <w:rStyle w:val="Hyperlink"/>
          </w:rPr>
          <w:t>OPC Drafting Direction 1.7</w:t>
        </w:r>
      </w:hyperlink>
      <w:r w:rsidRPr="0023124E">
        <w:t>.</w:t>
      </w:r>
    </w:p>
    <w:p w14:paraId="2D90C1E9" w14:textId="77777777" w:rsidR="008E40D0" w:rsidRDefault="008E40D0" w:rsidP="008E40D0">
      <w:pPr>
        <w:pStyle w:val="Body"/>
        <w:pageBreakBefore/>
        <w:rPr>
          <w:b/>
        </w:rPr>
      </w:pPr>
      <w:r w:rsidRPr="00FD274F">
        <w:rPr>
          <w:b/>
        </w:rPr>
        <w:lastRenderedPageBreak/>
        <w:t>Illu</w:t>
      </w:r>
      <w:r w:rsidRPr="00A15B35">
        <w:rPr>
          <w:b/>
        </w:rPr>
        <w:t>stration 3B—s</w:t>
      </w:r>
      <w:r w:rsidRPr="00FD274F">
        <w:rPr>
          <w:b/>
        </w:rPr>
        <w:t>tandard order and format of provis</w:t>
      </w:r>
      <w:r>
        <w:rPr>
          <w:b/>
        </w:rPr>
        <w:t>ions in main body of instrument</w:t>
      </w:r>
    </w:p>
    <w:p w14:paraId="256BCC95" w14:textId="77777777" w:rsidR="008E40D0" w:rsidRPr="00FD274F" w:rsidRDefault="008E40D0" w:rsidP="008E40D0">
      <w:pPr>
        <w:pStyle w:val="Body"/>
        <w:jc w:val="center"/>
        <w:rPr>
          <w:b/>
        </w:rPr>
      </w:pPr>
      <w:r>
        <w:rPr>
          <w:noProof/>
        </w:rPr>
        <w:drawing>
          <wp:inline distT="0" distB="0" distL="0" distR="0" wp14:anchorId="24104984" wp14:editId="5AAB61F3">
            <wp:extent cx="4777200" cy="7920000"/>
            <wp:effectExtent l="19050" t="19050" r="23495" b="24130"/>
            <wp:docPr id="8" name="Picture 8" descr="Template showing sections 1 to 5 with wording that is consistently used and brackets with descriptions of text to be custom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4777200" cy="7920000"/>
                    </a:xfrm>
                    <a:prstGeom prst="rect">
                      <a:avLst/>
                    </a:prstGeom>
                    <a:ln>
                      <a:solidFill>
                        <a:schemeClr val="tx1"/>
                      </a:solidFill>
                    </a:ln>
                  </pic:spPr>
                </pic:pic>
              </a:graphicData>
            </a:graphic>
          </wp:inline>
        </w:drawing>
      </w:r>
    </w:p>
    <w:p w14:paraId="339427CD" w14:textId="77777777" w:rsidR="008E40D0" w:rsidRPr="002600D1" w:rsidRDefault="008E40D0" w:rsidP="008E40D0">
      <w:pPr>
        <w:pStyle w:val="BodyNum"/>
      </w:pPr>
      <w:r>
        <w:lastRenderedPageBreak/>
        <w:t>If different provisions of the instrument commence at different times, additional rows can be added to the commencement table</w:t>
      </w:r>
      <w:r w:rsidRPr="0091228E">
        <w:rPr>
          <w:szCs w:val="24"/>
        </w:rPr>
        <w:t xml:space="preserve"> </w:t>
      </w:r>
      <w:r w:rsidRPr="00A15B35">
        <w:t>(see Illustration 3C)</w:t>
      </w:r>
      <w:r w:rsidRPr="00A15B35">
        <w:rPr>
          <w:szCs w:val="24"/>
        </w:rPr>
        <w:t>.</w:t>
      </w:r>
    </w:p>
    <w:p w14:paraId="55C7BBBD" w14:textId="77777777" w:rsidR="008E40D0" w:rsidRDefault="008E40D0" w:rsidP="008E40D0">
      <w:pPr>
        <w:pStyle w:val="Body"/>
        <w:rPr>
          <w:b/>
        </w:rPr>
      </w:pPr>
      <w:r w:rsidRPr="00FD274F">
        <w:rPr>
          <w:b/>
        </w:rPr>
        <w:t>Illustration 3</w:t>
      </w:r>
      <w:r>
        <w:rPr>
          <w:b/>
        </w:rPr>
        <w:t>C</w:t>
      </w:r>
      <w:r w:rsidRPr="00FD274F">
        <w:rPr>
          <w:b/>
        </w:rPr>
        <w:t>—</w:t>
      </w:r>
      <w:r>
        <w:rPr>
          <w:b/>
        </w:rPr>
        <w:t>commencement table with multiple commencement dates</w:t>
      </w:r>
    </w:p>
    <w:p w14:paraId="6A7A1A73" w14:textId="77777777" w:rsidR="008E40D0" w:rsidRPr="00FD274F" w:rsidRDefault="008E40D0" w:rsidP="008E40D0">
      <w:pPr>
        <w:pStyle w:val="Body"/>
        <w:jc w:val="center"/>
        <w:rPr>
          <w:b/>
        </w:rPr>
      </w:pPr>
      <w:r>
        <w:rPr>
          <w:noProof/>
        </w:rPr>
        <w:drawing>
          <wp:inline distT="0" distB="0" distL="0" distR="0" wp14:anchorId="18BFEC45" wp14:editId="15D7D109">
            <wp:extent cx="5666667" cy="4819048"/>
            <wp:effectExtent l="19050" t="19050" r="10795" b="19685"/>
            <wp:docPr id="6" name="Picture 6" descr="Template showing a section 2 commencement table formatted with multiple rows for multiple commencement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5666667" cy="4819048"/>
                    </a:xfrm>
                    <a:prstGeom prst="rect">
                      <a:avLst/>
                    </a:prstGeom>
                    <a:ln>
                      <a:solidFill>
                        <a:schemeClr val="tx1"/>
                      </a:solidFill>
                    </a:ln>
                  </pic:spPr>
                </pic:pic>
              </a:graphicData>
            </a:graphic>
          </wp:inline>
        </w:drawing>
      </w:r>
    </w:p>
    <w:p w14:paraId="695590FB" w14:textId="77777777" w:rsidR="008E40D0" w:rsidRPr="00FD274F" w:rsidRDefault="008E40D0" w:rsidP="008E40D0">
      <w:pPr>
        <w:pStyle w:val="Head4"/>
      </w:pPr>
      <w:bookmarkStart w:id="44" w:name="_Toc183694641"/>
      <w:r w:rsidRPr="00FD274F">
        <w:t>Use of other approaches</w:t>
      </w:r>
      <w:bookmarkEnd w:id="44"/>
    </w:p>
    <w:p w14:paraId="12A7D9E8" w14:textId="77777777" w:rsidR="008E40D0" w:rsidRPr="00FD274F" w:rsidRDefault="008E40D0" w:rsidP="008E40D0">
      <w:pPr>
        <w:pStyle w:val="BodyNum"/>
      </w:pPr>
      <w:r>
        <w:t>The person drafting the instrument is</w:t>
      </w:r>
      <w:r w:rsidRPr="00FD274F">
        <w:t xml:space="preserve"> sometimes asked to omit standard provisions or numbering, or to include images or other content that is not legally necessary. Although this approach may make an instrument “look nice”, it can also make it difficult to apply amendments and, in extreme cases, to enforce an instrument. Consequently, if a rule</w:t>
      </w:r>
      <w:r>
        <w:noBreakHyphen/>
      </w:r>
      <w:r w:rsidRPr="00FD274F">
        <w:t>maker wishes to proceed with a non</w:t>
      </w:r>
      <w:r>
        <w:noBreakHyphen/>
      </w:r>
      <w:r w:rsidRPr="00FD274F">
        <w:t>standard approach, agencies are advised to ensure that the rule</w:t>
      </w:r>
      <w:r>
        <w:noBreakHyphen/>
      </w:r>
      <w:r w:rsidRPr="00FD274F">
        <w:t>maker:</w:t>
      </w:r>
    </w:p>
    <w:p w14:paraId="4C5F6243" w14:textId="77777777" w:rsidR="008E40D0" w:rsidRPr="00FD274F" w:rsidRDefault="008E40D0" w:rsidP="008E40D0">
      <w:pPr>
        <w:pStyle w:val="BodyPara"/>
      </w:pPr>
      <w:r w:rsidRPr="00FD274F">
        <w:t>is awa</w:t>
      </w:r>
      <w:r>
        <w:t>re of the associated risks; and</w:t>
      </w:r>
    </w:p>
    <w:p w14:paraId="02497B09" w14:textId="77777777" w:rsidR="008E40D0" w:rsidRPr="00FD274F" w:rsidRDefault="008E40D0" w:rsidP="008E40D0">
      <w:pPr>
        <w:pStyle w:val="BodyPara"/>
      </w:pPr>
      <w:r w:rsidRPr="00FD274F">
        <w:t>includes non</w:t>
      </w:r>
      <w:r>
        <w:noBreakHyphen/>
      </w:r>
      <w:r w:rsidRPr="00FD274F">
        <w:t>standa</w:t>
      </w:r>
      <w:r>
        <w:t>rd content as an attachment or S</w:t>
      </w:r>
      <w:r w:rsidRPr="00FD274F">
        <w:t>chedule to a short instrument that fo</w:t>
      </w:r>
      <w:r>
        <w:t>llows the recommended approach.</w:t>
      </w:r>
    </w:p>
    <w:p w14:paraId="5801C1D0" w14:textId="77777777" w:rsidR="008E40D0" w:rsidRPr="00FD274F" w:rsidRDefault="008E40D0" w:rsidP="008E40D0">
      <w:pPr>
        <w:pStyle w:val="BodyNum"/>
      </w:pPr>
      <w:r w:rsidRPr="00FD274F">
        <w:lastRenderedPageBreak/>
        <w:t>Even a very short instrument should include the enabling legislation and making words appropriate to that legislation in the text of the instrument. These details are important to establish whether the in</w:t>
      </w:r>
      <w:r>
        <w:t>strument has been validly made.</w:t>
      </w:r>
    </w:p>
    <w:p w14:paraId="56753596" w14:textId="77777777" w:rsidR="008E40D0" w:rsidRPr="00FD274F" w:rsidRDefault="008E40D0" w:rsidP="008E40D0">
      <w:pPr>
        <w:pStyle w:val="Head3"/>
      </w:pPr>
      <w:bookmarkStart w:id="45" w:name="_Toc183694642"/>
      <w:r w:rsidRPr="00FD274F">
        <w:t>Default rules on commencement of instrument or provision</w:t>
      </w:r>
      <w:bookmarkEnd w:id="45"/>
    </w:p>
    <w:p w14:paraId="699590FC" w14:textId="1DE9DB07" w:rsidR="008E40D0" w:rsidRDefault="008E40D0" w:rsidP="008E40D0">
      <w:pPr>
        <w:pStyle w:val="BodyNum"/>
      </w:pPr>
      <w:bookmarkStart w:id="46" w:name="_Ref367446165"/>
      <w:r w:rsidRPr="00FD274F">
        <w:t>In exercising the power to make a legislative instrument, the rule</w:t>
      </w:r>
      <w:r>
        <w:noBreakHyphen/>
      </w:r>
      <w:r w:rsidRPr="00FD274F">
        <w:t>maker should always specify when the instrument, or each provision of the instrument, commences. In doing so, the rule</w:t>
      </w:r>
      <w:r>
        <w:noBreakHyphen/>
      </w:r>
      <w:r w:rsidRPr="00FD274F">
        <w:t xml:space="preserve">maker must have regard to any special provisions in the instrument’s enabling legislation, and the default provisions of the </w:t>
      </w:r>
      <w:hyperlink r:id="rId156" w:history="1">
        <w:r w:rsidRPr="00FD274F">
          <w:rPr>
            <w:rStyle w:val="Hyperlink"/>
          </w:rPr>
          <w:t>LA</w:t>
        </w:r>
      </w:hyperlink>
      <w:r w:rsidRPr="00FD274F">
        <w:rPr>
          <w:rStyle w:val="Hyperlink"/>
        </w:rPr>
        <w:t xml:space="preserve"> </w:t>
      </w:r>
      <w:r w:rsidRPr="00DE3286">
        <w:t>(particularly s 12).</w:t>
      </w:r>
      <w:bookmarkEnd w:id="46"/>
    </w:p>
    <w:p w14:paraId="4DC2A9E2" w14:textId="45AA1E54" w:rsidR="005A7E70" w:rsidRDefault="005A7E70" w:rsidP="005A7E70">
      <w:pPr>
        <w:pStyle w:val="BodyNum"/>
      </w:pPr>
      <w:r>
        <w:t>To clearly indicate commencement, the word “commences” should be used rather than wording such as “takes effect on”, “is valid from” or “has effect for a specified period”, u</w:t>
      </w:r>
      <w:r w:rsidRPr="00FD274F">
        <w:t xml:space="preserve">nless a specific term is required by the </w:t>
      </w:r>
      <w:r>
        <w:t xml:space="preserve">authorising </w:t>
      </w:r>
      <w:r w:rsidRPr="00FD274F">
        <w:t>legislation</w:t>
      </w:r>
      <w:r>
        <w:t>.</w:t>
      </w:r>
    </w:p>
    <w:p w14:paraId="29E7F70E" w14:textId="4E877A23" w:rsidR="008E40D0" w:rsidRPr="00FD274F" w:rsidRDefault="008E40D0" w:rsidP="008E40D0">
      <w:pPr>
        <w:pStyle w:val="BodyNum"/>
      </w:pPr>
      <w:r w:rsidRPr="00FD274F">
        <w:t xml:space="preserve">An instrument may provide for its commencement by enabling a commencement instrument to be made </w:t>
      </w:r>
      <w:r w:rsidR="00796E6B">
        <w:t>(</w:t>
      </w:r>
      <w:hyperlink r:id="rId157" w:history="1">
        <w:r w:rsidRPr="00DE3286">
          <w:rPr>
            <w:rStyle w:val="Hyperlink"/>
          </w:rPr>
          <w:t>LA</w:t>
        </w:r>
      </w:hyperlink>
      <w:r w:rsidRPr="00DE3286">
        <w:t xml:space="preserve"> s 12(5)</w:t>
      </w:r>
      <w:r w:rsidR="00796E6B">
        <w:t>)</w:t>
      </w:r>
      <w:r w:rsidRPr="00DE3286">
        <w:t>.</w:t>
      </w:r>
      <w:r w:rsidRPr="00FD274F">
        <w:t xml:space="preserve"> Alternatively, an instrument or provision of an instrument may be expressed as commencing as follows:</w:t>
      </w:r>
    </w:p>
    <w:p w14:paraId="42FD8FF4" w14:textId="53A17C2A" w:rsidR="008E40D0" w:rsidRPr="00FD274F" w:rsidRDefault="008E40D0" w:rsidP="008E40D0">
      <w:pPr>
        <w:pStyle w:val="BodyPara"/>
      </w:pPr>
      <w:r w:rsidRPr="00FD274F">
        <w:t xml:space="preserve">on a specified day—if no time is specified, the commencement will occur at the start of the </w:t>
      </w:r>
      <w:r>
        <w:t xml:space="preserve">specified </w:t>
      </w:r>
      <w:r w:rsidRPr="00FD274F">
        <w:t xml:space="preserve">day </w:t>
      </w:r>
      <w:r>
        <w:t>(</w:t>
      </w:r>
      <w:hyperlink r:id="rId158" w:history="1">
        <w:r w:rsidRPr="00414F6F">
          <w:rPr>
            <w:rStyle w:val="Hyperlink"/>
            <w:i/>
          </w:rPr>
          <w:t>Acts Interpretation Act 1901</w:t>
        </w:r>
      </w:hyperlink>
      <w:r w:rsidRPr="00414F6F">
        <w:rPr>
          <w:rStyle w:val="Hyperlink"/>
          <w:i/>
        </w:rPr>
        <w:t xml:space="preserve"> </w:t>
      </w:r>
      <w:r w:rsidRPr="00414F6F">
        <w:t>s 3</w:t>
      </w:r>
      <w:proofErr w:type="gramStart"/>
      <w:r w:rsidRPr="00414F6F">
        <w:t>);</w:t>
      </w:r>
      <w:proofErr w:type="gramEnd"/>
    </w:p>
    <w:p w14:paraId="14886281" w14:textId="77777777" w:rsidR="008E40D0" w:rsidRPr="00FD274F" w:rsidRDefault="008E40D0" w:rsidP="008E40D0">
      <w:pPr>
        <w:pStyle w:val="BodyPara"/>
      </w:pPr>
      <w:r w:rsidRPr="00FD274F">
        <w:t xml:space="preserve">on a specified day and time—if a time is specified, it may be necessary to specify a time </w:t>
      </w:r>
      <w:proofErr w:type="gramStart"/>
      <w:r w:rsidRPr="00FD274F">
        <w:t>zone;</w:t>
      </w:r>
      <w:proofErr w:type="gramEnd"/>
    </w:p>
    <w:p w14:paraId="4F37A0B1" w14:textId="77777777" w:rsidR="008E40D0" w:rsidRPr="00FD274F" w:rsidRDefault="008E40D0" w:rsidP="008E40D0">
      <w:pPr>
        <w:pStyle w:val="BodyPara"/>
      </w:pPr>
      <w:r w:rsidRPr="00FD274F">
        <w:t>on or after a specified event such as:</w:t>
      </w:r>
    </w:p>
    <w:p w14:paraId="241C7820" w14:textId="77777777" w:rsidR="008E40D0" w:rsidRPr="00FD274F" w:rsidRDefault="008E40D0" w:rsidP="008E40D0">
      <w:pPr>
        <w:pStyle w:val="BodySubPara"/>
      </w:pPr>
      <w:r w:rsidRPr="00FD274F">
        <w:t>the instrument’s registration; or</w:t>
      </w:r>
    </w:p>
    <w:p w14:paraId="73392496" w14:textId="77777777" w:rsidR="008E40D0" w:rsidRPr="00FD274F" w:rsidRDefault="008E40D0" w:rsidP="008E40D0">
      <w:pPr>
        <w:pStyle w:val="BodySubPara"/>
      </w:pPr>
      <w:r w:rsidRPr="00FD274F">
        <w:t>the commencement of a Commonwealth Act or provision of an Act; or</w:t>
      </w:r>
    </w:p>
    <w:p w14:paraId="723D7AD6" w14:textId="77777777" w:rsidR="008E40D0" w:rsidRPr="00FD274F" w:rsidRDefault="008E40D0" w:rsidP="008E40D0">
      <w:pPr>
        <w:pStyle w:val="BodySubPara"/>
      </w:pPr>
      <w:r w:rsidRPr="00FD274F">
        <w:t xml:space="preserve">the commencement of a provision of a </w:t>
      </w:r>
      <w:proofErr w:type="gramStart"/>
      <w:r w:rsidRPr="00FD274F">
        <w:t>State</w:t>
      </w:r>
      <w:proofErr w:type="gramEnd"/>
      <w:r w:rsidRPr="00FD274F">
        <w:t xml:space="preserve"> law; or</w:t>
      </w:r>
    </w:p>
    <w:p w14:paraId="3B9E56C2" w14:textId="40B2E112" w:rsidR="008E40D0" w:rsidRPr="00FD274F" w:rsidRDefault="008E40D0" w:rsidP="008E40D0">
      <w:pPr>
        <w:pStyle w:val="BodySubPara"/>
      </w:pPr>
      <w:r w:rsidRPr="00FD274F">
        <w:t>the entering into force for Australia of a treaty—this would normally be notified through a notifiable instrumen</w:t>
      </w:r>
      <w:r w:rsidRPr="00414F6F">
        <w:t>t (</w:t>
      </w:r>
      <w:hyperlink r:id="rId159" w:history="1">
        <w:hyperlink r:id="rId160" w:history="1">
          <w:hyperlink r:id="rId161" w:history="1">
            <w:r w:rsidRPr="00414F6F">
              <w:rPr>
                <w:rStyle w:val="Hyperlink"/>
              </w:rPr>
              <w:t>LEOMR</w:t>
            </w:r>
          </w:hyperlink>
        </w:hyperlink>
      </w:hyperlink>
      <w:r w:rsidRPr="00414F6F">
        <w:t xml:space="preserve"> s 8 item 1).</w:t>
      </w:r>
    </w:p>
    <w:p w14:paraId="4473236C" w14:textId="78BE28A0" w:rsidR="008E40D0" w:rsidRPr="00FD274F" w:rsidRDefault="008E40D0" w:rsidP="008E40D0">
      <w:pPr>
        <w:pStyle w:val="BodyNum"/>
      </w:pPr>
      <w:bookmarkStart w:id="47" w:name="_Ref444692813"/>
      <w:bookmarkStart w:id="48" w:name="_Ref444869799"/>
      <w:bookmarkStart w:id="49" w:name="_Ref384384731"/>
      <w:bookmarkStart w:id="50" w:name="_Ref82670448"/>
      <w:r>
        <w:t xml:space="preserve">As a general rule it is not safe to commence an instrument when it is signed by the rule-maker for the reasons set out in </w:t>
      </w:r>
      <w:r w:rsidRPr="0020724A">
        <w:t xml:space="preserve">paragraph </w:t>
      </w:r>
      <w:r w:rsidRPr="00DE3286">
        <w:fldChar w:fldCharType="begin"/>
      </w:r>
      <w:r w:rsidRPr="0020724A">
        <w:instrText xml:space="preserve"> REF _Ref82670539 \r \h </w:instrText>
      </w:r>
      <w:r>
        <w:rPr>
          <w:highlight w:val="yellow"/>
        </w:rPr>
        <w:instrText xml:space="preserve"> \* MERGEFORMAT </w:instrText>
      </w:r>
      <w:r w:rsidRPr="00DE3286">
        <w:fldChar w:fldCharType="separate"/>
      </w:r>
      <w:r w:rsidR="00833171">
        <w:t>75</w:t>
      </w:r>
      <w:r w:rsidRPr="00DE3286">
        <w:fldChar w:fldCharType="end"/>
      </w:r>
      <w:r w:rsidRPr="0020724A">
        <w:t>.</w:t>
      </w:r>
    </w:p>
    <w:p w14:paraId="1022C300" w14:textId="0A99B40B" w:rsidR="008E40D0" w:rsidRPr="00FD274F" w:rsidRDefault="008E40D0" w:rsidP="008E40D0">
      <w:pPr>
        <w:pStyle w:val="BodyNum"/>
        <w:keepLines/>
      </w:pPr>
      <w:bookmarkStart w:id="51" w:name="_Ref112862478"/>
      <w:r w:rsidRPr="00FD274F">
        <w:t xml:space="preserve">Special care is needed if an instrument is to be expressed to commence retrospectively, that is, before it is registered. </w:t>
      </w:r>
      <w:bookmarkEnd w:id="47"/>
      <w:bookmarkEnd w:id="48"/>
      <w:bookmarkEnd w:id="49"/>
      <w:r w:rsidRPr="00FD274F">
        <w:t xml:space="preserve">Subject to any contrary provision in an Act, a provision of an instrument may commence retrospectively </w:t>
      </w:r>
      <w:r w:rsidRPr="00DE3286">
        <w:t>(</w:t>
      </w:r>
      <w:hyperlink r:id="rId162" w:history="1">
        <w:r w:rsidRPr="00DE3286">
          <w:rPr>
            <w:rStyle w:val="Hyperlink"/>
          </w:rPr>
          <w:t>LA</w:t>
        </w:r>
      </w:hyperlink>
      <w:r w:rsidRPr="00DE3286">
        <w:t xml:space="preserve"> s 12(1A) and (2)).</w:t>
      </w:r>
      <w:r w:rsidRPr="00FD274F">
        <w:t xml:space="preserve"> However, a provision that commences before it is registered does not apply in relation to a person (other than the Commonwealth or an authority of the Commonwealth) to the extent that as a result </w:t>
      </w:r>
      <w:r w:rsidRPr="00DE3286">
        <w:t>(</w:t>
      </w:r>
      <w:hyperlink r:id="rId163" w:history="1">
        <w:r w:rsidRPr="00DE3286">
          <w:rPr>
            <w:rStyle w:val="Hyperlink"/>
          </w:rPr>
          <w:t>LA</w:t>
        </w:r>
      </w:hyperlink>
      <w:r w:rsidRPr="00DE3286">
        <w:rPr>
          <w:rStyle w:val="Hyperlink"/>
        </w:rPr>
        <w:t xml:space="preserve"> </w:t>
      </w:r>
      <w:r w:rsidRPr="00DE3286">
        <w:t>s 12(2)):</w:t>
      </w:r>
      <w:bookmarkEnd w:id="50"/>
      <w:bookmarkEnd w:id="51"/>
    </w:p>
    <w:p w14:paraId="209F8588" w14:textId="77777777" w:rsidR="008E40D0" w:rsidRPr="00FD274F" w:rsidRDefault="008E40D0" w:rsidP="008E40D0">
      <w:pPr>
        <w:pStyle w:val="BodyPara"/>
      </w:pPr>
      <w:r w:rsidRPr="00FD274F">
        <w:t xml:space="preserve">the person’s rights as at </w:t>
      </w:r>
      <w:r>
        <w:t>the time the instrument is registered</w:t>
      </w:r>
      <w:r w:rsidRPr="00FD274F">
        <w:t xml:space="preserve"> would be affected so as to disadvantage the person; or</w:t>
      </w:r>
    </w:p>
    <w:p w14:paraId="22D28488" w14:textId="77777777" w:rsidR="008E40D0" w:rsidRDefault="008E40D0" w:rsidP="008E40D0">
      <w:pPr>
        <w:pStyle w:val="BodyPara"/>
      </w:pPr>
      <w:r w:rsidRPr="00FD274F">
        <w:lastRenderedPageBreak/>
        <w:t xml:space="preserve">liabilities would be imposed on the person in respect of anything done or omitted to be done before </w:t>
      </w:r>
      <w:r>
        <w:t>the instrument is registered</w:t>
      </w:r>
      <w:r w:rsidRPr="00FD274F">
        <w:t>.</w:t>
      </w:r>
    </w:p>
    <w:p w14:paraId="01330BE2" w14:textId="608ADB99" w:rsidR="008E40D0" w:rsidRPr="006903BF" w:rsidRDefault="008E40D0" w:rsidP="008E40D0">
      <w:pPr>
        <w:pStyle w:val="BodyNum"/>
      </w:pPr>
      <w:bookmarkStart w:id="52" w:name="_Ref82670539"/>
      <w:r>
        <w:t xml:space="preserve">It is for this reason that legislative instruments should generally not be expressed to commence when the instrument is signed because this will be before the instrument is registered, and so the rules in </w:t>
      </w:r>
      <w:hyperlink r:id="rId164" w:history="1">
        <w:r w:rsidRPr="00DE3286">
          <w:rPr>
            <w:rStyle w:val="Hyperlink"/>
          </w:rPr>
          <w:t>LA</w:t>
        </w:r>
      </w:hyperlink>
      <w:r w:rsidRPr="00DE3286">
        <w:t xml:space="preserve"> s 12(1A) and (2)</w:t>
      </w:r>
      <w:r>
        <w:t xml:space="preserve"> will apply.</w:t>
      </w:r>
    </w:p>
    <w:bookmarkEnd w:id="52"/>
    <w:p w14:paraId="1E5B929A" w14:textId="77777777" w:rsidR="008E40D0" w:rsidRDefault="008E40D0" w:rsidP="008E40D0">
      <w:pPr>
        <w:pStyle w:val="BodyNum"/>
      </w:pPr>
      <w:r>
        <w:t xml:space="preserve">Care should also be taken to avoid having regulations made under a provision in a Bill if the regulations are to be made on the same day as the Bill is to be given Royal Assent. While this can be organised, it does require careful timing to ensure that the Royal Assent is given before the regulations are made. You should raise this with the </w:t>
      </w:r>
      <w:proofErr w:type="spellStart"/>
      <w:r>
        <w:t>ExCo</w:t>
      </w:r>
      <w:proofErr w:type="spellEnd"/>
      <w:r>
        <w:t xml:space="preserve"> Secretariat if this is required.</w:t>
      </w:r>
    </w:p>
    <w:p w14:paraId="3A13EBF3" w14:textId="459CC56A" w:rsidR="008E40D0" w:rsidRDefault="008E40D0" w:rsidP="008E40D0">
      <w:pPr>
        <w:pStyle w:val="BodyNum"/>
      </w:pPr>
      <w:bookmarkStart w:id="53" w:name="_Ref444873872"/>
      <w:r>
        <w:t>A</w:t>
      </w:r>
      <w:r w:rsidRPr="00FD274F">
        <w:t xml:space="preserve"> legislative instrument is not enforceable unless and until it is registered as a legislative instrument </w:t>
      </w:r>
      <w:r w:rsidRPr="00E21206">
        <w:t>(</w:t>
      </w:r>
      <w:hyperlink r:id="rId165" w:history="1">
        <w:r w:rsidRPr="00E21206">
          <w:rPr>
            <w:rStyle w:val="Hyperlink"/>
          </w:rPr>
          <w:t>LA</w:t>
        </w:r>
      </w:hyperlink>
      <w:r w:rsidRPr="00E21206">
        <w:t xml:space="preserve"> s 15K(1)).</w:t>
      </w:r>
      <w:bookmarkEnd w:id="53"/>
    </w:p>
    <w:p w14:paraId="294F8BA1" w14:textId="19367E4A" w:rsidR="008E40D0" w:rsidRPr="00E21206" w:rsidRDefault="008E40D0" w:rsidP="008E40D0">
      <w:pPr>
        <w:pStyle w:val="BodyNum"/>
      </w:pPr>
      <w:bookmarkStart w:id="54" w:name="_Ref112918881"/>
      <w:r w:rsidRPr="00FD274F">
        <w:t>Retrospectivity is an issue of concern to the Parliame</w:t>
      </w:r>
      <w:r w:rsidRPr="00B06770">
        <w:t>nt, s</w:t>
      </w:r>
      <w:r w:rsidRPr="00FD274F">
        <w:t>o if an instrument contains a retrospective provision, the instrument’s explanatory statement</w:t>
      </w:r>
      <w:r w:rsidRPr="00B06770">
        <w:t xml:space="preserve"> (see </w:t>
      </w:r>
      <w:hyperlink w:anchor="Chapter8" w:history="1">
        <w:r>
          <w:rPr>
            <w:rStyle w:val="Hyperlink"/>
          </w:rPr>
          <w:t>Chapter 8</w:t>
        </w:r>
      </w:hyperlink>
      <w:r w:rsidRPr="00B06770">
        <w:t>)</w:t>
      </w:r>
      <w:r w:rsidRPr="00FD274F">
        <w:t xml:space="preserve"> should explain why retrospective commencement is appropriate and include an assurance that it is not affected by </w:t>
      </w:r>
      <w:r w:rsidRPr="00E21206">
        <w:t xml:space="preserve">subsection 12(2) of the </w:t>
      </w:r>
      <w:hyperlink r:id="rId166" w:history="1">
        <w:r w:rsidRPr="00E21206">
          <w:rPr>
            <w:rStyle w:val="Hyperlink"/>
          </w:rPr>
          <w:t>LA</w:t>
        </w:r>
      </w:hyperlink>
      <w:r w:rsidRPr="00E21206">
        <w:t>.</w:t>
      </w:r>
      <w:r w:rsidRPr="00FD274F">
        <w:t xml:space="preserve"> Additional assurances may be required for instruments to be made by the Governor</w:t>
      </w:r>
      <w:r>
        <w:noBreakHyphen/>
      </w:r>
      <w:r w:rsidRPr="00FD274F">
        <w:t>General—please refer to the Federal Executive Council Handbook for up</w:t>
      </w:r>
      <w:r>
        <w:noBreakHyphen/>
      </w:r>
      <w:r w:rsidRPr="00FD274F">
        <w:t>to</w:t>
      </w:r>
      <w:r>
        <w:noBreakHyphen/>
      </w:r>
      <w:r w:rsidRPr="00FD274F">
        <w:t>date information on current requirement</w:t>
      </w:r>
      <w:r w:rsidRPr="00E21206">
        <w:t>s</w:t>
      </w:r>
      <w:r w:rsidRPr="00E21206">
        <w:rPr>
          <w:rStyle w:val="FootnoteReference"/>
        </w:rPr>
        <w:footnoteReference w:id="10"/>
      </w:r>
      <w:r w:rsidRPr="00E21206">
        <w:t>.</w:t>
      </w:r>
      <w:bookmarkEnd w:id="54"/>
    </w:p>
    <w:p w14:paraId="6BAC6013" w14:textId="75252721" w:rsidR="008E40D0" w:rsidRPr="00414F6F" w:rsidRDefault="008E40D0" w:rsidP="008E40D0">
      <w:pPr>
        <w:pStyle w:val="BodyNum"/>
      </w:pPr>
      <w:bookmarkStart w:id="55" w:name="_Ref369624675"/>
      <w:r w:rsidRPr="00FD274F">
        <w:t xml:space="preserve">Special care is also needed if an instrument is being made under a provision of an Act that has received </w:t>
      </w:r>
      <w:r w:rsidR="00783AC0">
        <w:t>Royal Assent</w:t>
      </w:r>
      <w:r w:rsidR="00783AC0" w:rsidRPr="00FD274F">
        <w:t xml:space="preserve"> </w:t>
      </w:r>
      <w:r w:rsidRPr="00FD274F">
        <w:t xml:space="preserve">but that has not yet commenced. Such an instrument cannot commence before its enabling </w:t>
      </w:r>
      <w:proofErr w:type="gramStart"/>
      <w:r w:rsidRPr="00FD274F">
        <w:t>provision, and</w:t>
      </w:r>
      <w:proofErr w:type="gramEnd"/>
      <w:r w:rsidRPr="00FD274F">
        <w:t xml:space="preserve"> is usually expressed as commencing at the same time as the enabling provision commences (rather than on a particular date that might change). There are also limits on what such an instrument can do: see </w:t>
      </w:r>
      <w:r w:rsidRPr="00414F6F">
        <w:t xml:space="preserve">section 4 of the </w:t>
      </w:r>
      <w:hyperlink r:id="rId167" w:history="1">
        <w:r w:rsidRPr="00414F6F">
          <w:rPr>
            <w:rStyle w:val="Hyperlink"/>
            <w:i/>
          </w:rPr>
          <w:t>Acts Interpretation Act 1901</w:t>
        </w:r>
      </w:hyperlink>
      <w:r w:rsidRPr="00414F6F">
        <w:t>.</w:t>
      </w:r>
    </w:p>
    <w:p w14:paraId="34CD6EC0" w14:textId="07BFDA9A" w:rsidR="008E40D0" w:rsidRDefault="008E40D0" w:rsidP="008E40D0">
      <w:pPr>
        <w:pStyle w:val="BodyNum"/>
      </w:pPr>
      <w:r w:rsidRPr="00FD274F">
        <w:t xml:space="preserve">If there is no commencement provision, an instrument commences on the start of the day after it is registered </w:t>
      </w:r>
      <w:r w:rsidRPr="00E21206">
        <w:t>(</w:t>
      </w:r>
      <w:hyperlink r:id="rId168" w:history="1">
        <w:r w:rsidRPr="00E21206">
          <w:rPr>
            <w:rStyle w:val="Hyperlink"/>
          </w:rPr>
          <w:t>LA</w:t>
        </w:r>
      </w:hyperlink>
      <w:r w:rsidRPr="00E21206">
        <w:t xml:space="preserve"> s 12(1)(a)).</w:t>
      </w:r>
      <w:bookmarkEnd w:id="55"/>
      <w:r w:rsidRPr="00FD274F">
        <w:t xml:space="preserve"> OPC’s practice when drafting is to always specify when an instrument commences in a separate provision to ensure this is clear.</w:t>
      </w:r>
    </w:p>
    <w:p w14:paraId="481E85C7" w14:textId="70931BA2" w:rsidR="008E40D0" w:rsidRPr="00FD274F" w:rsidRDefault="008E40D0" w:rsidP="008E40D0">
      <w:pPr>
        <w:pStyle w:val="BodyNum"/>
      </w:pPr>
      <w:bookmarkStart w:id="56" w:name="_Ref386036642"/>
      <w:r w:rsidRPr="00FD274F">
        <w:t xml:space="preserve">For further guidance and advice on commencement issues, please contact </w:t>
      </w:r>
      <w:hyperlink r:id="rId169" w:history="1">
        <w:r w:rsidR="00963574" w:rsidRPr="00E12592">
          <w:rPr>
            <w:rStyle w:val="Hyperlink"/>
            <w:spacing w:val="-2"/>
          </w:rPr>
          <w:t>OPC’s instrument client advisers</w:t>
        </w:r>
      </w:hyperlink>
      <w:r w:rsidR="00963574">
        <w:rPr>
          <w:spacing w:val="-2"/>
        </w:rPr>
        <w:t xml:space="preserve">, </w:t>
      </w:r>
      <w:r w:rsidRPr="00FD274F">
        <w:t>preferably before an instrument is made.</w:t>
      </w:r>
      <w:bookmarkEnd w:id="56"/>
    </w:p>
    <w:p w14:paraId="55FF0ED0" w14:textId="77777777" w:rsidR="008E40D0" w:rsidRPr="00FD274F" w:rsidRDefault="008E40D0" w:rsidP="008E40D0">
      <w:pPr>
        <w:pStyle w:val="Head3"/>
      </w:pPr>
      <w:bookmarkStart w:id="57" w:name="_Toc183694643"/>
      <w:r w:rsidRPr="00FD274F">
        <w:t>Default rules on amendment or repeal</w:t>
      </w:r>
      <w:bookmarkEnd w:id="57"/>
    </w:p>
    <w:p w14:paraId="34E83481" w14:textId="2041A92F" w:rsidR="008E40D0" w:rsidRPr="00FD274F" w:rsidRDefault="008E40D0" w:rsidP="008E40D0">
      <w:pPr>
        <w:pStyle w:val="BodyNum"/>
      </w:pPr>
      <w:bookmarkStart w:id="58" w:name="_Ref384376054"/>
      <w:r w:rsidRPr="00FD274F">
        <w:t xml:space="preserve">The general consequences of amending or repealing a legislative instrument, or a provision of a legislative instrument, are set out in </w:t>
      </w:r>
      <w:r w:rsidRPr="00414F6F">
        <w:t xml:space="preserve">section 7 of the </w:t>
      </w:r>
      <w:hyperlink r:id="rId170" w:history="1">
        <w:hyperlink r:id="rId171" w:history="1">
          <w:r w:rsidRPr="00414F6F">
            <w:rPr>
              <w:rStyle w:val="Hyperlink"/>
              <w:i/>
            </w:rPr>
            <w:t>Acts Interpretation Act 1901</w:t>
          </w:r>
        </w:hyperlink>
      </w:hyperlink>
      <w:r w:rsidRPr="00FD274F">
        <w:rPr>
          <w:rStyle w:val="Hyperlink"/>
          <w:i/>
        </w:rPr>
        <w:t xml:space="preserve"> </w:t>
      </w:r>
      <w:r w:rsidRPr="00FD274F">
        <w:t xml:space="preserve">as applied by </w:t>
      </w:r>
      <w:r w:rsidRPr="00E21206">
        <w:t xml:space="preserve">paragraph 13(1)(a) of the </w:t>
      </w:r>
      <w:hyperlink r:id="rId172" w:history="1">
        <w:r w:rsidRPr="00E21206">
          <w:rPr>
            <w:rStyle w:val="Hyperlink"/>
          </w:rPr>
          <w:t>LA</w:t>
        </w:r>
      </w:hyperlink>
      <w:r w:rsidRPr="00E21206">
        <w:t>.</w:t>
      </w:r>
      <w:r w:rsidRPr="00FD274F">
        <w:t xml:space="preserve"> Subject to a contrary intention in an instrument or Act, the amendment or repeal of an instrument does not, among other things:</w:t>
      </w:r>
    </w:p>
    <w:p w14:paraId="4B3304C4" w14:textId="77777777" w:rsidR="008E40D0" w:rsidRPr="00FD274F" w:rsidRDefault="008E40D0" w:rsidP="008E40D0">
      <w:pPr>
        <w:pStyle w:val="BodyPara"/>
      </w:pPr>
      <w:r w:rsidRPr="00FD274F">
        <w:t>revive an instrument or provision repealed by the first instrument or provision unless express provision is made for the revival; or</w:t>
      </w:r>
    </w:p>
    <w:p w14:paraId="7F4AAD1D" w14:textId="77777777" w:rsidR="008E40D0" w:rsidRPr="00FD274F" w:rsidRDefault="008E40D0" w:rsidP="008E40D0">
      <w:pPr>
        <w:pStyle w:val="BodyPara"/>
      </w:pPr>
      <w:r w:rsidRPr="00FD274F">
        <w:lastRenderedPageBreak/>
        <w:t>revive anything else not in force or existing when the repeal or amendment takes effect (unless express provision is and can be made for the revival); or</w:t>
      </w:r>
    </w:p>
    <w:p w14:paraId="6EE03089" w14:textId="77777777" w:rsidR="008E40D0" w:rsidRPr="00FD274F" w:rsidRDefault="008E40D0" w:rsidP="008E40D0">
      <w:pPr>
        <w:pStyle w:val="BodyPara"/>
      </w:pPr>
      <w:r w:rsidRPr="00FD274F">
        <w:t>affect the previous operation of (including any amendment made by), or anything done under, the instrument or provision; or</w:t>
      </w:r>
    </w:p>
    <w:p w14:paraId="29B2F37A" w14:textId="77777777" w:rsidR="008E40D0" w:rsidRPr="00FD274F" w:rsidRDefault="008E40D0" w:rsidP="008E40D0">
      <w:pPr>
        <w:pStyle w:val="BodyPara"/>
      </w:pPr>
      <w:r w:rsidRPr="00FD274F">
        <w:t>affect any right, privilege, obligation or liability acquired, accrued or incurred under the instrument or provision; or</w:t>
      </w:r>
    </w:p>
    <w:p w14:paraId="513364F6" w14:textId="77777777" w:rsidR="008E40D0" w:rsidRPr="00FD274F" w:rsidRDefault="008E40D0" w:rsidP="008E40D0">
      <w:pPr>
        <w:pStyle w:val="BodyPara"/>
      </w:pPr>
      <w:r w:rsidRPr="00FD274F">
        <w:t xml:space="preserve">affect any penalty, forfeiture or punishment incurred in respect of an offence committed against </w:t>
      </w:r>
      <w:r>
        <w:t>the instrument or provision; or</w:t>
      </w:r>
    </w:p>
    <w:p w14:paraId="3BB522CF" w14:textId="77777777" w:rsidR="008E40D0" w:rsidRPr="00FD274F" w:rsidRDefault="008E40D0" w:rsidP="008E40D0">
      <w:pPr>
        <w:pStyle w:val="BodyPara"/>
      </w:pPr>
      <w:r w:rsidRPr="00FD274F">
        <w:t>affect any associated investigation, legal proceeding or remedy.</w:t>
      </w:r>
    </w:p>
    <w:p w14:paraId="2F053931" w14:textId="4D3ACC78" w:rsidR="008E40D0" w:rsidRPr="00FD274F" w:rsidRDefault="008E40D0" w:rsidP="008E40D0">
      <w:pPr>
        <w:pStyle w:val="BodyNum"/>
      </w:pPr>
      <w:r w:rsidRPr="00FD274F">
        <w:t xml:space="preserve">Under </w:t>
      </w:r>
      <w:r w:rsidRPr="005735D0">
        <w:t xml:space="preserve">the </w:t>
      </w:r>
      <w:hyperlink r:id="rId173" w:history="1">
        <w:r w:rsidRPr="005735D0">
          <w:rPr>
            <w:rStyle w:val="Hyperlink"/>
          </w:rPr>
          <w:t>LA</w:t>
        </w:r>
      </w:hyperlink>
      <w:r w:rsidRPr="005735D0">
        <w:t>, a</w:t>
      </w:r>
      <w:r w:rsidRPr="00FD274F">
        <w:t xml:space="preserve">mending an instrument generally triggers a requirement for one or more compilations to be prepared (see </w:t>
      </w:r>
      <w:hyperlink w:anchor="Chapter5" w:history="1">
        <w:r w:rsidRPr="005C17A5">
          <w:rPr>
            <w:rStyle w:val="Hyperlink"/>
          </w:rPr>
          <w:t>Chapter 5</w:t>
        </w:r>
      </w:hyperlink>
      <w:r>
        <w:t>)</w:t>
      </w:r>
      <w:r w:rsidRPr="00FD274F">
        <w:t xml:space="preserve"> but does not affect any sunset date that may apply to the instrument unde</w:t>
      </w:r>
      <w:r w:rsidRPr="005735D0">
        <w:t xml:space="preserve">r Part 4 of Chapter 3 of the </w:t>
      </w:r>
      <w:hyperlink r:id="rId174" w:history="1">
        <w:r w:rsidRPr="005735D0">
          <w:rPr>
            <w:rStyle w:val="Hyperlink"/>
          </w:rPr>
          <w:t>LA</w:t>
        </w:r>
      </w:hyperlink>
      <w:r w:rsidRPr="005C17A5">
        <w:rPr>
          <w:rStyle w:val="Hyperlink"/>
        </w:rPr>
        <w:t xml:space="preserve"> </w:t>
      </w:r>
      <w:r w:rsidRPr="005C17A5">
        <w:t xml:space="preserve">(see </w:t>
      </w:r>
      <w:hyperlink w:anchor="Chapter10" w:history="1">
        <w:r w:rsidRPr="005C17A5">
          <w:rPr>
            <w:rStyle w:val="Hyperlink"/>
          </w:rPr>
          <w:t>Chapter 10</w:t>
        </w:r>
      </w:hyperlink>
      <w:r w:rsidRPr="005C17A5">
        <w:t>).</w:t>
      </w:r>
      <w:r w:rsidRPr="00FD274F">
        <w:t xml:space="preserve"> Consequently, it may be better to </w:t>
      </w:r>
      <w:r>
        <w:t>repeal and replace</w:t>
      </w:r>
      <w:r w:rsidRPr="00FD274F">
        <w:t xml:space="preserve"> an instrument if it is approaching its sunset date or if extensive changes are being made to the text of the instrument.</w:t>
      </w:r>
    </w:p>
    <w:p w14:paraId="766FC60B" w14:textId="63C2F806" w:rsidR="008E40D0" w:rsidRPr="00FD274F" w:rsidRDefault="008E40D0" w:rsidP="008E40D0">
      <w:pPr>
        <w:pStyle w:val="BodyNum"/>
      </w:pPr>
      <w:r w:rsidRPr="00FD274F">
        <w:t>If an instrument is repealed, it is not removed from the Register. The instrument remains on permanen</w:t>
      </w:r>
      <w:r>
        <w:t>t public record on the Register</w:t>
      </w:r>
      <w:r w:rsidRPr="00FD274F">
        <w:t xml:space="preserve"> but is no longer displayed as in force. Th</w:t>
      </w:r>
      <w:r w:rsidRPr="005735D0">
        <w:t xml:space="preserve">e </w:t>
      </w:r>
      <w:hyperlink r:id="rId175" w:history="1">
        <w:r w:rsidRPr="005735D0">
          <w:rPr>
            <w:rStyle w:val="Hyperlink"/>
          </w:rPr>
          <w:t>LA</w:t>
        </w:r>
      </w:hyperlink>
      <w:r w:rsidRPr="00FD274F">
        <w:t xml:space="preserve"> makes no provision for registered instruments (or parts of registered instruments) to be removed from the Register for any reason.</w:t>
      </w:r>
    </w:p>
    <w:p w14:paraId="390D8B82" w14:textId="77777777" w:rsidR="008E40D0" w:rsidRPr="00FD274F" w:rsidRDefault="008E40D0" w:rsidP="008E40D0">
      <w:pPr>
        <w:pStyle w:val="Head4"/>
      </w:pPr>
      <w:bookmarkStart w:id="59" w:name="_Toc183694644"/>
      <w:r w:rsidRPr="00FD274F">
        <w:t>Amending and repealing instruments</w:t>
      </w:r>
      <w:bookmarkEnd w:id="59"/>
    </w:p>
    <w:p w14:paraId="57ADC946" w14:textId="6A533C9C" w:rsidR="008E40D0" w:rsidRPr="00FD274F" w:rsidRDefault="008E40D0" w:rsidP="008E40D0">
      <w:pPr>
        <w:pStyle w:val="BodyNum"/>
      </w:pPr>
      <w:r w:rsidRPr="00FD274F">
        <w:t>A rule</w:t>
      </w:r>
      <w:r>
        <w:noBreakHyphen/>
      </w:r>
      <w:r w:rsidRPr="00FD274F">
        <w:t>maker who is authorised to make a particular type of instrument may amend or repeal any instrument of the same type that is in force.</w:t>
      </w:r>
      <w:r w:rsidR="00183BE0" w:rsidRPr="00E21206">
        <w:rPr>
          <w:rStyle w:val="FootnoteReference"/>
        </w:rPr>
        <w:footnoteReference w:id="11"/>
      </w:r>
      <w:r w:rsidRPr="00FD274F">
        <w:t xml:space="preserve"> However, the rule</w:t>
      </w:r>
      <w:r>
        <w:noBreakHyphen/>
      </w:r>
      <w:r w:rsidRPr="00FD274F">
        <w:t xml:space="preserve">maker must have regard to any special provisions in the instrument’s enabling legislation and the default provisions of the </w:t>
      </w:r>
      <w:hyperlink r:id="rId176" w:history="1">
        <w:hyperlink r:id="rId177" w:history="1">
          <w:r w:rsidRPr="00414F6F">
            <w:rPr>
              <w:rStyle w:val="Hyperlink"/>
              <w:i/>
            </w:rPr>
            <w:t>Acts Interpretation Act 1901</w:t>
          </w:r>
        </w:hyperlink>
      </w:hyperlink>
      <w:r w:rsidRPr="00414F6F">
        <w:t xml:space="preserve"> an</w:t>
      </w:r>
      <w:r w:rsidRPr="00FD274F">
        <w:t>d th</w:t>
      </w:r>
      <w:r w:rsidRPr="005735D0">
        <w:t xml:space="preserve">e </w:t>
      </w:r>
      <w:hyperlink r:id="rId178" w:history="1">
        <w:r w:rsidRPr="005735D0">
          <w:rPr>
            <w:rStyle w:val="Hyperlink"/>
          </w:rPr>
          <w:t>LA</w:t>
        </w:r>
      </w:hyperlink>
      <w:r w:rsidRPr="005735D0">
        <w:t>. T</w:t>
      </w:r>
      <w:r w:rsidRPr="00FD274F">
        <w:t>he rule</w:t>
      </w:r>
      <w:r>
        <w:noBreakHyphen/>
      </w:r>
      <w:r w:rsidRPr="00FD274F">
        <w:t>maker should also:</w:t>
      </w:r>
    </w:p>
    <w:p w14:paraId="410F7479" w14:textId="77777777" w:rsidR="008E40D0" w:rsidRPr="00FD274F" w:rsidRDefault="008E40D0" w:rsidP="008E40D0">
      <w:pPr>
        <w:pStyle w:val="BodyPara"/>
      </w:pPr>
      <w:r w:rsidRPr="00FD274F">
        <w:t>ensure that each instrument to be amended or repealed is clearly identified; and</w:t>
      </w:r>
    </w:p>
    <w:p w14:paraId="08F40AF8" w14:textId="10C0F429" w:rsidR="008E40D0" w:rsidRPr="00FD274F" w:rsidRDefault="008E40D0" w:rsidP="008E40D0">
      <w:pPr>
        <w:pStyle w:val="BodyPara"/>
      </w:pPr>
      <w:r w:rsidRPr="00FD274F">
        <w:t>consider whether a saving, transitional, application or self</w:t>
      </w:r>
      <w:r>
        <w:noBreakHyphen/>
      </w:r>
      <w:r w:rsidRPr="00FD274F">
        <w:t xml:space="preserve">repealing provision is needed (see </w:t>
      </w:r>
      <w:r w:rsidRPr="005C17A5">
        <w:t xml:space="preserve">also paragraphs </w:t>
      </w:r>
      <w:r w:rsidRPr="005735D0">
        <w:fldChar w:fldCharType="begin"/>
      </w:r>
      <w:r w:rsidRPr="005C17A5">
        <w:instrText xml:space="preserve"> REF _Ref384650277 \r \h  \* MERGEFORMAT </w:instrText>
      </w:r>
      <w:r w:rsidRPr="005735D0">
        <w:fldChar w:fldCharType="separate"/>
      </w:r>
      <w:r w:rsidR="00833171">
        <w:t>94</w:t>
      </w:r>
      <w:r w:rsidRPr="005735D0">
        <w:fldChar w:fldCharType="end"/>
      </w:r>
      <w:r w:rsidRPr="005C17A5">
        <w:t xml:space="preserve"> and </w:t>
      </w:r>
      <w:r w:rsidRPr="005735D0">
        <w:fldChar w:fldCharType="begin"/>
      </w:r>
      <w:r w:rsidRPr="005C17A5">
        <w:instrText xml:space="preserve"> REF _Ref384706703 \r \h </w:instrText>
      </w:r>
      <w:r>
        <w:rPr>
          <w:highlight w:val="yellow"/>
        </w:rPr>
        <w:instrText xml:space="preserve"> \* MERGEFORMAT </w:instrText>
      </w:r>
      <w:r w:rsidRPr="005735D0">
        <w:fldChar w:fldCharType="separate"/>
      </w:r>
      <w:r w:rsidR="00833171">
        <w:t>95</w:t>
      </w:r>
      <w:r w:rsidRPr="005735D0">
        <w:fldChar w:fldCharType="end"/>
      </w:r>
      <w:r w:rsidRPr="005C17A5">
        <w:t>);</w:t>
      </w:r>
      <w:r>
        <w:t xml:space="preserve"> and</w:t>
      </w:r>
    </w:p>
    <w:p w14:paraId="15558ABD" w14:textId="77777777" w:rsidR="008E40D0" w:rsidRPr="00FD274F" w:rsidRDefault="008E40D0" w:rsidP="008E40D0">
      <w:pPr>
        <w:pStyle w:val="BodyPara"/>
      </w:pPr>
      <w:r w:rsidRPr="00FD274F">
        <w:t>consider whether separate instruments are needed e.g. because only some of the instruments to be dealt with would normally be subject to disallowance.</w:t>
      </w:r>
    </w:p>
    <w:p w14:paraId="0DB82272" w14:textId="7F5626C5" w:rsidR="008E40D0" w:rsidRPr="005735D0" w:rsidRDefault="008E40D0" w:rsidP="008E40D0">
      <w:pPr>
        <w:pStyle w:val="BodyNum"/>
      </w:pPr>
      <w:r w:rsidRPr="00FD274F">
        <w:t xml:space="preserve">To ensure that an amendment or repeal is effective and does not have unintended consequences, it is essential to clearly identify each instrument that is to be amended or repealed. Under </w:t>
      </w:r>
      <w:r w:rsidRPr="00DF0E7B">
        <w:t xml:space="preserve">paragraph 40(1A)(b) of the </w:t>
      </w:r>
      <w:hyperlink r:id="rId179" w:history="1">
        <w:hyperlink r:id="rId180" w:history="1">
          <w:r w:rsidRPr="00DF0E7B">
            <w:rPr>
              <w:rStyle w:val="Hyperlink"/>
              <w:i/>
            </w:rPr>
            <w:t>Acts Interpretation Act 1901</w:t>
          </w:r>
        </w:hyperlink>
      </w:hyperlink>
      <w:r w:rsidRPr="00DF0E7B">
        <w:t xml:space="preserve"> (as ap</w:t>
      </w:r>
      <w:r w:rsidRPr="00FD274F">
        <w:t xml:space="preserve">plied by </w:t>
      </w:r>
      <w:r w:rsidRPr="005735D0">
        <w:t xml:space="preserve">paragraph 13(1)(a) of the </w:t>
      </w:r>
      <w:hyperlink r:id="rId181" w:history="1">
        <w:r w:rsidRPr="005735D0">
          <w:rPr>
            <w:rStyle w:val="Hyperlink"/>
          </w:rPr>
          <w:t>LA</w:t>
        </w:r>
      </w:hyperlink>
      <w:r w:rsidRPr="005735D0">
        <w:t>), a legislative instrument may be identified by any of the following:</w:t>
      </w:r>
    </w:p>
    <w:p w14:paraId="6C0E2237" w14:textId="77777777" w:rsidR="008E40D0" w:rsidRPr="00FD274F" w:rsidRDefault="008E40D0" w:rsidP="008E40D0">
      <w:pPr>
        <w:pStyle w:val="BodyPara"/>
      </w:pPr>
      <w:r w:rsidRPr="00FD274F">
        <w:lastRenderedPageBreak/>
        <w:t xml:space="preserve">its name, if the instrument has a unique name equivalent to the short title of an </w:t>
      </w:r>
      <w:proofErr w:type="gramStart"/>
      <w:r w:rsidRPr="00FD274F">
        <w:t>Act;</w:t>
      </w:r>
      <w:proofErr w:type="gramEnd"/>
    </w:p>
    <w:p w14:paraId="754377A9" w14:textId="2D5B0EF5" w:rsidR="008E40D0" w:rsidRDefault="008E40D0" w:rsidP="008E40D0">
      <w:pPr>
        <w:pStyle w:val="BodyPara"/>
      </w:pPr>
      <w:r>
        <w:t xml:space="preserve">a unique identifier given to the instrument in accordance with rules prescribed under </w:t>
      </w:r>
      <w:r w:rsidRPr="005735D0">
        <w:t xml:space="preserve">the </w:t>
      </w:r>
      <w:hyperlink r:id="rId182" w:history="1">
        <w:r w:rsidRPr="005735D0">
          <w:rPr>
            <w:rStyle w:val="Hyperlink"/>
          </w:rPr>
          <w:t>LA</w:t>
        </w:r>
      </w:hyperlink>
      <w:r w:rsidRPr="005735D0">
        <w:t>;</w:t>
      </w:r>
    </w:p>
    <w:p w14:paraId="38528CF3" w14:textId="19598B1F" w:rsidR="008E40D0" w:rsidRDefault="008E40D0" w:rsidP="008E40D0">
      <w:pPr>
        <w:pStyle w:val="BodyPara"/>
      </w:pPr>
      <w:r>
        <w:t xml:space="preserve">if the instrument was numbered under a Commonwealth law—the year it was made and its number, together with a reference (if necessary) to the kind of </w:t>
      </w:r>
      <w:proofErr w:type="gramStart"/>
      <w:r>
        <w:t>instrument;</w:t>
      </w:r>
      <w:proofErr w:type="gramEnd"/>
    </w:p>
    <w:p w14:paraId="51F6182C" w14:textId="1B3AEDFE" w:rsidR="008E40D0" w:rsidRDefault="008E40D0" w:rsidP="008E40D0">
      <w:pPr>
        <w:pStyle w:val="BodyPara"/>
      </w:pPr>
      <w:r>
        <w:t xml:space="preserve">if the instrument was notified or published in the Gazette—the date and (if necessary) number and page of the Gazette in which it was notified or </w:t>
      </w:r>
      <w:proofErr w:type="gramStart"/>
      <w:r>
        <w:t>published;</w:t>
      </w:r>
      <w:proofErr w:type="gramEnd"/>
    </w:p>
    <w:p w14:paraId="690A3E47" w14:textId="77777777" w:rsidR="008E40D0" w:rsidRPr="00FD274F" w:rsidRDefault="008E40D0" w:rsidP="008E40D0">
      <w:pPr>
        <w:pStyle w:val="BodyPara"/>
      </w:pPr>
      <w:r>
        <w:t>the date it was made, together with a reference to the Act or instrument, and (if necessary) provision, under which it was made.</w:t>
      </w:r>
    </w:p>
    <w:p w14:paraId="49041205" w14:textId="3A5CA3AC" w:rsidR="008E40D0" w:rsidRPr="00FD274F" w:rsidRDefault="008E40D0" w:rsidP="008E40D0">
      <w:pPr>
        <w:pStyle w:val="BodyNum"/>
      </w:pPr>
      <w:r w:rsidRPr="00FD274F">
        <w:t>In the case of amendments, it is important to ensure that the provisions to be amended are clearly identified to ensure the amendments have effect and a compilation can be prepared that clearly indicates the history of amendments (s</w:t>
      </w:r>
      <w:r w:rsidRPr="005C434C">
        <w:t xml:space="preserve">ee </w:t>
      </w:r>
      <w:hyperlink w:anchor="Chapter5" w:history="1">
        <w:r w:rsidRPr="005C434C">
          <w:rPr>
            <w:rStyle w:val="Hyperlink"/>
          </w:rPr>
          <w:t>Chapter 5</w:t>
        </w:r>
      </w:hyperlink>
      <w:r w:rsidRPr="00FD274F">
        <w:rPr>
          <w:rStyle w:val="Hyperlink"/>
          <w:color w:val="auto"/>
        </w:rPr>
        <w:t>)</w:t>
      </w:r>
      <w:r w:rsidRPr="00FD274F">
        <w:t>. Unless a specific practice is required by the enabling legislation, it is also important:</w:t>
      </w:r>
    </w:p>
    <w:p w14:paraId="3C3416B2" w14:textId="506093BF" w:rsidR="008E40D0" w:rsidRPr="00FD274F" w:rsidRDefault="008E40D0" w:rsidP="008E40D0">
      <w:pPr>
        <w:pStyle w:val="BodyPara"/>
      </w:pPr>
      <w:r w:rsidRPr="00FD274F">
        <w:t xml:space="preserve">to clearly indicate that the relevant instrument is being amended, preferably by using the word “amend” for consistency with the </w:t>
      </w:r>
      <w:hyperlink r:id="rId183" w:history="1">
        <w:hyperlink r:id="rId184" w:history="1">
          <w:r w:rsidRPr="00DF0E7B">
            <w:rPr>
              <w:rStyle w:val="Hyperlink"/>
              <w:i/>
            </w:rPr>
            <w:t>Acts Interpretation Act 1901</w:t>
          </w:r>
        </w:hyperlink>
      </w:hyperlink>
      <w:r w:rsidRPr="00FD274F">
        <w:t xml:space="preserve"> and </w:t>
      </w:r>
      <w:r w:rsidRPr="0033228A">
        <w:t xml:space="preserve">the </w:t>
      </w:r>
      <w:hyperlink r:id="rId185" w:history="1">
        <w:r w:rsidRPr="0033228A">
          <w:rPr>
            <w:rStyle w:val="Hyperlink"/>
          </w:rPr>
          <w:t>LA</w:t>
        </w:r>
      </w:hyperlink>
      <w:r w:rsidRPr="0033228A">
        <w:t>;</w:t>
      </w:r>
      <w:r w:rsidRPr="00FD274F">
        <w:t xml:space="preserve"> and</w:t>
      </w:r>
    </w:p>
    <w:p w14:paraId="35576C14" w14:textId="77777777" w:rsidR="008E40D0" w:rsidRPr="00FD274F" w:rsidRDefault="008E40D0" w:rsidP="008E40D0">
      <w:pPr>
        <w:pStyle w:val="BodyPara"/>
      </w:pPr>
      <w:r w:rsidRPr="00FD274F">
        <w:t>to avoid a potentially ambiguous term that may have other meanings such as modify, sup</w:t>
      </w:r>
      <w:r>
        <w:t>ersede, replace or reverse; and</w:t>
      </w:r>
    </w:p>
    <w:p w14:paraId="75DA04B1" w14:textId="66C9419C" w:rsidR="008E40D0" w:rsidRPr="00FD274F" w:rsidRDefault="008E40D0" w:rsidP="008E40D0">
      <w:pPr>
        <w:pStyle w:val="BodyPara"/>
      </w:pPr>
      <w:r w:rsidRPr="00FD274F">
        <w:t xml:space="preserve">to ensure that any provisions that are inserted are numbered appropriately—for further guidance on numbering and renumbering issues, see </w:t>
      </w:r>
      <w:r w:rsidRPr="005C434C">
        <w:t xml:space="preserve">paragraph </w:t>
      </w:r>
      <w:r w:rsidRPr="0033228A">
        <w:fldChar w:fldCharType="begin"/>
      </w:r>
      <w:r w:rsidRPr="005C434C">
        <w:instrText xml:space="preserve"> REF _Ref422844015 \r \h  \* MERGEFORMAT </w:instrText>
      </w:r>
      <w:r w:rsidRPr="0033228A">
        <w:fldChar w:fldCharType="separate"/>
      </w:r>
      <w:r w:rsidR="00833171">
        <w:t>65</w:t>
      </w:r>
      <w:r w:rsidRPr="0033228A">
        <w:fldChar w:fldCharType="end"/>
      </w:r>
      <w:r w:rsidRPr="005C434C">
        <w:t>;</w:t>
      </w:r>
      <w:r>
        <w:t xml:space="preserve"> and</w:t>
      </w:r>
    </w:p>
    <w:p w14:paraId="47F2FACD" w14:textId="0E94D061" w:rsidR="008E40D0" w:rsidRPr="00FD274F" w:rsidRDefault="008E40D0" w:rsidP="008E40D0">
      <w:pPr>
        <w:pStyle w:val="BodyPara"/>
      </w:pPr>
      <w:bookmarkStart w:id="60" w:name="_Hlk183783989"/>
      <w:r w:rsidRPr="00FD274F">
        <w:t>to include any application, saving or transitional provisions relating to an amendment into the principal instrument by amendment.</w:t>
      </w:r>
    </w:p>
    <w:bookmarkEnd w:id="60"/>
    <w:p w14:paraId="4F8C7818" w14:textId="2ED7796D" w:rsidR="008E40D0" w:rsidRPr="00DF0E7B" w:rsidRDefault="008E40D0" w:rsidP="008E40D0">
      <w:pPr>
        <w:pStyle w:val="BodyNum"/>
      </w:pPr>
      <w:r w:rsidRPr="00FD274F">
        <w:t>It is OPC’s drafting practice to present amendments and partial repeals in one or more Schedules, and to number the Schedules so that even if there is only one Schedule, it is called “Schedule 1”. Further guidance on such matters is available in the O</w:t>
      </w:r>
      <w:r w:rsidRPr="0033228A">
        <w:t>P</w:t>
      </w:r>
      <w:r w:rsidRPr="00FD274F">
        <w:t xml:space="preserve">C </w:t>
      </w:r>
      <w:hyperlink r:id="rId186" w:history="1">
        <w:r w:rsidRPr="00DF0E7B">
          <w:rPr>
            <w:rStyle w:val="Hyperlink"/>
          </w:rPr>
          <w:t>Amending forms manual</w:t>
        </w:r>
      </w:hyperlink>
      <w:r w:rsidRPr="00DF0E7B">
        <w:t>.</w:t>
      </w:r>
    </w:p>
    <w:p w14:paraId="5AE80097" w14:textId="1C954299" w:rsidR="008E40D0" w:rsidRPr="00FD274F" w:rsidRDefault="008E40D0" w:rsidP="008E40D0">
      <w:pPr>
        <w:pStyle w:val="BodyNum"/>
      </w:pPr>
      <w:r w:rsidRPr="00FD274F">
        <w:t>Amending an instrument does not change when it sunsets, so the date of amendment provided by the rule</w:t>
      </w:r>
      <w:r>
        <w:noBreakHyphen/>
      </w:r>
      <w:r w:rsidRPr="00FD274F">
        <w:t xml:space="preserve">maker cannot be later than any sunset date that already applies to an instrument under </w:t>
      </w:r>
      <w:r w:rsidRPr="0033228A">
        <w:t xml:space="preserve">Part 4 of Chapter 3 of the </w:t>
      </w:r>
      <w:hyperlink r:id="rId187" w:history="1">
        <w:r w:rsidRPr="0033228A">
          <w:rPr>
            <w:rStyle w:val="Hyperlink"/>
          </w:rPr>
          <w:t>LA</w:t>
        </w:r>
      </w:hyperlink>
      <w:r w:rsidRPr="0033228A">
        <w:t>. If</w:t>
      </w:r>
      <w:r w:rsidRPr="00FD274F">
        <w:t xml:space="preserve"> the sunset date is soon, there may be workload and other benefits in making a single replacement instrument that incorporates amendments. More information on sunsetting issues is provided in </w:t>
      </w:r>
      <w:hyperlink w:anchor="Chapter10" w:history="1">
        <w:r w:rsidRPr="005C434C">
          <w:rPr>
            <w:rStyle w:val="Hyperlink"/>
          </w:rPr>
          <w:t>Chapter 10</w:t>
        </w:r>
      </w:hyperlink>
      <w:r w:rsidRPr="00FD274F">
        <w:t>.</w:t>
      </w:r>
    </w:p>
    <w:p w14:paraId="116B92D3" w14:textId="23191FC4" w:rsidR="008E40D0" w:rsidRPr="00FD274F" w:rsidRDefault="008E40D0" w:rsidP="008E40D0">
      <w:pPr>
        <w:pStyle w:val="BodyNum"/>
      </w:pPr>
      <w:r w:rsidRPr="00FD274F">
        <w:t xml:space="preserve">In repealing an instrument in its entirety, the date of repeal </w:t>
      </w:r>
      <w:bookmarkStart w:id="61" w:name="_Ref367446721"/>
      <w:r w:rsidRPr="00FD274F">
        <w:t>provided by the rule</w:t>
      </w:r>
      <w:r>
        <w:noBreakHyphen/>
      </w:r>
      <w:r w:rsidRPr="00FD274F">
        <w:t xml:space="preserve">maker </w:t>
      </w:r>
      <w:r>
        <w:t>will have no effect if it is</w:t>
      </w:r>
      <w:r w:rsidRPr="00FD274F">
        <w:t xml:space="preserve"> later than any sunset date that already applies under </w:t>
      </w:r>
      <w:r w:rsidRPr="0033228A">
        <w:t xml:space="preserve">Part </w:t>
      </w:r>
      <w:r w:rsidRPr="0033228A">
        <w:lastRenderedPageBreak/>
        <w:t xml:space="preserve">4 of Chapter 3 of the </w:t>
      </w:r>
      <w:hyperlink r:id="rId188" w:history="1">
        <w:r w:rsidRPr="0033228A">
          <w:rPr>
            <w:rStyle w:val="Hyperlink"/>
          </w:rPr>
          <w:t>LA</w:t>
        </w:r>
      </w:hyperlink>
      <w:r w:rsidRPr="005C434C">
        <w:rPr>
          <w:rStyle w:val="Hyperlink"/>
        </w:rPr>
        <w:t xml:space="preserve"> </w:t>
      </w:r>
      <w:r w:rsidRPr="005C434C">
        <w:t xml:space="preserve">(see </w:t>
      </w:r>
      <w:hyperlink w:anchor="Chapter10" w:history="1">
        <w:r w:rsidRPr="005C434C">
          <w:rPr>
            <w:rStyle w:val="Hyperlink"/>
          </w:rPr>
          <w:t>Chapter 10</w:t>
        </w:r>
      </w:hyperlink>
      <w:r w:rsidRPr="005C434C">
        <w:t>). U</w:t>
      </w:r>
      <w:r w:rsidRPr="00FD274F">
        <w:t>nless a specific term is required by the enabling legislation, it is also important:</w:t>
      </w:r>
      <w:bookmarkEnd w:id="61"/>
    </w:p>
    <w:p w14:paraId="66EC66B1" w14:textId="38AAB0E1" w:rsidR="008E40D0" w:rsidRPr="00FD274F" w:rsidRDefault="008E40D0" w:rsidP="008E40D0">
      <w:pPr>
        <w:pStyle w:val="BodyPara"/>
      </w:pPr>
      <w:bookmarkStart w:id="62" w:name="_Ref369624772"/>
      <w:r w:rsidRPr="00FD274F">
        <w:t>to clearly indicate that the relevant instrument is being repealed</w:t>
      </w:r>
      <w:r w:rsidR="009E58AA">
        <w:t>,</w:t>
      </w:r>
      <w:r w:rsidRPr="00FD274F">
        <w:t xml:space="preserve"> preferably by using the word “repeal”</w:t>
      </w:r>
      <w:r w:rsidR="00263B0F">
        <w:t>, “revoke” or “rescind”</w:t>
      </w:r>
      <w:r w:rsidRPr="00FD274F">
        <w:t xml:space="preserve"> for consistency with </w:t>
      </w:r>
      <w:r w:rsidRPr="00DF0E7B">
        <w:t xml:space="preserve">section 7 of the </w:t>
      </w:r>
      <w:hyperlink r:id="rId189" w:history="1">
        <w:hyperlink r:id="rId190" w:history="1">
          <w:r w:rsidRPr="00DF0E7B">
            <w:rPr>
              <w:rStyle w:val="Hyperlink"/>
              <w:i/>
            </w:rPr>
            <w:t>Acts Interpretation Act 1901</w:t>
          </w:r>
        </w:hyperlink>
      </w:hyperlink>
      <w:bookmarkEnd w:id="62"/>
      <w:r w:rsidRPr="00FD274F">
        <w:rPr>
          <w:rStyle w:val="Hyperlink"/>
          <w:i/>
        </w:rPr>
        <w:t xml:space="preserve"> </w:t>
      </w:r>
      <w:r w:rsidRPr="00FD274F">
        <w:t xml:space="preserve">and </w:t>
      </w:r>
      <w:r w:rsidR="006A174A">
        <w:t xml:space="preserve">the definition of </w:t>
      </w:r>
      <w:r w:rsidR="006A174A">
        <w:rPr>
          <w:b/>
          <w:i/>
        </w:rPr>
        <w:t>repeal</w:t>
      </w:r>
      <w:r w:rsidR="006A174A">
        <w:t xml:space="preserve"> in section 4 of </w:t>
      </w:r>
      <w:r w:rsidRPr="00FD274F">
        <w:t xml:space="preserve">the </w:t>
      </w:r>
      <w:hyperlink r:id="rId191" w:history="1">
        <w:r w:rsidRPr="0033228A">
          <w:rPr>
            <w:rStyle w:val="Hyperlink"/>
          </w:rPr>
          <w:t>LA</w:t>
        </w:r>
      </w:hyperlink>
      <w:r w:rsidRPr="0033228A">
        <w:t>; a</w:t>
      </w:r>
      <w:r w:rsidRPr="00FD274F">
        <w:t>nd</w:t>
      </w:r>
    </w:p>
    <w:p w14:paraId="162C7D6E" w14:textId="5A7821B7" w:rsidR="008E40D0" w:rsidRPr="00FD274F" w:rsidRDefault="008E40D0" w:rsidP="008E40D0">
      <w:pPr>
        <w:pStyle w:val="BodyPara"/>
      </w:pPr>
      <w:r w:rsidRPr="00FD274F">
        <w:t>to avoid a potentially ambiguous term such as cease, end, finish, replace, sunset, supersede</w:t>
      </w:r>
      <w:r>
        <w:t xml:space="preserve">, </w:t>
      </w:r>
      <w:r w:rsidRPr="00FD274F">
        <w:t>terminate</w:t>
      </w:r>
      <w:r>
        <w:t xml:space="preserve"> or expire as if repealed</w:t>
      </w:r>
      <w:r w:rsidRPr="00FD274F">
        <w:t>—these terms cease the effect of a law without removing it from the statute book.</w:t>
      </w:r>
    </w:p>
    <w:p w14:paraId="43D4925E" w14:textId="77777777" w:rsidR="008E40D0" w:rsidRPr="00FD274F" w:rsidRDefault="008E40D0" w:rsidP="008E40D0">
      <w:pPr>
        <w:pStyle w:val="Head4"/>
      </w:pPr>
      <w:bookmarkStart w:id="63" w:name="_Toc183694645"/>
      <w:r w:rsidRPr="00FD274F">
        <w:t>Certain instruments will be subject to automatic repeal</w:t>
      </w:r>
      <w:bookmarkEnd w:id="63"/>
    </w:p>
    <w:p w14:paraId="4CFFFCD6" w14:textId="7F2FD825" w:rsidR="008E40D0" w:rsidRDefault="008E40D0" w:rsidP="008E40D0">
      <w:pPr>
        <w:pStyle w:val="BodyNum"/>
      </w:pPr>
      <w:bookmarkStart w:id="64" w:name="_Ref384703176"/>
      <w:bookmarkStart w:id="65" w:name="_Ref384723656"/>
      <w:r w:rsidRPr="00FD274F">
        <w:t xml:space="preserve">If an instrument is solely commencing, amending or repealing, it will be repealed automatically in full under </w:t>
      </w:r>
      <w:r w:rsidRPr="004B337C">
        <w:t xml:space="preserve">section 48A or 48B of the </w:t>
      </w:r>
      <w:hyperlink r:id="rId192" w:history="1">
        <w:r w:rsidRPr="004B337C">
          <w:rPr>
            <w:rStyle w:val="Hyperlink"/>
          </w:rPr>
          <w:t>LA</w:t>
        </w:r>
      </w:hyperlink>
      <w:r w:rsidRPr="004B337C">
        <w:rPr>
          <w:rStyle w:val="Hyperlink"/>
        </w:rPr>
        <w:t xml:space="preserve"> </w:t>
      </w:r>
      <w:bookmarkEnd w:id="64"/>
      <w:bookmarkEnd w:id="65"/>
      <w:r w:rsidRPr="004B337C">
        <w:t>on</w:t>
      </w:r>
      <w:r w:rsidRPr="005E23E3">
        <w:t xml:space="preserve"> the day after</w:t>
      </w:r>
      <w:r>
        <w:t xml:space="preserve"> the latest of:</w:t>
      </w:r>
    </w:p>
    <w:p w14:paraId="13936BAC" w14:textId="3F21D901" w:rsidR="008E40D0" w:rsidRDefault="008E40D0" w:rsidP="008E40D0">
      <w:pPr>
        <w:pStyle w:val="BodyPara"/>
      </w:pPr>
      <w:r w:rsidRPr="00A837B6">
        <w:t xml:space="preserve">for a disallowable legislative instrument—the end of the </w:t>
      </w:r>
      <w:r>
        <w:t xml:space="preserve">disallowance period </w:t>
      </w:r>
      <w:r w:rsidRPr="00CD3326">
        <w:t>for that instrument, when the instrument has fully commenced, or when the capacity for any further provisions to commence has been e</w:t>
      </w:r>
      <w:r>
        <w:t>xhausted;</w:t>
      </w:r>
      <w:r w:rsidR="000738C6">
        <w:t xml:space="preserve"> or</w:t>
      </w:r>
    </w:p>
    <w:p w14:paraId="1996555E" w14:textId="77777777" w:rsidR="008E40D0" w:rsidRDefault="008E40D0" w:rsidP="008E40D0">
      <w:pPr>
        <w:pStyle w:val="BodyPara"/>
      </w:pPr>
      <w:r w:rsidRPr="00A837B6">
        <w:t xml:space="preserve">for a legislative instrument </w:t>
      </w:r>
      <w:r>
        <w:t>that is exempt from disallowance</w:t>
      </w:r>
      <w:r w:rsidRPr="00A837B6">
        <w:t xml:space="preserve"> or </w:t>
      </w:r>
      <w:r>
        <w:t xml:space="preserve">for </w:t>
      </w:r>
      <w:r w:rsidRPr="00A837B6">
        <w:t>a notifiable instrument—</w:t>
      </w:r>
      <w:r w:rsidRPr="00CD3326">
        <w:t>when the instrument has fully commenced, the capacity for any further provisions to commence has been exhausted, or the instrument is re</w:t>
      </w:r>
      <w:r>
        <w:t>gistered</w:t>
      </w:r>
      <w:r w:rsidRPr="00A837B6">
        <w:t>.</w:t>
      </w:r>
    </w:p>
    <w:p w14:paraId="3755AD3F" w14:textId="77777777" w:rsidR="008E40D0" w:rsidRPr="00FD274F" w:rsidRDefault="008E40D0" w:rsidP="008E40D0">
      <w:pPr>
        <w:pStyle w:val="BodyNum"/>
      </w:pPr>
      <w:r w:rsidRPr="00FD274F">
        <w:t>There is no need to provide for its repeal.</w:t>
      </w:r>
    </w:p>
    <w:p w14:paraId="6CE42945" w14:textId="27F7847D" w:rsidR="008E40D0" w:rsidRPr="00FD274F" w:rsidRDefault="008E40D0" w:rsidP="008E40D0">
      <w:pPr>
        <w:pStyle w:val="BodyNum"/>
      </w:pPr>
      <w:bookmarkStart w:id="66" w:name="_Ref384713268"/>
      <w:r w:rsidRPr="00FD274F">
        <w:t>Agencies do, however, need to assess whether an instrument meets th</w:t>
      </w:r>
      <w:r w:rsidRPr="004B337C">
        <w:t xml:space="preserve">e </w:t>
      </w:r>
      <w:hyperlink r:id="rId193" w:history="1">
        <w:r w:rsidRPr="004B337C">
          <w:rPr>
            <w:rStyle w:val="Hyperlink"/>
          </w:rPr>
          <w:t>LA</w:t>
        </w:r>
      </w:hyperlink>
      <w:r w:rsidRPr="00FD274F">
        <w:t xml:space="preserve"> criteria for automatic repeal and advise OPC of this (ideally at </w:t>
      </w:r>
      <w:r>
        <w:t xml:space="preserve">the </w:t>
      </w:r>
      <w:r w:rsidRPr="00FD274F">
        <w:t xml:space="preserve">time of lodgement). </w:t>
      </w:r>
      <w:r>
        <w:t>N</w:t>
      </w:r>
      <w:r w:rsidRPr="00FD274F">
        <w:t>ote that the following do not affect whether an instrument is solely commencing, amending or repealing:</w:t>
      </w:r>
      <w:bookmarkEnd w:id="66"/>
    </w:p>
    <w:p w14:paraId="08101EAD" w14:textId="77777777" w:rsidR="008E40D0" w:rsidRPr="00FD274F" w:rsidRDefault="008E40D0" w:rsidP="008E40D0">
      <w:pPr>
        <w:pStyle w:val="BodyPara"/>
      </w:pPr>
      <w:r w:rsidRPr="00FD274F">
        <w:t>a preamble or recital (however described</w:t>
      </w:r>
      <w:proofErr w:type="gramStart"/>
      <w:r w:rsidRPr="00FD274F">
        <w:t>);</w:t>
      </w:r>
      <w:proofErr w:type="gramEnd"/>
    </w:p>
    <w:p w14:paraId="6D7587D2" w14:textId="77777777" w:rsidR="008E40D0" w:rsidRPr="00FD274F" w:rsidRDefault="008E40D0" w:rsidP="008E40D0">
      <w:pPr>
        <w:pStyle w:val="BodyPara"/>
      </w:pPr>
      <w:r w:rsidRPr="00FD274F">
        <w:t xml:space="preserve">a naming </w:t>
      </w:r>
      <w:proofErr w:type="gramStart"/>
      <w:r w:rsidRPr="00FD274F">
        <w:t>provision;</w:t>
      </w:r>
      <w:proofErr w:type="gramEnd"/>
    </w:p>
    <w:p w14:paraId="50E86D3D" w14:textId="77777777" w:rsidR="008E40D0" w:rsidRPr="00FD274F" w:rsidRDefault="008E40D0" w:rsidP="008E40D0">
      <w:pPr>
        <w:pStyle w:val="BodyPara"/>
      </w:pPr>
      <w:r w:rsidRPr="00FD274F">
        <w:t xml:space="preserve">a commencement </w:t>
      </w:r>
      <w:proofErr w:type="gramStart"/>
      <w:r w:rsidRPr="00FD274F">
        <w:t>provision;</w:t>
      </w:r>
      <w:proofErr w:type="gramEnd"/>
    </w:p>
    <w:p w14:paraId="7FB39100" w14:textId="77777777" w:rsidR="008E40D0" w:rsidRPr="00FD274F" w:rsidRDefault="008E40D0" w:rsidP="008E40D0">
      <w:pPr>
        <w:pStyle w:val="BodyPara"/>
      </w:pPr>
      <w:r w:rsidRPr="00FD274F">
        <w:t xml:space="preserve">an authority </w:t>
      </w:r>
      <w:proofErr w:type="gramStart"/>
      <w:r w:rsidRPr="00FD274F">
        <w:t>provision;</w:t>
      </w:r>
      <w:proofErr w:type="gramEnd"/>
    </w:p>
    <w:p w14:paraId="26CEB705" w14:textId="77777777" w:rsidR="008E40D0" w:rsidRPr="00FD274F" w:rsidRDefault="008E40D0" w:rsidP="008E40D0">
      <w:pPr>
        <w:pStyle w:val="BodyPara"/>
      </w:pPr>
      <w:r w:rsidRPr="00FD274F">
        <w:t xml:space="preserve">an objects provision, simplified outline or similar provision that sets out the purposes of, or explains, the instrument or any of its </w:t>
      </w:r>
      <w:proofErr w:type="gramStart"/>
      <w:r w:rsidRPr="00FD274F">
        <w:t>provisions;</w:t>
      </w:r>
      <w:proofErr w:type="gramEnd"/>
    </w:p>
    <w:p w14:paraId="635004C5" w14:textId="77777777" w:rsidR="008E40D0" w:rsidRPr="00FD274F" w:rsidRDefault="008E40D0" w:rsidP="008E40D0">
      <w:pPr>
        <w:pStyle w:val="BodyPara"/>
      </w:pPr>
      <w:r w:rsidRPr="00FD274F">
        <w:t>any provision that is being inserted into another instrument by amendment.</w:t>
      </w:r>
    </w:p>
    <w:p w14:paraId="0FD3DE20" w14:textId="77777777" w:rsidR="008E40D0" w:rsidRPr="00FD274F" w:rsidRDefault="008E40D0" w:rsidP="008E40D0">
      <w:pPr>
        <w:pStyle w:val="BodyNum"/>
      </w:pPr>
      <w:bookmarkStart w:id="67" w:name="_Ref384650277"/>
      <w:r w:rsidRPr="00FD274F">
        <w:t>An instrument can</w:t>
      </w:r>
      <w:r>
        <w:t xml:space="preserve">not </w:t>
      </w:r>
      <w:r w:rsidRPr="00FD274F">
        <w:t xml:space="preserve">be considered solely commencing, amending or repealing if it contains any of the following provisions, </w:t>
      </w:r>
      <w:r>
        <w:t xml:space="preserve">unless </w:t>
      </w:r>
      <w:r w:rsidRPr="00FD274F">
        <w:t>the provision is inserted into another instrument by amendment:</w:t>
      </w:r>
      <w:bookmarkEnd w:id="67"/>
    </w:p>
    <w:p w14:paraId="4DFD1BF5" w14:textId="77777777" w:rsidR="008E40D0" w:rsidRPr="00FD274F" w:rsidRDefault="008E40D0" w:rsidP="008E40D0">
      <w:pPr>
        <w:pStyle w:val="BodyPara"/>
      </w:pPr>
      <w:r w:rsidRPr="00FD274F">
        <w:lastRenderedPageBreak/>
        <w:t xml:space="preserve">a saving provision such as “Parts X and Y of the </w:t>
      </w:r>
      <w:r w:rsidRPr="00FD274F">
        <w:rPr>
          <w:i/>
        </w:rPr>
        <w:t>Cat and Dog Regulation 2016</w:t>
      </w:r>
      <w:r w:rsidRPr="00FD274F">
        <w:t xml:space="preserve"> continue to apply in relation to …</w:t>
      </w:r>
      <w:proofErr w:type="gramStart"/>
      <w:r w:rsidRPr="00FD274F">
        <w:t>”;</w:t>
      </w:r>
      <w:proofErr w:type="gramEnd"/>
    </w:p>
    <w:p w14:paraId="022677E6" w14:textId="77777777" w:rsidR="008E40D0" w:rsidRPr="00FD274F" w:rsidRDefault="008E40D0" w:rsidP="008E40D0">
      <w:pPr>
        <w:pStyle w:val="BodyPara"/>
      </w:pPr>
      <w:r w:rsidRPr="00FD274F">
        <w:t>a transitional provision such as “If a person has lodged a claim before the commencement of the instrument … the claim is taken to have been ...</w:t>
      </w:r>
      <w:proofErr w:type="gramStart"/>
      <w:r w:rsidRPr="00FD274F">
        <w:t>”;</w:t>
      </w:r>
      <w:proofErr w:type="gramEnd"/>
    </w:p>
    <w:p w14:paraId="18D269A1" w14:textId="77777777" w:rsidR="008E40D0" w:rsidRPr="00FD274F" w:rsidRDefault="008E40D0" w:rsidP="008E40D0">
      <w:pPr>
        <w:pStyle w:val="BodyPara"/>
      </w:pPr>
      <w:r w:rsidRPr="00FD274F">
        <w:t>an application provision such as “The amendments made by Schedule X apply / do not apply / only apply …</w:t>
      </w:r>
      <w:proofErr w:type="gramStart"/>
      <w:r w:rsidRPr="00FD274F">
        <w:t>”;</w:t>
      </w:r>
      <w:proofErr w:type="gramEnd"/>
    </w:p>
    <w:p w14:paraId="5B2B0C5F" w14:textId="77777777" w:rsidR="008E40D0" w:rsidRPr="00FD274F" w:rsidRDefault="008E40D0" w:rsidP="008E40D0">
      <w:pPr>
        <w:pStyle w:val="BodyPara"/>
      </w:pPr>
      <w:r w:rsidRPr="00FD274F">
        <w:t>a modification</w:t>
      </w:r>
      <w:r w:rsidRPr="00FD274F">
        <w:rPr>
          <w:spacing w:val="-2"/>
        </w:rPr>
        <w:t xml:space="preserve"> provision such as “The formula in section 99 is modified by …” </w:t>
      </w:r>
      <w:r w:rsidRPr="00FD274F">
        <w:t>(this may need to be read in the context of an application provision</w:t>
      </w:r>
      <w:proofErr w:type="gramStart"/>
      <w:r w:rsidRPr="00FD274F">
        <w:t>);</w:t>
      </w:r>
      <w:proofErr w:type="gramEnd"/>
    </w:p>
    <w:p w14:paraId="1D8682EA" w14:textId="77777777" w:rsidR="008E40D0" w:rsidRPr="00FD274F" w:rsidRDefault="008E40D0" w:rsidP="008E40D0">
      <w:pPr>
        <w:pStyle w:val="BodyPara"/>
      </w:pPr>
      <w:r w:rsidRPr="00FD274F">
        <w:t>any other substantive provision such as a requirement to notify or gazette certain information.</w:t>
      </w:r>
    </w:p>
    <w:p w14:paraId="4C58FBC9" w14:textId="77777777" w:rsidR="008E40D0" w:rsidRPr="00FD274F" w:rsidRDefault="008E40D0" w:rsidP="008E40D0">
      <w:pPr>
        <w:pStyle w:val="Head4"/>
      </w:pPr>
      <w:bookmarkStart w:id="68" w:name="_Toc183694646"/>
      <w:bookmarkStart w:id="69" w:name="_Ref384376105"/>
      <w:r w:rsidRPr="00FD274F">
        <w:t>Use of self</w:t>
      </w:r>
      <w:r>
        <w:noBreakHyphen/>
      </w:r>
      <w:r w:rsidRPr="00FD274F">
        <w:t>repealing provisions</w:t>
      </w:r>
      <w:bookmarkEnd w:id="68"/>
    </w:p>
    <w:p w14:paraId="0CC03161" w14:textId="77777777" w:rsidR="008E40D0" w:rsidRPr="00FD274F" w:rsidRDefault="008E40D0" w:rsidP="008E40D0">
      <w:pPr>
        <w:pStyle w:val="BodyNum"/>
      </w:pPr>
      <w:bookmarkStart w:id="70" w:name="_Ref384706703"/>
      <w:r w:rsidRPr="00FD274F">
        <w:t>Unless an instrument is subject to automatic repeal, it will remain in force until it is repealed by some other means. If an instrument is only likely to be needed for a particular event or a limited period such as a financial or calendar year, a self</w:t>
      </w:r>
      <w:r>
        <w:noBreakHyphen/>
      </w:r>
      <w:r w:rsidRPr="00FD274F">
        <w:t>repealing provision may be considered. In drafting such a provision, OPC’s current practice is</w:t>
      </w:r>
      <w:r>
        <w:t xml:space="preserve"> generally</w:t>
      </w:r>
      <w:r w:rsidRPr="00FD274F">
        <w:t>:</w:t>
      </w:r>
      <w:bookmarkEnd w:id="69"/>
      <w:bookmarkEnd w:id="70"/>
    </w:p>
    <w:p w14:paraId="4433042B" w14:textId="77777777" w:rsidR="008E40D0" w:rsidRPr="00FD274F" w:rsidRDefault="008E40D0" w:rsidP="008E40D0">
      <w:pPr>
        <w:pStyle w:val="BodyPara"/>
      </w:pPr>
      <w:r w:rsidRPr="00FD274F">
        <w:t>to include a separate self</w:t>
      </w:r>
      <w:r>
        <w:noBreakHyphen/>
      </w:r>
      <w:r w:rsidRPr="00FD274F">
        <w:t>repealing provision under a heading such as “Repeal”; and</w:t>
      </w:r>
    </w:p>
    <w:p w14:paraId="7433CCB8" w14:textId="77777777" w:rsidR="008E40D0" w:rsidRPr="00FD274F" w:rsidRDefault="008E40D0" w:rsidP="008E40D0">
      <w:pPr>
        <w:pStyle w:val="BodyPara"/>
      </w:pPr>
      <w:r w:rsidRPr="00FD274F">
        <w:t>to provide that the instrument is repealed; and</w:t>
      </w:r>
    </w:p>
    <w:p w14:paraId="0241ACA7" w14:textId="77777777" w:rsidR="008E40D0" w:rsidRPr="00F53136" w:rsidRDefault="008E40D0" w:rsidP="008E40D0">
      <w:pPr>
        <w:pStyle w:val="BodyPara"/>
      </w:pPr>
      <w:r w:rsidRPr="00F53136">
        <w:t xml:space="preserve">to specify that the instrument is repealed </w:t>
      </w:r>
      <w:r>
        <w:t>at the start of</w:t>
      </w:r>
      <w:r w:rsidRPr="00F53136">
        <w:t xml:space="preserve"> a specified day, with the day chosen </w:t>
      </w:r>
      <w:proofErr w:type="gramStart"/>
      <w:r w:rsidRPr="00F53136">
        <w:t>taking into account</w:t>
      </w:r>
      <w:proofErr w:type="gramEnd"/>
      <w:r w:rsidRPr="00F53136">
        <w:t xml:space="preserve"> not only any sunset date that may apply, but also the need for the instrument:</w:t>
      </w:r>
    </w:p>
    <w:p w14:paraId="2C89353F" w14:textId="77777777" w:rsidR="008E40D0" w:rsidRPr="00FD274F" w:rsidRDefault="008E40D0" w:rsidP="008E40D0">
      <w:pPr>
        <w:pStyle w:val="BodySubPara"/>
      </w:pPr>
      <w:r w:rsidRPr="00FD274F">
        <w:t>to be registered and to commence in full before it is repealed; and</w:t>
      </w:r>
    </w:p>
    <w:p w14:paraId="26CC7CAB" w14:textId="77777777" w:rsidR="008E40D0" w:rsidRPr="00FD274F" w:rsidRDefault="008E40D0" w:rsidP="008E40D0">
      <w:pPr>
        <w:pStyle w:val="BodySubPara"/>
      </w:pPr>
      <w:r w:rsidRPr="00FD274F">
        <w:t>to remain in force until the event or period to which it relates has passed.</w:t>
      </w:r>
    </w:p>
    <w:p w14:paraId="0DD7813E" w14:textId="77777777" w:rsidR="008E40D0" w:rsidRPr="00FD274F" w:rsidRDefault="008E40D0" w:rsidP="008E40D0">
      <w:pPr>
        <w:pStyle w:val="Head3"/>
      </w:pPr>
      <w:bookmarkStart w:id="71" w:name="_Toc183694647"/>
      <w:bookmarkStart w:id="72" w:name="_Ref367446182"/>
      <w:bookmarkEnd w:id="58"/>
      <w:r w:rsidRPr="00FD274F">
        <w:t>Default rules on incorporating documents by reference</w:t>
      </w:r>
      <w:bookmarkEnd w:id="71"/>
    </w:p>
    <w:p w14:paraId="1F85E830" w14:textId="07700F6C" w:rsidR="008E40D0" w:rsidRPr="00FD274F" w:rsidRDefault="008E40D0" w:rsidP="008E40D0">
      <w:pPr>
        <w:pStyle w:val="BodyNum"/>
      </w:pPr>
      <w:bookmarkStart w:id="73" w:name="_Ref428882029"/>
      <w:r w:rsidRPr="00FD274F">
        <w:t>In exercising the power to make a legislative instrument in relation to a matter, a rule</w:t>
      </w:r>
      <w:r>
        <w:noBreakHyphen/>
      </w:r>
      <w:r w:rsidRPr="00FD274F">
        <w:t>maker may prescribe matters by reference to another document, such as model legislation enacted by another jurisdiction. In doing so, the rule</w:t>
      </w:r>
      <w:r>
        <w:noBreakHyphen/>
      </w:r>
      <w:r w:rsidRPr="00FD274F">
        <w:t xml:space="preserve">maker must comply with the default provisions of </w:t>
      </w:r>
      <w:r w:rsidRPr="004B337C">
        <w:t xml:space="preserve">the </w:t>
      </w:r>
      <w:hyperlink r:id="rId194" w:history="1">
        <w:r w:rsidRPr="004B337C">
          <w:rPr>
            <w:rStyle w:val="Hyperlink"/>
          </w:rPr>
          <w:t>LA</w:t>
        </w:r>
      </w:hyperlink>
      <w:r w:rsidRPr="004B337C">
        <w:rPr>
          <w:rStyle w:val="Hyperlink"/>
        </w:rPr>
        <w:t xml:space="preserve"> </w:t>
      </w:r>
      <w:r w:rsidRPr="004B337C">
        <w:t>(particularly section 14), a</w:t>
      </w:r>
      <w:r w:rsidRPr="00FD274F">
        <w:t>nd any special provisions of the instrument’s enabling legislation.</w:t>
      </w:r>
      <w:bookmarkEnd w:id="72"/>
      <w:bookmarkEnd w:id="73"/>
    </w:p>
    <w:p w14:paraId="6F2949E8" w14:textId="3FC8822F" w:rsidR="008E40D0" w:rsidRPr="00A2685F" w:rsidRDefault="008E40D0" w:rsidP="008E40D0">
      <w:pPr>
        <w:pStyle w:val="BodyNum"/>
      </w:pPr>
      <w:bookmarkStart w:id="74" w:name="_Ref428882045"/>
      <w:r w:rsidRPr="00A2685F">
        <w:t>Unde</w:t>
      </w:r>
      <w:r w:rsidRPr="004B337C">
        <w:t xml:space="preserve">r section 14 of the </w:t>
      </w:r>
      <w:hyperlink r:id="rId195" w:history="1">
        <w:r w:rsidRPr="004B337C">
          <w:rPr>
            <w:rStyle w:val="Hyperlink"/>
          </w:rPr>
          <w:t>LA</w:t>
        </w:r>
      </w:hyperlink>
      <w:r w:rsidRPr="004B337C">
        <w:t>, if a</w:t>
      </w:r>
      <w:r w:rsidRPr="00A2685F">
        <w:t>uthorised</w:t>
      </w:r>
      <w:r>
        <w:t xml:space="preserve"> or required</w:t>
      </w:r>
      <w:r w:rsidRPr="00A2685F">
        <w:t xml:space="preserve"> by the enabling legislation</w:t>
      </w:r>
      <w:r>
        <w:t>,</w:t>
      </w:r>
      <w:r w:rsidRPr="00A2685F">
        <w:t xml:space="preserve"> a legislative instrument or notifiable instrument may make provision in relation to any matter by applying, adopting or incorporating</w:t>
      </w:r>
      <w:bookmarkEnd w:id="74"/>
      <w:r>
        <w:t xml:space="preserve"> </w:t>
      </w:r>
      <w:r w:rsidRPr="00A2685F">
        <w:t>some or all of another document, with or without modification. A document may be:</w:t>
      </w:r>
    </w:p>
    <w:p w14:paraId="1E054CA2" w14:textId="77777777" w:rsidR="008E40D0" w:rsidRPr="00A2685F" w:rsidRDefault="008E40D0" w:rsidP="008E40D0">
      <w:pPr>
        <w:pStyle w:val="BodyPara"/>
      </w:pPr>
      <w:r w:rsidRPr="00A2685F">
        <w:lastRenderedPageBreak/>
        <w:t>the provisions of an Act, disallowable legislative instrument or rule of court as in force at a particular time or as in force from time to time</w:t>
      </w:r>
      <w:r>
        <w:t>; or</w:t>
      </w:r>
    </w:p>
    <w:p w14:paraId="4C59A65D" w14:textId="77777777" w:rsidR="008E40D0" w:rsidRPr="00A2685F" w:rsidRDefault="008E40D0" w:rsidP="008E40D0">
      <w:pPr>
        <w:pStyle w:val="BodyPara"/>
      </w:pPr>
      <w:r w:rsidRPr="00A2685F">
        <w:t>any other instrument or writing as in force or existing at the time the instrument commences or a time before the instrument commences (and not from time to time, unless the contrary intention appears).</w:t>
      </w:r>
    </w:p>
    <w:p w14:paraId="26500A83" w14:textId="77777777" w:rsidR="008E40D0" w:rsidRPr="00A2685F" w:rsidRDefault="008E40D0" w:rsidP="008E40D0">
      <w:pPr>
        <w:pStyle w:val="BodyNum"/>
      </w:pPr>
      <w:r w:rsidRPr="00A2685F">
        <w:t>To ensure that an incorporation by reference is effective, does not have unintended consequences, and is clear on the face of the instrument, it is essential to clearly identify the document that is incorporated.</w:t>
      </w:r>
    </w:p>
    <w:p w14:paraId="67B01D6D" w14:textId="710C473F" w:rsidR="008E40D0" w:rsidRPr="00FD274F" w:rsidRDefault="008E40D0" w:rsidP="008E40D0">
      <w:pPr>
        <w:pStyle w:val="BodyNum"/>
      </w:pPr>
      <w:r w:rsidRPr="00FD274F">
        <w:t xml:space="preserve">As it is usually necessary to refer to the document to understand or apply the law made by the instrument, </w:t>
      </w:r>
      <w:r w:rsidRPr="004B337C">
        <w:t xml:space="preserve">the </w:t>
      </w:r>
      <w:hyperlink r:id="rId196" w:history="1">
        <w:r w:rsidRPr="004B337C">
          <w:rPr>
            <w:rStyle w:val="Hyperlink"/>
          </w:rPr>
          <w:t>LA</w:t>
        </w:r>
      </w:hyperlink>
      <w:r w:rsidRPr="004B337C">
        <w:rPr>
          <w:rStyle w:val="Hyperlink"/>
        </w:rPr>
        <w:t xml:space="preserve"> </w:t>
      </w:r>
      <w:r w:rsidRPr="004B337C">
        <w:t>re</w:t>
      </w:r>
      <w:r w:rsidRPr="00FD274F">
        <w:t>quires the rule</w:t>
      </w:r>
      <w:r>
        <w:noBreakHyphen/>
      </w:r>
      <w:r w:rsidRPr="00FD274F">
        <w:t>maker:</w:t>
      </w:r>
    </w:p>
    <w:p w14:paraId="6A65D6A1" w14:textId="117F61F4" w:rsidR="008E40D0" w:rsidRPr="00FD274F" w:rsidRDefault="008E40D0" w:rsidP="008E40D0">
      <w:pPr>
        <w:pStyle w:val="BodyPara"/>
      </w:pPr>
      <w:r w:rsidRPr="00FD274F">
        <w:t>to describe the document, and indicate how it may be obtained, in the explanatory statemen</w:t>
      </w:r>
      <w:r w:rsidRPr="004B337C">
        <w:t xml:space="preserve">t (see </w:t>
      </w:r>
      <w:hyperlink r:id="rId197" w:history="1">
        <w:r w:rsidRPr="004B337C">
          <w:rPr>
            <w:rStyle w:val="Hyperlink"/>
          </w:rPr>
          <w:t>LA</w:t>
        </w:r>
      </w:hyperlink>
      <w:r w:rsidRPr="004B337C">
        <w:rPr>
          <w:rStyle w:val="Hyperlink"/>
        </w:rPr>
        <w:t xml:space="preserve"> </w:t>
      </w:r>
      <w:r w:rsidRPr="004B337C">
        <w:t>s 15J(2)(c</w:t>
      </w:r>
      <w:r w:rsidRPr="00FD274F">
        <w:t xml:space="preserve">) and </w:t>
      </w:r>
      <w:hyperlink w:anchor="Chapter8" w:history="1">
        <w:r w:rsidRPr="002763E0">
          <w:rPr>
            <w:rStyle w:val="Hyperlink"/>
          </w:rPr>
          <w:t>Chapter 8</w:t>
        </w:r>
      </w:hyperlink>
      <w:r w:rsidRPr="002763E0">
        <w:t>);</w:t>
      </w:r>
      <w:r w:rsidRPr="00FD274F">
        <w:t xml:space="preserve"> and</w:t>
      </w:r>
    </w:p>
    <w:p w14:paraId="5FE7DE3D" w14:textId="72A96DD3" w:rsidR="008E40D0" w:rsidRPr="00FD274F" w:rsidRDefault="008E40D0" w:rsidP="008E40D0">
      <w:pPr>
        <w:pStyle w:val="BodyPara"/>
      </w:pPr>
      <w:r w:rsidRPr="00FD274F">
        <w:t>to make the document available for inspection, if and as required by either House of the Parliament, while the instrument is open to disallowance (se</w:t>
      </w:r>
      <w:r w:rsidRPr="004B337C">
        <w:t xml:space="preserve">e </w:t>
      </w:r>
      <w:hyperlink r:id="rId198" w:history="1">
        <w:r w:rsidRPr="004B337C">
          <w:rPr>
            <w:rStyle w:val="Hyperlink"/>
          </w:rPr>
          <w:t>LA</w:t>
        </w:r>
      </w:hyperlink>
      <w:r w:rsidRPr="004B337C">
        <w:rPr>
          <w:rStyle w:val="Hyperlink"/>
        </w:rPr>
        <w:t xml:space="preserve"> </w:t>
      </w:r>
      <w:r w:rsidRPr="004B337C">
        <w:t>s 41 a</w:t>
      </w:r>
      <w:r w:rsidRPr="00FD274F">
        <w:t xml:space="preserve">nd </w:t>
      </w:r>
      <w:hyperlink w:anchor="Chapter9" w:history="1">
        <w:r w:rsidRPr="002763E0">
          <w:rPr>
            <w:rStyle w:val="Hyperlink"/>
          </w:rPr>
          <w:t>Chapter 9</w:t>
        </w:r>
      </w:hyperlink>
      <w:r w:rsidRPr="002763E0">
        <w:t>).</w:t>
      </w:r>
    </w:p>
    <w:p w14:paraId="5D45BEBF" w14:textId="4668EC80" w:rsidR="008E40D0" w:rsidRDefault="008E40D0" w:rsidP="008E40D0">
      <w:pPr>
        <w:pStyle w:val="BodyNum"/>
        <w:keepLines/>
      </w:pPr>
      <w:bookmarkStart w:id="75" w:name="_Ref435530063"/>
      <w:r w:rsidRPr="00FD274F">
        <w:t>Although agencies are not required to make documents incorporated by reference available elsewhere, the practice of incorporating documents that are not readily available “may increase the cost of compliance for the community and the risk of non</w:t>
      </w:r>
      <w:r>
        <w:noBreakHyphen/>
      </w:r>
      <w:r w:rsidRPr="00FD274F">
        <w:t>compliance”</w:t>
      </w:r>
      <w:r w:rsidRPr="00FD274F">
        <w:rPr>
          <w:rStyle w:val="FootnoteReference"/>
        </w:rPr>
        <w:footnoteReference w:id="12"/>
      </w:r>
      <w:r w:rsidRPr="00FD274F">
        <w:t>. If it is necessary to incorporate such material, it may be possible to reduce the costs and risks e.g. by purchasing print copies for distribution to major regional libraries through the Commonwealth Library Deposit and Free Issue Scheme</w:t>
      </w:r>
      <w:r w:rsidRPr="004B337C">
        <w:t>s</w:t>
      </w:r>
      <w:r w:rsidRPr="004B337C">
        <w:rPr>
          <w:rStyle w:val="FootnoteReference"/>
        </w:rPr>
        <w:footnoteReference w:id="13"/>
      </w:r>
      <w:r w:rsidRPr="004B337C">
        <w:t>.</w:t>
      </w:r>
      <w:bookmarkEnd w:id="75"/>
    </w:p>
    <w:p w14:paraId="4245B4C1" w14:textId="3E62B87A" w:rsidR="000707EC" w:rsidRPr="00FD274F" w:rsidRDefault="000707EC" w:rsidP="008E40D0">
      <w:pPr>
        <w:pStyle w:val="BodyNum"/>
        <w:keepLines/>
      </w:pPr>
      <w:bookmarkStart w:id="76" w:name="_Ref184283646"/>
      <w:r>
        <w:t xml:space="preserve">Alternatively, </w:t>
      </w:r>
      <w:r w:rsidR="00553C04">
        <w:t xml:space="preserve">attaching </w:t>
      </w:r>
      <w:r w:rsidR="00AE636D">
        <w:t xml:space="preserve">copies of the documents incorporated by reference or </w:t>
      </w:r>
      <w:r w:rsidR="00553C04">
        <w:t>providing direct links to those documents as supporting material on the Register greatly improves accessibility.</w:t>
      </w:r>
      <w:bookmarkEnd w:id="76"/>
    </w:p>
    <w:p w14:paraId="57B39780" w14:textId="77777777" w:rsidR="008E40D0" w:rsidRDefault="008E40D0" w:rsidP="008E40D0">
      <w:pPr>
        <w:pStyle w:val="Head3"/>
      </w:pPr>
      <w:bookmarkStart w:id="77" w:name="_Toc526347512"/>
      <w:bookmarkStart w:id="78" w:name="_Toc183694648"/>
      <w:r w:rsidRPr="00FD274F">
        <w:t>Scope to delegate power</w:t>
      </w:r>
      <w:bookmarkEnd w:id="77"/>
      <w:bookmarkEnd w:id="78"/>
    </w:p>
    <w:p w14:paraId="1FC7FBD8" w14:textId="77777777" w:rsidR="008E40D0" w:rsidRPr="001F1262" w:rsidRDefault="008E40D0" w:rsidP="008E40D0">
      <w:pPr>
        <w:pStyle w:val="Head4"/>
      </w:pPr>
      <w:bookmarkStart w:id="79" w:name="_Toc183694649"/>
      <w:r>
        <w:t>Delegating a power to make a legislative instrument</w:t>
      </w:r>
      <w:bookmarkEnd w:id="79"/>
    </w:p>
    <w:p w14:paraId="561547FD" w14:textId="77777777" w:rsidR="008E40D0" w:rsidRPr="00FD274F" w:rsidRDefault="008E40D0" w:rsidP="008E40D0">
      <w:pPr>
        <w:pStyle w:val="BodyNum"/>
      </w:pPr>
      <w:bookmarkStart w:id="80" w:name="_Ref369883259"/>
      <w:r w:rsidRPr="00FD274F">
        <w:t>A rule</w:t>
      </w:r>
      <w:r w:rsidRPr="00FD274F">
        <w:noBreakHyphen/>
        <w:t>maker may, in some circumstances, be able to delegate to a third party the power to make instruments or exercise other powers. It is important to note, however, that delegation is usually only possible if an Act makes explicit provision for it to occur. Examples of provisions that do this include the following:</w:t>
      </w:r>
      <w:bookmarkEnd w:id="80"/>
    </w:p>
    <w:p w14:paraId="0977896F" w14:textId="77777777" w:rsidR="008E40D0" w:rsidRPr="00FD274F" w:rsidRDefault="008E40D0" w:rsidP="008E40D0">
      <w:pPr>
        <w:pStyle w:val="BodyParaBullet"/>
        <w:numPr>
          <w:ilvl w:val="0"/>
          <w:numId w:val="0"/>
        </w:numPr>
        <w:ind w:left="720"/>
      </w:pPr>
      <w:r w:rsidRPr="00FD274F">
        <w:t>“The Minister may, in writing, delegate his or her powers under this Act to an SES employee or an APS employee performing duties in the Department.”</w:t>
      </w:r>
    </w:p>
    <w:p w14:paraId="49E0169B" w14:textId="77777777" w:rsidR="008E40D0" w:rsidRPr="00FD274F" w:rsidRDefault="008E40D0" w:rsidP="008E40D0">
      <w:pPr>
        <w:pStyle w:val="BodyParaBullet"/>
        <w:numPr>
          <w:ilvl w:val="0"/>
          <w:numId w:val="0"/>
        </w:numPr>
        <w:ind w:left="720"/>
        <w:rPr>
          <w:spacing w:val="-2"/>
        </w:rPr>
      </w:pPr>
      <w:r w:rsidRPr="00FD274F">
        <w:rPr>
          <w:spacing w:val="-2"/>
        </w:rPr>
        <w:t>“The First Parliamentary Counsel may, by signed instrument, delegate to … an SES employee in the Office of Parliamentary Counsel or in the Department any of the powers or functions of the First Parliamentary Counsel under this Act.”</w:t>
      </w:r>
    </w:p>
    <w:p w14:paraId="34D00363" w14:textId="7E969814" w:rsidR="008E40D0" w:rsidRPr="00FD274F" w:rsidRDefault="008E40D0" w:rsidP="008E40D0">
      <w:pPr>
        <w:pStyle w:val="BodyNum"/>
      </w:pPr>
      <w:r w:rsidRPr="00FD274F">
        <w:rPr>
          <w:color w:val="000000"/>
        </w:rPr>
        <w:lastRenderedPageBreak/>
        <w:t xml:space="preserve">It is also important to note that delegating a power does not </w:t>
      </w:r>
      <w:r w:rsidRPr="00FD274F">
        <w:t>expand the statutory limits of that power, affect any obligations that may apply under Acts of general application</w:t>
      </w:r>
      <w:r w:rsidR="00251CCC">
        <w:t>,</w:t>
      </w:r>
      <w:r w:rsidRPr="00FD274F">
        <w:t xml:space="preserve"> including </w:t>
      </w:r>
      <w:r w:rsidRPr="004B337C">
        <w:t xml:space="preserve">the </w:t>
      </w:r>
      <w:hyperlink r:id="rId199" w:history="1">
        <w:r w:rsidRPr="004B337C">
          <w:rPr>
            <w:rStyle w:val="Hyperlink"/>
          </w:rPr>
          <w:t>LA</w:t>
        </w:r>
      </w:hyperlink>
      <w:r w:rsidRPr="00FD274F">
        <w:t>, or mean that the delegate can sub</w:t>
      </w:r>
      <w:r w:rsidRPr="00FD274F">
        <w:noBreakHyphen/>
        <w:t>delegate the power further (</w:t>
      </w:r>
      <w:r w:rsidRPr="00390F6E">
        <w:t xml:space="preserve">see </w:t>
      </w:r>
      <w:hyperlink r:id="rId200" w:history="1">
        <w:hyperlink r:id="rId201" w:history="1">
          <w:r w:rsidRPr="00390F6E">
            <w:rPr>
              <w:rStyle w:val="Hyperlink"/>
              <w:i/>
            </w:rPr>
            <w:t>Acts Interpretation Act 1901</w:t>
          </w:r>
        </w:hyperlink>
      </w:hyperlink>
      <w:r w:rsidRPr="00390F6E">
        <w:t xml:space="preserve"> s 34AB(1)(b)). In ad</w:t>
      </w:r>
      <w:r w:rsidRPr="00FD274F">
        <w:t>dition, the delegator:</w:t>
      </w:r>
    </w:p>
    <w:p w14:paraId="2B1EC6F5" w14:textId="77777777" w:rsidR="008E40D0" w:rsidRPr="00FD274F" w:rsidRDefault="008E40D0" w:rsidP="008E40D0">
      <w:pPr>
        <w:pStyle w:val="BodyPara"/>
      </w:pPr>
      <w:r w:rsidRPr="00FD274F">
        <w:t>will need to make a formal instrument of delegation specifying who can exercise the power being delegated; and</w:t>
      </w:r>
    </w:p>
    <w:p w14:paraId="56C35E40" w14:textId="77777777" w:rsidR="008E40D0" w:rsidRPr="00FD274F" w:rsidRDefault="008E40D0" w:rsidP="008E40D0">
      <w:pPr>
        <w:pStyle w:val="BodyPara"/>
      </w:pPr>
      <w:r w:rsidRPr="00FD274F">
        <w:t>may identify delegates by job title, by management level, by position number or by name (noting that doing so by name may necessitate regular updates); and</w:t>
      </w:r>
    </w:p>
    <w:p w14:paraId="20038E66" w14:textId="4CE66379" w:rsidR="008E40D0" w:rsidRPr="00FD274F" w:rsidRDefault="008E40D0" w:rsidP="008E40D0">
      <w:pPr>
        <w:pStyle w:val="BodyPara"/>
      </w:pPr>
      <w:r w:rsidRPr="00FD274F">
        <w:t>may wish to issue directions to delegates that apply in addition to the general obligations imposed by legislation</w:t>
      </w:r>
      <w:r w:rsidR="00BE1629">
        <w:t>,</w:t>
      </w:r>
      <w:r w:rsidRPr="00FD274F">
        <w:t xml:space="preserve"> including t</w:t>
      </w:r>
      <w:r w:rsidRPr="004B337C">
        <w:t xml:space="preserve">he </w:t>
      </w:r>
      <w:hyperlink r:id="rId202" w:history="1">
        <w:r w:rsidRPr="004B337C">
          <w:rPr>
            <w:rStyle w:val="Hyperlink"/>
          </w:rPr>
          <w:t>LA</w:t>
        </w:r>
      </w:hyperlink>
      <w:r w:rsidRPr="004B337C">
        <w:t>; an</w:t>
      </w:r>
      <w:r w:rsidRPr="00FD274F">
        <w:t>d</w:t>
      </w:r>
    </w:p>
    <w:p w14:paraId="437AAE07" w14:textId="77777777" w:rsidR="008E40D0" w:rsidRPr="00FD274F" w:rsidRDefault="008E40D0" w:rsidP="008E40D0">
      <w:pPr>
        <w:pStyle w:val="BodyPara"/>
      </w:pPr>
      <w:r w:rsidRPr="00FD274F">
        <w:t>should review the instrument of delegation and any directions to delegates on a regular basis, to ensure that they remain appropriate and up</w:t>
      </w:r>
      <w:r w:rsidRPr="00FD274F">
        <w:noBreakHyphen/>
        <w:t>to</w:t>
      </w:r>
      <w:r w:rsidRPr="00FD274F">
        <w:noBreakHyphen/>
        <w:t>date.</w:t>
      </w:r>
    </w:p>
    <w:p w14:paraId="54732D9D" w14:textId="1964BFAE" w:rsidR="008E40D0" w:rsidRPr="00FD274F" w:rsidRDefault="008E40D0" w:rsidP="008E40D0">
      <w:pPr>
        <w:pStyle w:val="BodyNum"/>
        <w:keepNext/>
        <w:keepLines/>
      </w:pPr>
      <w:r w:rsidRPr="00FD274F">
        <w:t>Instruments of delegation and any instructions issued to delegates are not normally required to be registered (</w:t>
      </w:r>
      <w:hyperlink r:id="rId203" w:history="1">
        <w:hyperlink r:id="rId204" w:history="1">
          <w:hyperlink r:id="rId205" w:history="1">
            <w:r w:rsidRPr="00CB5883">
              <w:rPr>
                <w:rStyle w:val="Hyperlink"/>
              </w:rPr>
              <w:t>LEOMR</w:t>
            </w:r>
          </w:hyperlink>
        </w:hyperlink>
      </w:hyperlink>
      <w:r w:rsidRPr="00CB5883">
        <w:t xml:space="preserve"> s 6(1) item 1) bu</w:t>
      </w:r>
      <w:r w:rsidRPr="00FD274F">
        <w:t>t are crucial to the legitimacy of any action taken in reliance on them. Consequently:</w:t>
      </w:r>
    </w:p>
    <w:p w14:paraId="61A9CF87" w14:textId="67514FEF" w:rsidR="008E40D0" w:rsidRPr="00FD274F" w:rsidRDefault="008E40D0" w:rsidP="008E40D0">
      <w:pPr>
        <w:pStyle w:val="BodyPara"/>
      </w:pPr>
      <w:r w:rsidRPr="00FD274F">
        <w:t>agencies should maintain detailed records of their documents, including those that have been superseded; and</w:t>
      </w:r>
    </w:p>
    <w:p w14:paraId="4A8B52AC" w14:textId="77777777" w:rsidR="008E40D0" w:rsidRDefault="008E40D0" w:rsidP="008E40D0">
      <w:pPr>
        <w:pStyle w:val="BodyPara"/>
      </w:pPr>
      <w:r w:rsidRPr="00FD274F">
        <w:t>delegates should review their documents on a regular basis to ensure that they are acting lawfully.</w:t>
      </w:r>
    </w:p>
    <w:p w14:paraId="5DEF6826" w14:textId="77777777" w:rsidR="008E40D0" w:rsidRPr="001F1262" w:rsidRDefault="008E40D0" w:rsidP="008E40D0">
      <w:pPr>
        <w:pStyle w:val="Head4"/>
      </w:pPr>
      <w:bookmarkStart w:id="81" w:name="_Toc183694650"/>
      <w:r>
        <w:t>Legislative instruments that delegate power</w:t>
      </w:r>
      <w:bookmarkEnd w:id="81"/>
    </w:p>
    <w:p w14:paraId="447B6793" w14:textId="77777777" w:rsidR="008E40D0" w:rsidRPr="00FD274F" w:rsidRDefault="008E40D0" w:rsidP="008E40D0">
      <w:pPr>
        <w:pStyle w:val="BodyNum"/>
      </w:pPr>
      <w:bookmarkStart w:id="82" w:name="_Ref369708785"/>
      <w:r w:rsidRPr="00FD274F">
        <w:rPr>
          <w:color w:val="000000"/>
        </w:rPr>
        <w:t xml:space="preserve">Special care is needed when a legislative instrument contains a delegation of power. The delegation must be </w:t>
      </w:r>
      <w:r w:rsidRPr="00FD274F">
        <w:t>within the scope permitted by the legislative framework and related case law. Specialist drafting assistance is recommended if the proposed delegation involves:</w:t>
      </w:r>
    </w:p>
    <w:p w14:paraId="4D415036" w14:textId="77777777" w:rsidR="008E40D0" w:rsidRPr="00FD274F" w:rsidRDefault="008E40D0" w:rsidP="008E40D0">
      <w:pPr>
        <w:pStyle w:val="BodyPara"/>
      </w:pPr>
      <w:r w:rsidRPr="00FD274F">
        <w:t>a delegate who is outside the agency; or</w:t>
      </w:r>
    </w:p>
    <w:p w14:paraId="5DAF1157" w14:textId="47B22109" w:rsidR="008E40D0" w:rsidRPr="00FD274F" w:rsidRDefault="008E40D0" w:rsidP="008E40D0">
      <w:pPr>
        <w:pStyle w:val="BodyPara"/>
      </w:pPr>
      <w:r w:rsidRPr="00FD274F">
        <w:t>sub</w:t>
      </w:r>
      <w:r w:rsidRPr="00FD274F">
        <w:noBreakHyphen/>
        <w:t>delegation of the power to make an instrument that is, or is likely to be, a legislative instrument (</w:t>
      </w:r>
      <w:r w:rsidRPr="00E40EAB">
        <w:t>see paragraph</w:t>
      </w:r>
      <w:r w:rsidR="00420ACC">
        <w:t xml:space="preserve"> </w:t>
      </w:r>
      <w:r w:rsidR="00420ACC">
        <w:fldChar w:fldCharType="begin"/>
      </w:r>
      <w:r w:rsidR="00420ACC">
        <w:instrText xml:space="preserve"> REF _Ref184283711 \r \h </w:instrText>
      </w:r>
      <w:r w:rsidR="00420ACC">
        <w:fldChar w:fldCharType="separate"/>
      </w:r>
      <w:r w:rsidR="00833171">
        <w:t>36</w:t>
      </w:r>
      <w:r w:rsidR="00420ACC">
        <w:fldChar w:fldCharType="end"/>
      </w:r>
      <w:r w:rsidRPr="00E40EAB">
        <w:t>).</w:t>
      </w:r>
    </w:p>
    <w:p w14:paraId="20391BC3" w14:textId="18BCB48D" w:rsidR="008E40D0" w:rsidRPr="00FD274F" w:rsidRDefault="008E40D0" w:rsidP="008E40D0">
      <w:pPr>
        <w:pStyle w:val="BodyNum"/>
      </w:pPr>
      <w:bookmarkStart w:id="83" w:name="_Ref449608075"/>
      <w:r w:rsidRPr="00FD274F">
        <w:rPr>
          <w:color w:val="000000"/>
        </w:rPr>
        <w:t>Sub</w:t>
      </w:r>
      <w:r w:rsidRPr="00FD274F">
        <w:rPr>
          <w:color w:val="000000"/>
        </w:rPr>
        <w:noBreakHyphen/>
        <w:t>delegation of power has also been identified as an i</w:t>
      </w:r>
      <w:r w:rsidRPr="00FD274F">
        <w:t>ssue of concern to the Parliament (se</w:t>
      </w:r>
      <w:r w:rsidRPr="00E40EAB">
        <w:t xml:space="preserve">e </w:t>
      </w:r>
      <w:hyperlink w:anchor="Chapter9" w:history="1">
        <w:r w:rsidRPr="00E40EAB">
          <w:rPr>
            <w:rStyle w:val="Hyperlink"/>
          </w:rPr>
          <w:t>Chapter 9</w:t>
        </w:r>
      </w:hyperlink>
      <w:r w:rsidRPr="00E40EAB">
        <w:t>) a</w:t>
      </w:r>
      <w:r w:rsidRPr="00FD274F">
        <w:t>nd is only acceptable if an instrument’s enabling legislation provides for this. Accordingly, if a legislative instrument provides for sub</w:t>
      </w:r>
      <w:r w:rsidRPr="00FD274F">
        <w:noBreakHyphen/>
        <w:t>delegation of power:</w:t>
      </w:r>
      <w:bookmarkEnd w:id="83"/>
    </w:p>
    <w:p w14:paraId="49EAC38F" w14:textId="3DDD53A0" w:rsidR="008E40D0" w:rsidRPr="00FD274F" w:rsidRDefault="008E40D0" w:rsidP="008E40D0">
      <w:pPr>
        <w:pStyle w:val="BodyPara"/>
      </w:pPr>
      <w:r w:rsidRPr="00FD274F">
        <w:t>the instrument’s explanatory statement should provide the authority for the sub</w:t>
      </w:r>
      <w:r w:rsidRPr="00FD274F">
        <w:noBreakHyphen/>
        <w:t>delegation, and describe the training, monitoring or other strategies being put in place to ensure that the sub</w:t>
      </w:r>
      <w:r w:rsidRPr="00FD274F">
        <w:noBreakHyphen/>
        <w:t>delegation is exercised with appropriate skill and care</w:t>
      </w:r>
      <w:bookmarkEnd w:id="82"/>
      <w:r w:rsidRPr="00FD274F">
        <w:t>; and</w:t>
      </w:r>
    </w:p>
    <w:p w14:paraId="4E5D15DF" w14:textId="77777777" w:rsidR="008E40D0" w:rsidRPr="00FD274F" w:rsidRDefault="008E40D0" w:rsidP="008E40D0">
      <w:pPr>
        <w:pStyle w:val="BodyPara"/>
      </w:pPr>
      <w:bookmarkStart w:id="84" w:name="_Ref369883280"/>
      <w:r w:rsidRPr="00FD274F">
        <w:lastRenderedPageBreak/>
        <w:t>if a legislative instrument is made by a delegate, the instrument’s explanatory statement should describe how and when the power to make it was delegated to the rule</w:t>
      </w:r>
      <w:r w:rsidRPr="00FD274F">
        <w:noBreakHyphen/>
      </w:r>
      <w:proofErr w:type="gramStart"/>
      <w:r w:rsidRPr="00FD274F">
        <w:t>maker, and</w:t>
      </w:r>
      <w:proofErr w:type="gramEnd"/>
      <w:r w:rsidRPr="00FD274F">
        <w:t xml:space="preserve"> include an assurance and details of compliance with any directions to delegates that may apply.</w:t>
      </w:r>
      <w:bookmarkEnd w:id="84"/>
    </w:p>
    <w:p w14:paraId="641CEC71" w14:textId="77777777" w:rsidR="008E40D0" w:rsidRPr="00FD274F" w:rsidRDefault="008E40D0" w:rsidP="008E40D0">
      <w:pPr>
        <w:pStyle w:val="Head3"/>
      </w:pPr>
      <w:bookmarkStart w:id="85" w:name="_Toc183694651"/>
      <w:r w:rsidRPr="00FD274F">
        <w:t>Offences, infringement notices and enforcement powers</w:t>
      </w:r>
      <w:bookmarkEnd w:id="85"/>
    </w:p>
    <w:p w14:paraId="44A7A27D" w14:textId="77777777" w:rsidR="008E40D0" w:rsidRPr="00FD274F" w:rsidRDefault="008E40D0" w:rsidP="008E40D0">
      <w:pPr>
        <w:pStyle w:val="BodyNum"/>
      </w:pPr>
      <w:r w:rsidRPr="00FD274F">
        <w:t>If the Parliament has delegated the power to make an instrument prescribing criminal offences or infringement and enforcement provisions, care needs to be taken to ensure that the provisions are legally enforceable and consistent with Australian Government policy.</w:t>
      </w:r>
    </w:p>
    <w:p w14:paraId="6E115D6A" w14:textId="71AC5A7E" w:rsidR="008E40D0" w:rsidRPr="00FD274F" w:rsidRDefault="008E40D0" w:rsidP="008E40D0">
      <w:pPr>
        <w:pStyle w:val="BodyNum"/>
      </w:pPr>
      <w:r w:rsidRPr="00FD274F">
        <w:t xml:space="preserve">Before seeking policy approval for such a provision, agencies should assess whether the proposal is consistent with the </w:t>
      </w:r>
      <w:r w:rsidRPr="000A7964">
        <w:t xml:space="preserve">AGD </w:t>
      </w:r>
      <w:r w:rsidRPr="000A7964">
        <w:rPr>
          <w:i/>
        </w:rPr>
        <w:t>Guide to Framing Commonwealth Offences, Infringement Notices and Enforcement Powers</w:t>
      </w:r>
      <w:r w:rsidRPr="000A7964">
        <w:rPr>
          <w:rStyle w:val="FootnoteReference"/>
        </w:rPr>
        <w:footnoteReference w:id="14"/>
      </w:r>
      <w:r w:rsidR="00595D07">
        <w:t xml:space="preserve"> (the </w:t>
      </w:r>
      <w:r w:rsidR="00595D07" w:rsidRPr="00916682">
        <w:rPr>
          <w:b/>
          <w:i/>
        </w:rPr>
        <w:t>Guide</w:t>
      </w:r>
      <w:r w:rsidR="00595D07">
        <w:t>)</w:t>
      </w:r>
      <w:r w:rsidRPr="000A7964">
        <w:t xml:space="preserve">. </w:t>
      </w:r>
      <w:r w:rsidRPr="006306BD">
        <w:t xml:space="preserve">Agencies should contact AGD’s Criminal Law Section via email at </w:t>
      </w:r>
      <w:hyperlink r:id="rId206" w:history="1">
        <w:r w:rsidRPr="006306BD">
          <w:rPr>
            <w:rStyle w:val="Hyperlink"/>
          </w:rPr>
          <w:t>CriminalLaw@ag.gov.au</w:t>
        </w:r>
      </w:hyperlink>
      <w:r w:rsidRPr="006306BD">
        <w:t xml:space="preserve"> if the proposal</w:t>
      </w:r>
      <w:r w:rsidRPr="00FD274F">
        <w:t>:</w:t>
      </w:r>
    </w:p>
    <w:p w14:paraId="2B399AB4" w14:textId="77777777" w:rsidR="008E40D0" w:rsidRPr="00FD274F" w:rsidRDefault="008E40D0" w:rsidP="008E40D0">
      <w:pPr>
        <w:pStyle w:val="BodyPara"/>
      </w:pPr>
      <w:r w:rsidRPr="00FD274F">
        <w:t>contains novel or complex issues that the Guide does not address; or</w:t>
      </w:r>
    </w:p>
    <w:p w14:paraId="5BF0B425" w14:textId="77777777" w:rsidR="008E40D0" w:rsidRPr="00FD274F" w:rsidRDefault="008E40D0" w:rsidP="008E40D0">
      <w:pPr>
        <w:pStyle w:val="BodyPara"/>
      </w:pPr>
      <w:r w:rsidRPr="00FD274F">
        <w:t>departs significantly from the principles in the Guide.</w:t>
      </w:r>
    </w:p>
    <w:p w14:paraId="3C3BD798" w14:textId="6ACBEA0D" w:rsidR="008E40D0" w:rsidRPr="00FD274F" w:rsidRDefault="008E40D0" w:rsidP="008E40D0">
      <w:pPr>
        <w:pStyle w:val="BodyNum"/>
      </w:pPr>
      <w:r w:rsidRPr="00FD274F">
        <w:t xml:space="preserve">Further guidance on related matters can be found in </w:t>
      </w:r>
      <w:hyperlink r:id="rId207" w:history="1">
        <w:r w:rsidRPr="00BC7C81">
          <w:rPr>
            <w:rStyle w:val="Hyperlink"/>
          </w:rPr>
          <w:t>OPC Drafting Direction 3.5</w:t>
        </w:r>
      </w:hyperlink>
      <w:r w:rsidRPr="00BC7C81">
        <w:t>.</w:t>
      </w:r>
    </w:p>
    <w:p w14:paraId="5ECAA820" w14:textId="77777777" w:rsidR="008E40D0" w:rsidRPr="00FD274F" w:rsidRDefault="008E40D0" w:rsidP="008E40D0">
      <w:pPr>
        <w:pStyle w:val="Head3"/>
      </w:pPr>
      <w:bookmarkStart w:id="86" w:name="_Toc183694652"/>
      <w:r w:rsidRPr="00FD274F">
        <w:t>Gender</w:t>
      </w:r>
      <w:r>
        <w:noBreakHyphen/>
      </w:r>
      <w:r w:rsidRPr="00FD274F">
        <w:t>specific and gender</w:t>
      </w:r>
      <w:r>
        <w:noBreakHyphen/>
      </w:r>
      <w:r w:rsidRPr="00FD274F">
        <w:t>neutral language</w:t>
      </w:r>
      <w:bookmarkEnd w:id="86"/>
    </w:p>
    <w:p w14:paraId="1FA0BF86" w14:textId="77777777" w:rsidR="008E40D0" w:rsidRPr="00FD274F" w:rsidRDefault="008E40D0" w:rsidP="008E40D0">
      <w:pPr>
        <w:pStyle w:val="BodyNum"/>
      </w:pPr>
      <w:r w:rsidRPr="00FD274F">
        <w:t>In exercising the power to make a legislative instrument in relation to a matter, it is generally important to use gender</w:t>
      </w:r>
      <w:r>
        <w:noBreakHyphen/>
      </w:r>
      <w:r w:rsidRPr="00FD274F">
        <w:t>neutral language. Language that might be reasonably seen to imply a single gender should be avoided, unless:</w:t>
      </w:r>
    </w:p>
    <w:p w14:paraId="74E040BB" w14:textId="77777777" w:rsidR="008E40D0" w:rsidRPr="00FD274F" w:rsidRDefault="008E40D0" w:rsidP="008E40D0">
      <w:pPr>
        <w:pStyle w:val="BodyPara"/>
      </w:pPr>
      <w:r w:rsidRPr="00FD274F">
        <w:t xml:space="preserve">the instrument is intended to apply only to people of one </w:t>
      </w:r>
      <w:proofErr w:type="gramStart"/>
      <w:r w:rsidRPr="00FD274F">
        <w:t>sex;</w:t>
      </w:r>
      <w:proofErr w:type="gramEnd"/>
      <w:r w:rsidRPr="00FD274F">
        <w:t xml:space="preserve"> or</w:t>
      </w:r>
    </w:p>
    <w:p w14:paraId="5A2049F5" w14:textId="77777777" w:rsidR="008E40D0" w:rsidRPr="00FD274F" w:rsidRDefault="008E40D0" w:rsidP="008E40D0">
      <w:pPr>
        <w:pStyle w:val="BodyPara"/>
      </w:pPr>
      <w:r w:rsidRPr="00FD274F">
        <w:t>it is important to use a particular term for consistency</w:t>
      </w:r>
      <w:r>
        <w:t xml:space="preserve"> with the enabling legislation.</w:t>
      </w:r>
    </w:p>
    <w:p w14:paraId="23C217F1" w14:textId="20701BFD" w:rsidR="008E40D0" w:rsidRPr="00FD274F" w:rsidRDefault="008E40D0" w:rsidP="008E40D0">
      <w:pPr>
        <w:pStyle w:val="BodyNum"/>
      </w:pPr>
      <w:r w:rsidRPr="00FD274F">
        <w:t>Inappropriate use of gender</w:t>
      </w:r>
      <w:r>
        <w:noBreakHyphen/>
      </w:r>
      <w:r w:rsidRPr="00FD274F">
        <w:t>specific language is clearly identified in th</w:t>
      </w:r>
      <w:r w:rsidRPr="004B337C">
        <w:t xml:space="preserve">e </w:t>
      </w:r>
      <w:hyperlink r:id="rId208" w:history="1">
        <w:r w:rsidRPr="004B337C">
          <w:rPr>
            <w:rStyle w:val="Hyperlink"/>
          </w:rPr>
          <w:t>LA</w:t>
        </w:r>
      </w:hyperlink>
      <w:r w:rsidRPr="004B337C">
        <w:rPr>
          <w:rStyle w:val="Hyperlink"/>
        </w:rPr>
        <w:t xml:space="preserve"> </w:t>
      </w:r>
      <w:r w:rsidRPr="004B337C">
        <w:t>as</w:t>
      </w:r>
      <w:r w:rsidRPr="00FD274F">
        <w:t xml:space="preserve"> undesirable. Under </w:t>
      </w:r>
      <w:r w:rsidRPr="004B337C">
        <w:t xml:space="preserve">section 16 of the </w:t>
      </w:r>
      <w:hyperlink r:id="rId209" w:history="1">
        <w:r w:rsidRPr="004B337C">
          <w:rPr>
            <w:rStyle w:val="Hyperlink"/>
          </w:rPr>
          <w:t>LA</w:t>
        </w:r>
      </w:hyperlink>
      <w:r w:rsidRPr="004B337C">
        <w:t>,</w:t>
      </w:r>
      <w:r w:rsidRPr="00FD274F">
        <w:t xml:space="preserve"> the First Parliamentary Counsel is required to take steps to prevent the inappropriate use of gender</w:t>
      </w:r>
      <w:r>
        <w:noBreakHyphen/>
      </w:r>
      <w:r w:rsidRPr="00FD274F">
        <w:t>specific language in legislative instruments, and to notify both the rule</w:t>
      </w:r>
      <w:r>
        <w:noBreakHyphen/>
      </w:r>
      <w:r w:rsidRPr="00FD274F">
        <w:t>maker and the Parliament of any instances that may be identified.</w:t>
      </w:r>
    </w:p>
    <w:p w14:paraId="681D4D84" w14:textId="07EE80B2" w:rsidR="008E40D0" w:rsidRPr="00FD274F" w:rsidRDefault="008E40D0" w:rsidP="008E40D0">
      <w:pPr>
        <w:pStyle w:val="BodyNum"/>
      </w:pPr>
      <w:r w:rsidRPr="00FD274F">
        <w:t>Further guidance on what constitutes gender</w:t>
      </w:r>
      <w:r>
        <w:noBreakHyphen/>
      </w:r>
      <w:r w:rsidRPr="00FD274F">
        <w:t>specific and gender</w:t>
      </w:r>
      <w:r>
        <w:noBreakHyphen/>
      </w:r>
      <w:r w:rsidRPr="00FD274F">
        <w:t>neutral language can be fou</w:t>
      </w:r>
      <w:r w:rsidRPr="00961F7C">
        <w:t xml:space="preserve">nd in </w:t>
      </w:r>
      <w:hyperlink r:id="rId210" w:history="1">
        <w:r w:rsidRPr="00961F7C">
          <w:rPr>
            <w:rStyle w:val="Hyperlink"/>
          </w:rPr>
          <w:t>OPC Drafting Direction 2.1</w:t>
        </w:r>
      </w:hyperlink>
      <w:r w:rsidRPr="00FD274F">
        <w:t>.</w:t>
      </w:r>
    </w:p>
    <w:p w14:paraId="41D6B394" w14:textId="39FEA687" w:rsidR="00446EF0" w:rsidRPr="00FD274F" w:rsidRDefault="00446EF0" w:rsidP="00446EF0">
      <w:pPr>
        <w:pStyle w:val="Head3"/>
      </w:pPr>
      <w:bookmarkStart w:id="87" w:name="_Toc183694653"/>
      <w:bookmarkStart w:id="88" w:name="_Ref422930454"/>
      <w:r>
        <w:t>Security</w:t>
      </w:r>
      <w:bookmarkEnd w:id="87"/>
    </w:p>
    <w:p w14:paraId="09299A61" w14:textId="791510EC" w:rsidR="008E40D0" w:rsidRDefault="008E40D0" w:rsidP="002E3F8C">
      <w:pPr>
        <w:pStyle w:val="BodyNum"/>
      </w:pPr>
      <w:r w:rsidRPr="00FD274F">
        <w:t>When it comes to the content of an instrument and related documents, rule</w:t>
      </w:r>
      <w:r>
        <w:noBreakHyphen/>
      </w:r>
      <w:r w:rsidRPr="00FD274F">
        <w:t xml:space="preserve">makers need to exercise care and judgement in deciding what level of detail to include. For example, </w:t>
      </w:r>
      <w:r w:rsidRPr="00FD274F">
        <w:lastRenderedPageBreak/>
        <w:t>it may not be necessary or appropriate to disclose</w:t>
      </w:r>
      <w:r w:rsidR="00B46ACE">
        <w:t xml:space="preserve"> </w:t>
      </w:r>
      <w:r w:rsidR="00B46ACE" w:rsidRPr="00F11E8B">
        <w:t xml:space="preserve">information that would be assessed as requiring protection and assigned a security classification </w:t>
      </w:r>
      <w:r w:rsidR="0064393A">
        <w:t>or protective markings</w:t>
      </w:r>
      <w:r w:rsidR="00B46ACE" w:rsidRPr="004B337C">
        <w:rPr>
          <w:rStyle w:val="FootnoteReference"/>
          <w:rFonts w:eastAsia="Calibri"/>
        </w:rPr>
        <w:footnoteReference w:id="15"/>
      </w:r>
      <w:r w:rsidR="00B46ACE">
        <w:t>.</w:t>
      </w:r>
    </w:p>
    <w:p w14:paraId="4D7B5A79" w14:textId="6DFC5376" w:rsidR="002E3F8C" w:rsidRDefault="00446EF0" w:rsidP="002E3F8C">
      <w:pPr>
        <w:pStyle w:val="Head3"/>
      </w:pPr>
      <w:bookmarkStart w:id="89" w:name="_Toc183694654"/>
      <w:r>
        <w:t>Privacy</w:t>
      </w:r>
      <w:bookmarkEnd w:id="89"/>
    </w:p>
    <w:p w14:paraId="41AF76AA" w14:textId="1F73D5FA" w:rsidR="002E3F8C" w:rsidRDefault="006979ED" w:rsidP="00B25E03">
      <w:pPr>
        <w:pStyle w:val="BodyNum"/>
      </w:pPr>
      <w:r>
        <w:t xml:space="preserve">Rule-makers are </w:t>
      </w:r>
      <w:r w:rsidR="00ED7A5D">
        <w:t xml:space="preserve">bound </w:t>
      </w:r>
      <w:r>
        <w:t xml:space="preserve">by the </w:t>
      </w:r>
      <w:hyperlink r:id="rId211" w:history="1">
        <w:r w:rsidRPr="002E3F8C">
          <w:rPr>
            <w:rStyle w:val="Hyperlink"/>
            <w:i/>
          </w:rPr>
          <w:t>Privacy Act 1988</w:t>
        </w:r>
      </w:hyperlink>
      <w:r w:rsidRPr="002E3F8C">
        <w:rPr>
          <w:i/>
        </w:rPr>
        <w:t xml:space="preserve"> </w:t>
      </w:r>
      <w:r>
        <w:t>and the Australian Privacy Principles within the Act in relation to handling, use and management of personal information.</w:t>
      </w:r>
      <w:r w:rsidR="00ED7A5D">
        <w:t xml:space="preserve"> </w:t>
      </w:r>
      <w:r w:rsidR="00783E22">
        <w:t xml:space="preserve">Rule-makers need to exercise care </w:t>
      </w:r>
      <w:r w:rsidR="00ED7A5D">
        <w:t xml:space="preserve">and judgement </w:t>
      </w:r>
      <w:r w:rsidR="00783E22">
        <w:t xml:space="preserve">in </w:t>
      </w:r>
      <w:r w:rsidR="00ED7A5D">
        <w:t xml:space="preserve">deciding what level of detail to include in </w:t>
      </w:r>
      <w:r w:rsidR="00160CB3">
        <w:t xml:space="preserve">an instrument and related documents. </w:t>
      </w:r>
      <w:r w:rsidR="002E3F8C" w:rsidRPr="00FD274F">
        <w:t>For example, it may not be necessary or appropriate to disclose</w:t>
      </w:r>
      <w:r w:rsidR="002E3F8C">
        <w:t xml:space="preserve"> </w:t>
      </w:r>
      <w:r w:rsidR="002E3F8C" w:rsidRPr="00F11E8B">
        <w:t xml:space="preserve">information </w:t>
      </w:r>
      <w:r w:rsidR="002E3F8C" w:rsidRPr="00FD274F">
        <w:t>such as a person’s home address</w:t>
      </w:r>
      <w:r w:rsidR="00160CB3">
        <w:t xml:space="preserve"> as </w:t>
      </w:r>
      <w:r w:rsidR="002E3F8C" w:rsidRPr="00FD274F">
        <w:t xml:space="preserve">this may breach the </w:t>
      </w:r>
      <w:hyperlink r:id="rId212" w:history="1">
        <w:r w:rsidR="002E3F8C" w:rsidRPr="00160CB3">
          <w:rPr>
            <w:rStyle w:val="Hyperlink"/>
            <w:i/>
          </w:rPr>
          <w:t>Privacy Act 1988</w:t>
        </w:r>
      </w:hyperlink>
      <w:r w:rsidR="002E3F8C" w:rsidRPr="00160CB3">
        <w:rPr>
          <w:i/>
        </w:rPr>
        <w:t xml:space="preserve"> </w:t>
      </w:r>
      <w:r w:rsidR="002E3F8C" w:rsidRPr="00961F7C">
        <w:t>and raise safe</w:t>
      </w:r>
      <w:r w:rsidR="002E3F8C" w:rsidRPr="00FD274F">
        <w:t>ty issues, although it may still be desirable to find some other way to identify a person unambiguously so as to minimise unintended consequences for other people with the same name.</w:t>
      </w:r>
    </w:p>
    <w:p w14:paraId="6E635A11" w14:textId="11BA9D86" w:rsidR="007D7DEF" w:rsidRPr="007D7DEF" w:rsidRDefault="00456E48" w:rsidP="00B25E03">
      <w:pPr>
        <w:pStyle w:val="BodyNum"/>
        <w:rPr>
          <w:rStyle w:val="Hyperlink"/>
          <w:color w:val="auto"/>
        </w:rPr>
      </w:pPr>
      <w:r w:rsidRPr="00B74849">
        <w:t xml:space="preserve">Section 6A of the </w:t>
      </w:r>
      <w:hyperlink r:id="rId213" w:history="1">
        <w:r w:rsidR="00B74849" w:rsidRPr="00961F7C">
          <w:rPr>
            <w:rStyle w:val="Hyperlink"/>
          </w:rPr>
          <w:t>Rule</w:t>
        </w:r>
      </w:hyperlink>
      <w:r w:rsidRPr="00B74849">
        <w:rPr>
          <w:rStyle w:val="Hyperlink"/>
          <w:color w:val="auto"/>
          <w:spacing w:val="-6"/>
        </w:rPr>
        <w:t xml:space="preserve"> provides that First Parliamentary Counsel may redact personal information (within the meaning of the </w:t>
      </w:r>
      <w:hyperlink r:id="rId214" w:history="1">
        <w:r w:rsidR="00B74849" w:rsidRPr="00160CB3">
          <w:rPr>
            <w:rStyle w:val="Hyperlink"/>
            <w:i/>
          </w:rPr>
          <w:t>Privacy Act 1988</w:t>
        </w:r>
      </w:hyperlink>
      <w:r w:rsidRPr="00B74849">
        <w:rPr>
          <w:rStyle w:val="Hyperlink"/>
          <w:color w:val="auto"/>
          <w:spacing w:val="-6"/>
        </w:rPr>
        <w:t>) from a document on the Register, other than a legislative or notifiable instrument.</w:t>
      </w:r>
    </w:p>
    <w:p w14:paraId="5B37E9FE" w14:textId="289277C6" w:rsidR="00456E48" w:rsidRDefault="007D7DEF" w:rsidP="00B25E03">
      <w:pPr>
        <w:pStyle w:val="BodyNum"/>
      </w:pPr>
      <w:r>
        <w:t xml:space="preserve">However, it is preferable to </w:t>
      </w:r>
      <w:r w:rsidR="001E7FC9">
        <w:t xml:space="preserve">deal with potential privacy issues well in advance of registration. </w:t>
      </w:r>
      <w:r w:rsidRPr="00FD274F">
        <w:t xml:space="preserve">If your agency has </w:t>
      </w:r>
      <w:r w:rsidR="001E7FC9">
        <w:t xml:space="preserve">any </w:t>
      </w:r>
      <w:r w:rsidRPr="00FD274F">
        <w:t>concerns, please contact OPC (</w:t>
      </w:r>
      <w:hyperlink r:id="rId215" w:history="1">
        <w:hyperlink r:id="rId216" w:history="1">
          <w:r w:rsidRPr="00FD274F">
            <w:rPr>
              <w:rStyle w:val="Hyperlink"/>
              <w:rFonts w:eastAsiaTheme="minorHAnsi"/>
              <w:szCs w:val="24"/>
              <w:lang w:eastAsia="en-US"/>
            </w:rPr>
            <w:t>lodge@legislation.gov.au</w:t>
          </w:r>
        </w:hyperlink>
      </w:hyperlink>
      <w:r w:rsidR="002F328F">
        <w:rPr>
          <w:szCs w:val="24"/>
        </w:rPr>
        <w:t xml:space="preserve"> </w:t>
      </w:r>
      <w:r w:rsidR="002F328F" w:rsidRPr="00FD274F">
        <w:rPr>
          <w:color w:val="000000"/>
          <w:spacing w:val="-2"/>
          <w:szCs w:val="24"/>
        </w:rPr>
        <w:t xml:space="preserve">or (02) </w:t>
      </w:r>
      <w:r w:rsidR="002F328F" w:rsidRPr="00FD274F">
        <w:rPr>
          <w:spacing w:val="-2"/>
          <w:szCs w:val="24"/>
        </w:rPr>
        <w:t>6120 1350</w:t>
      </w:r>
      <w:r w:rsidR="002F328F">
        <w:rPr>
          <w:spacing w:val="-2"/>
          <w:szCs w:val="24"/>
        </w:rPr>
        <w:t>)</w:t>
      </w:r>
      <w:r>
        <w:rPr>
          <w:szCs w:val="24"/>
        </w:rPr>
        <w:t xml:space="preserve"> </w:t>
      </w:r>
      <w:r w:rsidRPr="00FD274F">
        <w:t>to discuss the issues and options.</w:t>
      </w:r>
    </w:p>
    <w:p w14:paraId="78B2B6EA" w14:textId="01969FEF" w:rsidR="00446EF0" w:rsidRPr="00FD274F" w:rsidRDefault="00446EF0" w:rsidP="00446EF0">
      <w:pPr>
        <w:pStyle w:val="Head3"/>
      </w:pPr>
      <w:bookmarkStart w:id="90" w:name="_Toc183694655"/>
      <w:r>
        <w:t>Copyright</w:t>
      </w:r>
      <w:bookmarkEnd w:id="90"/>
    </w:p>
    <w:p w14:paraId="4B03AEAA" w14:textId="405F7676" w:rsidR="008E40D0" w:rsidRPr="00FD274F" w:rsidRDefault="008E40D0" w:rsidP="00B25E03">
      <w:pPr>
        <w:pStyle w:val="BodyNum"/>
      </w:pPr>
      <w:r w:rsidRPr="00FD274F">
        <w:t>A copyright notice should only be included in an instrument or related document if this is essential to acknowledge the intellectual property (IP) rights of a third party, and if the legal and other implications of reusing this IP has been carefully considered. For more information on copyright of registered content, se</w:t>
      </w:r>
      <w:r w:rsidRPr="00655352">
        <w:t xml:space="preserve">e paragraph </w:t>
      </w:r>
      <w:r w:rsidRPr="004B337C">
        <w:fldChar w:fldCharType="begin"/>
      </w:r>
      <w:r w:rsidRPr="00655352">
        <w:instrText xml:space="preserve"> REF _Ref474413213 \r \h  \* MERGEFORMAT </w:instrText>
      </w:r>
      <w:r w:rsidRPr="004B337C">
        <w:fldChar w:fldCharType="separate"/>
      </w:r>
      <w:r w:rsidR="00833171">
        <w:t>235</w:t>
      </w:r>
      <w:r w:rsidRPr="004B337C">
        <w:fldChar w:fldCharType="end"/>
      </w:r>
      <w:r w:rsidRPr="00655352">
        <w:t>.</w:t>
      </w:r>
    </w:p>
    <w:p w14:paraId="675089F8" w14:textId="77777777" w:rsidR="008E40D0" w:rsidRPr="00FD274F" w:rsidRDefault="008E40D0" w:rsidP="008E40D0">
      <w:pPr>
        <w:pStyle w:val="Head3"/>
      </w:pPr>
      <w:bookmarkStart w:id="91" w:name="_Toc183694656"/>
      <w:bookmarkEnd w:id="88"/>
      <w:r w:rsidRPr="00FD274F">
        <w:t>Technical considerations</w:t>
      </w:r>
      <w:bookmarkEnd w:id="91"/>
    </w:p>
    <w:p w14:paraId="48BF1BB6" w14:textId="58117446" w:rsidR="00B25E03" w:rsidRPr="001F1262" w:rsidRDefault="00B25E03" w:rsidP="00B25E03">
      <w:pPr>
        <w:pStyle w:val="Head4"/>
      </w:pPr>
      <w:bookmarkStart w:id="92" w:name="_Toc183694657"/>
      <w:bookmarkStart w:id="93" w:name="_Ref367446139"/>
      <w:r>
        <w:t>Accessibility</w:t>
      </w:r>
      <w:bookmarkEnd w:id="92"/>
    </w:p>
    <w:p w14:paraId="2869CBA9" w14:textId="57FADAAD" w:rsidR="007F21B5" w:rsidRDefault="00FC7B9A" w:rsidP="008E40D0">
      <w:pPr>
        <w:pStyle w:val="BodyNum"/>
      </w:pPr>
      <w:bookmarkStart w:id="94" w:name="_Ref185322055"/>
      <w:bookmarkEnd w:id="93"/>
      <w:r>
        <w:t xml:space="preserve">Given their legal nature, it is essential that all registered documents are accessible to the widest range of users, including people who may rely on assistive technology such as screen readers. This is a requirement of the </w:t>
      </w:r>
      <w:hyperlink r:id="rId217" w:history="1">
        <w:r>
          <w:rPr>
            <w:rStyle w:val="Hyperlink"/>
            <w:i/>
            <w:iCs/>
          </w:rPr>
          <w:t>Disability Discrimination Act 1992</w:t>
        </w:r>
      </w:hyperlink>
      <w:r>
        <w:t>—see section 29 of that Act in particular on the administration of Commonwealth laws and programs.</w:t>
      </w:r>
      <w:bookmarkEnd w:id="94"/>
    </w:p>
    <w:p w14:paraId="756629FE" w14:textId="559B31E6" w:rsidR="00FC7B9A" w:rsidRDefault="00FC7B9A" w:rsidP="00FC7B9A">
      <w:pPr>
        <w:pStyle w:val="BodyNum"/>
      </w:pPr>
      <w:r>
        <w:t>In addition,</w:t>
      </w:r>
      <w:r w:rsidR="00CB23CE">
        <w:t xml:space="preserve"> in the Dat</w:t>
      </w:r>
      <w:r w:rsidR="00257663">
        <w:t>a</w:t>
      </w:r>
      <w:r w:rsidR="00CB23CE">
        <w:t xml:space="preserve"> and Digital Government Strategy,</w:t>
      </w:r>
      <w:r>
        <w:t xml:space="preserve"> the Australian Government has committed to ensuring all websites and services meet the latest </w:t>
      </w:r>
      <w:hyperlink r:id="rId218" w:history="1">
        <w:r>
          <w:rPr>
            <w:rStyle w:val="Hyperlink"/>
          </w:rPr>
          <w:t>Web Content Accessibility Guidelines</w:t>
        </w:r>
      </w:hyperlink>
      <w:r>
        <w:t>. While the Register is generally compliant, agency software and other choices can have a major impact on the accessibility of individual documents. Agencies are encouraged to consider the impact of their processes on general accessibility.</w:t>
      </w:r>
    </w:p>
    <w:p w14:paraId="5C75A7B6" w14:textId="0961D316" w:rsidR="005D3FE1" w:rsidRPr="001F1262" w:rsidRDefault="005D3FE1" w:rsidP="005D3FE1">
      <w:pPr>
        <w:pStyle w:val="Head4"/>
      </w:pPr>
      <w:bookmarkStart w:id="95" w:name="_Toc183694658"/>
      <w:r>
        <w:t>Word or RTF format</w:t>
      </w:r>
      <w:bookmarkEnd w:id="95"/>
    </w:p>
    <w:p w14:paraId="6BD8049A" w14:textId="5BEF74A9" w:rsidR="008E40D0" w:rsidRPr="00961F7C" w:rsidRDefault="008E40D0" w:rsidP="008E40D0">
      <w:pPr>
        <w:pStyle w:val="BodyNum"/>
      </w:pPr>
      <w:r w:rsidRPr="00277385">
        <w:t xml:space="preserve">To ensure that documents are searchable and can be read by a wide range of devices, all documents must be supplied to OPC in Microsoft Word or rich text format, unless the </w:t>
      </w:r>
      <w:r w:rsidRPr="00277385">
        <w:lastRenderedPageBreak/>
        <w:t>First Parliamentary Counsel has agreed otherwi</w:t>
      </w:r>
      <w:r w:rsidRPr="00961F7C">
        <w:t>se (</w:t>
      </w:r>
      <w:hyperlink r:id="rId219" w:history="1">
        <w:r w:rsidRPr="00961F7C">
          <w:rPr>
            <w:rStyle w:val="Hyperlink"/>
          </w:rPr>
          <w:t>Rule</w:t>
        </w:r>
      </w:hyperlink>
      <w:r w:rsidRPr="00961F7C">
        <w:t xml:space="preserve"> s 5(3)).</w:t>
      </w:r>
      <w:r w:rsidRPr="00277385">
        <w:t xml:space="preserve"> This ensures documents can be indexed and offered to users in a choice of file formats. For more information on current formats, s</w:t>
      </w:r>
      <w:r w:rsidRPr="00961F7C">
        <w:t>ee</w:t>
      </w:r>
      <w:r w:rsidR="009D0DA3">
        <w:t xml:space="preserve"> </w:t>
      </w:r>
      <w:r w:rsidR="00ED12DB">
        <w:t xml:space="preserve">the </w:t>
      </w:r>
      <w:hyperlink r:id="rId220" w:history="1">
        <w:r w:rsidR="00ED12DB" w:rsidRPr="00194060">
          <w:rPr>
            <w:rStyle w:val="Hyperlink"/>
          </w:rPr>
          <w:t>terms of use on the Federal Register of Legislation</w:t>
        </w:r>
      </w:hyperlink>
      <w:r w:rsidRPr="00961F7C">
        <w:t>.</w:t>
      </w:r>
    </w:p>
    <w:p w14:paraId="2335EEFD" w14:textId="25CADE7B" w:rsidR="005D3FE1" w:rsidRPr="001F1262" w:rsidRDefault="005D3FE1" w:rsidP="005D3FE1">
      <w:pPr>
        <w:pStyle w:val="Head4"/>
      </w:pPr>
      <w:bookmarkStart w:id="96" w:name="_Toc183694659"/>
      <w:r>
        <w:t>Alternative text</w:t>
      </w:r>
      <w:bookmarkEnd w:id="96"/>
    </w:p>
    <w:p w14:paraId="59356874" w14:textId="53893953" w:rsidR="008E40D0" w:rsidRPr="00277385" w:rsidRDefault="008E40D0" w:rsidP="008E40D0">
      <w:pPr>
        <w:pStyle w:val="BodyNum"/>
      </w:pPr>
      <w:r w:rsidRPr="00277385">
        <w:t>To meet accessibility requirements, alt text (short for “alternative text”) should be applied to any images contained in the document, including formulas. Alt text is a short textual description of the image that is not visible on the face of the relevant document but, instead, sits in the properties of the image.</w:t>
      </w:r>
    </w:p>
    <w:p w14:paraId="70F5022E" w14:textId="6D213D43" w:rsidR="008E40D0" w:rsidRPr="00277385" w:rsidRDefault="008E40D0" w:rsidP="008E40D0">
      <w:pPr>
        <w:pStyle w:val="BodyNum"/>
      </w:pPr>
      <w:r w:rsidRPr="00277385">
        <w:t>It is important to include alt text because screen readers (mentioned in pa</w:t>
      </w:r>
      <w:r w:rsidRPr="00655352">
        <w:t>ragraph</w:t>
      </w:r>
      <w:r w:rsidR="000F2F90">
        <w:t xml:space="preserve"> </w:t>
      </w:r>
      <w:r w:rsidR="009A15A0">
        <w:fldChar w:fldCharType="begin"/>
      </w:r>
      <w:r w:rsidR="009A15A0">
        <w:instrText xml:space="preserve"> REF _Ref185322055 \r \h </w:instrText>
      </w:r>
      <w:r w:rsidR="009A15A0">
        <w:fldChar w:fldCharType="separate"/>
      </w:r>
      <w:r w:rsidR="00833171">
        <w:t>118</w:t>
      </w:r>
      <w:r w:rsidR="009A15A0">
        <w:fldChar w:fldCharType="end"/>
      </w:r>
      <w:r w:rsidR="009A15A0">
        <w:t xml:space="preserve"> </w:t>
      </w:r>
      <w:r w:rsidRPr="00655352">
        <w:t>ab</w:t>
      </w:r>
      <w:r w:rsidR="009A15A0">
        <w:t>ove</w:t>
      </w:r>
      <w:r w:rsidRPr="00655352">
        <w:t>)</w:t>
      </w:r>
      <w:r w:rsidRPr="00277385">
        <w:t xml:space="preserve"> rely on the alt text description. More information on alt text, including examples and guidance on what alt text to include, can be </w:t>
      </w:r>
      <w:r w:rsidRPr="00961F7C">
        <w:t xml:space="preserve">found in </w:t>
      </w:r>
      <w:hyperlink r:id="rId221" w:history="1">
        <w:r w:rsidRPr="00961F7C">
          <w:rPr>
            <w:rStyle w:val="Hyperlink"/>
          </w:rPr>
          <w:t>OPC Drafting Direction 1.9</w:t>
        </w:r>
      </w:hyperlink>
      <w:r>
        <w:t>.</w:t>
      </w:r>
    </w:p>
    <w:p w14:paraId="026188F7" w14:textId="15B776DF" w:rsidR="008E40D0" w:rsidRPr="005D3FE1" w:rsidRDefault="008E40D0" w:rsidP="008E40D0">
      <w:pPr>
        <w:pStyle w:val="BodyNum"/>
        <w:rPr>
          <w:szCs w:val="24"/>
        </w:rPr>
      </w:pPr>
      <w:r>
        <w:t xml:space="preserve"> An additional service fee will apply if OPC is required to add alt text to any images or objects. See </w:t>
      </w:r>
      <w:r w:rsidRPr="00FD274F">
        <w:t xml:space="preserve">paragraph </w:t>
      </w:r>
      <w:r w:rsidRPr="00FD274F">
        <w:fldChar w:fldCharType="begin"/>
      </w:r>
      <w:r w:rsidRPr="00FD274F">
        <w:instrText xml:space="preserve"> REF _Ref434314290 \r \h  \* MERGEFORMAT </w:instrText>
      </w:r>
      <w:r w:rsidRPr="00FD274F">
        <w:fldChar w:fldCharType="separate"/>
      </w:r>
      <w:r w:rsidR="00833171">
        <w:t>160</w:t>
      </w:r>
      <w:r w:rsidRPr="00FD274F">
        <w:fldChar w:fldCharType="end"/>
      </w:r>
      <w:r w:rsidRPr="00FE5134">
        <w:t xml:space="preserve"> for furt</w:t>
      </w:r>
      <w:r>
        <w:t>her information on OPC’s special requirement and additional services fees.</w:t>
      </w:r>
    </w:p>
    <w:p w14:paraId="1F336792" w14:textId="233DD584" w:rsidR="005D3FE1" w:rsidRPr="001F1262" w:rsidRDefault="005D3FE1" w:rsidP="005D3FE1">
      <w:pPr>
        <w:pStyle w:val="Head4"/>
      </w:pPr>
      <w:bookmarkStart w:id="97" w:name="_Toc183694660"/>
      <w:r>
        <w:t>Other considerations</w:t>
      </w:r>
      <w:bookmarkEnd w:id="97"/>
    </w:p>
    <w:p w14:paraId="72D00EB8" w14:textId="77777777" w:rsidR="008E40D0" w:rsidRPr="00FD274F" w:rsidRDefault="008E40D0" w:rsidP="008E40D0">
      <w:pPr>
        <w:pStyle w:val="BodyNum"/>
      </w:pPr>
      <w:r w:rsidRPr="00FD274F">
        <w:t>Meeting these requirements is important but may not, on its own, ensure that text and other content is fully machine and people</w:t>
      </w:r>
      <w:r>
        <w:noBreakHyphen/>
      </w:r>
      <w:r w:rsidRPr="00FD274F">
        <w:t>readable. Agencies should, therefore:</w:t>
      </w:r>
    </w:p>
    <w:p w14:paraId="32D1A262" w14:textId="77777777" w:rsidR="008E40D0" w:rsidRPr="00FD274F" w:rsidRDefault="008E40D0" w:rsidP="008E40D0">
      <w:pPr>
        <w:pStyle w:val="BodyPara"/>
      </w:pPr>
      <w:r w:rsidRPr="00FD274F">
        <w:t>format the text of documents using styles or equivalent; and</w:t>
      </w:r>
    </w:p>
    <w:p w14:paraId="2F4F459F" w14:textId="77777777" w:rsidR="008E40D0" w:rsidRPr="00FD274F" w:rsidRDefault="008E40D0" w:rsidP="008E40D0">
      <w:pPr>
        <w:pStyle w:val="BodyPara"/>
      </w:pPr>
      <w:r w:rsidRPr="00FD274F">
        <w:t xml:space="preserve">choose an easily readable font and font size for normal text—OPC’s current practice is to use </w:t>
      </w:r>
      <w:proofErr w:type="gramStart"/>
      <w:r w:rsidRPr="00FD274F">
        <w:t>11 point</w:t>
      </w:r>
      <w:proofErr w:type="gramEnd"/>
      <w:r w:rsidRPr="00FD274F">
        <w:t xml:space="preserve"> Times New Roman for most text; and</w:t>
      </w:r>
    </w:p>
    <w:p w14:paraId="0F2EAB33" w14:textId="77777777" w:rsidR="008E40D0" w:rsidRPr="00FD274F" w:rsidRDefault="008E40D0" w:rsidP="008E40D0">
      <w:pPr>
        <w:pStyle w:val="BodyPara"/>
      </w:pPr>
      <w:r w:rsidRPr="00FD274F">
        <w:t>present mathematical formulas as images; and</w:t>
      </w:r>
    </w:p>
    <w:p w14:paraId="0C6A6D1E" w14:textId="7978F32A" w:rsidR="008E40D0" w:rsidRPr="00FD274F" w:rsidRDefault="008E40D0" w:rsidP="008E40D0">
      <w:pPr>
        <w:pStyle w:val="BodyPara"/>
      </w:pPr>
      <w:r w:rsidRPr="00FD274F">
        <w:t xml:space="preserve">ensure all images are legible, and are tagged with an “alt text” description for people who use </w:t>
      </w:r>
      <w:r w:rsidR="005D78F5">
        <w:t>screen readers</w:t>
      </w:r>
      <w:r w:rsidRPr="00FD274F">
        <w:t>; and</w:t>
      </w:r>
    </w:p>
    <w:p w14:paraId="69E8C41B" w14:textId="77777777" w:rsidR="008E40D0" w:rsidRPr="00FD274F" w:rsidRDefault="008E40D0" w:rsidP="008E40D0">
      <w:pPr>
        <w:pStyle w:val="BodyPara"/>
      </w:pPr>
      <w:r w:rsidRPr="00FD274F">
        <w:t>preview what the document is likely to look like when converted into PDF or HTML format (for example, by using the “Save As” feature in Word); and</w:t>
      </w:r>
    </w:p>
    <w:p w14:paraId="21B82018" w14:textId="77777777" w:rsidR="008E40D0" w:rsidRPr="00FD274F" w:rsidRDefault="008E40D0" w:rsidP="008E40D0">
      <w:pPr>
        <w:pStyle w:val="BodyPara"/>
      </w:pPr>
      <w:r w:rsidRPr="00FD274F">
        <w:t>consider splitting very large files that exceed 10MB or 600 pages into multiple volumes to avoid excessive download times; and</w:t>
      </w:r>
    </w:p>
    <w:p w14:paraId="2FB3FBDB" w14:textId="77777777" w:rsidR="008E40D0" w:rsidRPr="00FD274F" w:rsidRDefault="008E40D0" w:rsidP="008E40D0">
      <w:pPr>
        <w:pStyle w:val="BodyPara"/>
      </w:pPr>
      <w:r w:rsidRPr="00FD274F">
        <w:t>finalise the document only after checking for hidden issues—in Word 2010, for example, this can be done using the File | Info | Check for Issues toolset.</w:t>
      </w:r>
    </w:p>
    <w:p w14:paraId="42F73999" w14:textId="0CF49608" w:rsidR="00EE05CE" w:rsidRPr="001F1262" w:rsidRDefault="001F2679" w:rsidP="00EE05CE">
      <w:pPr>
        <w:pStyle w:val="Head4"/>
      </w:pPr>
      <w:bookmarkStart w:id="98" w:name="_Toc183694661"/>
      <w:r>
        <w:t>Preventable issues</w:t>
      </w:r>
      <w:bookmarkEnd w:id="98"/>
    </w:p>
    <w:p w14:paraId="26D1D0CF" w14:textId="53E50834" w:rsidR="008E40D0" w:rsidRPr="00FD274F" w:rsidRDefault="008E40D0" w:rsidP="008E40D0">
      <w:pPr>
        <w:pStyle w:val="BodyNum"/>
      </w:pPr>
      <w:r w:rsidRPr="00FD274F">
        <w:t>Things that are likely to cause problems, and that should be avoided</w:t>
      </w:r>
      <w:r w:rsidR="00AB7DEA">
        <w:t xml:space="preserve"> whenever possible</w:t>
      </w:r>
      <w:r w:rsidRPr="00FD274F">
        <w:t>, include the following:</w:t>
      </w:r>
    </w:p>
    <w:p w14:paraId="5A445D47" w14:textId="07DF41B4" w:rsidR="008E40D0" w:rsidRPr="00FD274F" w:rsidRDefault="008E40D0" w:rsidP="008E40D0">
      <w:pPr>
        <w:pStyle w:val="BodyPara"/>
      </w:pPr>
      <w:r w:rsidRPr="00FD274F">
        <w:t>content such as revisions and comments</w:t>
      </w:r>
      <w:r w:rsidR="00F32BB7">
        <w:t>, whether visible or hidden,</w:t>
      </w:r>
      <w:r w:rsidRPr="00FD274F">
        <w:t xml:space="preserve"> that may not be intend</w:t>
      </w:r>
      <w:r>
        <w:t xml:space="preserve">ed or suitable for </w:t>
      </w:r>
      <w:proofErr w:type="gramStart"/>
      <w:r>
        <w:t>publication;</w:t>
      </w:r>
      <w:proofErr w:type="gramEnd"/>
    </w:p>
    <w:p w14:paraId="0BBB62F5" w14:textId="77777777" w:rsidR="008E40D0" w:rsidRPr="00FD274F" w:rsidRDefault="008E40D0" w:rsidP="008E40D0">
      <w:pPr>
        <w:pStyle w:val="BodyPara"/>
      </w:pPr>
      <w:r w:rsidRPr="00FD274F">
        <w:lastRenderedPageBreak/>
        <w:t xml:space="preserve">field codes and macros—these may no longer work, or may not work in the way intended, when the document is published by </w:t>
      </w:r>
      <w:proofErr w:type="gramStart"/>
      <w:r w:rsidRPr="00FD274F">
        <w:t>OPC;</w:t>
      </w:r>
      <w:proofErr w:type="gramEnd"/>
    </w:p>
    <w:p w14:paraId="2ED015A4" w14:textId="77777777" w:rsidR="008E40D0" w:rsidRPr="00FD274F" w:rsidRDefault="008E40D0" w:rsidP="008E40D0">
      <w:pPr>
        <w:pStyle w:val="BodyPara"/>
      </w:pPr>
      <w:r w:rsidRPr="00FD274F">
        <w:t xml:space="preserve">special symbols—the Greek letter “Mu” (μ) in particular is at risk of being misread by some devices/software so </w:t>
      </w:r>
      <w:proofErr w:type="spellStart"/>
      <w:r w:rsidRPr="00FD274F">
        <w:t>μg</w:t>
      </w:r>
      <w:proofErr w:type="spellEnd"/>
      <w:r w:rsidRPr="00FD274F">
        <w:t xml:space="preserve"> may be misread as </w:t>
      </w:r>
      <w:proofErr w:type="gramStart"/>
      <w:r w:rsidRPr="00FD274F">
        <w:t>mg;</w:t>
      </w:r>
      <w:proofErr w:type="gramEnd"/>
    </w:p>
    <w:p w14:paraId="7FDAF6BC" w14:textId="77777777" w:rsidR="008E40D0" w:rsidRPr="00FD274F" w:rsidRDefault="008E40D0" w:rsidP="008E40D0">
      <w:pPr>
        <w:pStyle w:val="BodyPara"/>
      </w:pPr>
      <w:r w:rsidRPr="00FD274F">
        <w:t>highlighting, watermarks or background images that may obscure the text.</w:t>
      </w:r>
    </w:p>
    <w:p w14:paraId="25FF61AD" w14:textId="57D941FD" w:rsidR="00AB7DEA" w:rsidRDefault="00944E2A" w:rsidP="00AB7DEA">
      <w:pPr>
        <w:pStyle w:val="BodyNum"/>
      </w:pPr>
      <w:r>
        <w:t xml:space="preserve">The elements identified above may have unintended consequences on the appearance and readability of </w:t>
      </w:r>
      <w:r w:rsidR="00B13AF7">
        <w:t>legislation</w:t>
      </w:r>
      <w:r>
        <w:t>, negatively impacting accessibility. Resolving these issues during the registration process can be both complex and time-consuming</w:t>
      </w:r>
      <w:r w:rsidR="00B13AF7">
        <w:t>.</w:t>
      </w:r>
    </w:p>
    <w:p w14:paraId="64B884ED" w14:textId="68D36A84" w:rsidR="00477BDA" w:rsidRPr="001F1262" w:rsidRDefault="00477BDA" w:rsidP="00477BDA">
      <w:pPr>
        <w:pStyle w:val="Head4"/>
      </w:pPr>
      <w:bookmarkStart w:id="99" w:name="_Toc183694662"/>
      <w:r>
        <w:t>Footers</w:t>
      </w:r>
      <w:bookmarkEnd w:id="99"/>
    </w:p>
    <w:p w14:paraId="0E38996A" w14:textId="1B2BDDCC" w:rsidR="008E40D0" w:rsidRPr="00961F7C" w:rsidRDefault="00477BDA" w:rsidP="008E40D0">
      <w:pPr>
        <w:pStyle w:val="BodyNum"/>
        <w:keepLines/>
      </w:pPr>
      <w:r>
        <w:t>A</w:t>
      </w:r>
      <w:r w:rsidR="008E40D0" w:rsidRPr="00FD274F">
        <w:t xml:space="preserve">gencies should also ensure that at least 1cm is left blank at the bottom of each page. This is so that no content is obscured when the document is stamped with its unique identifier and, if applicable, the words that indicate that it is an authorised version </w:t>
      </w:r>
      <w:r w:rsidR="008E40D0" w:rsidRPr="00961F7C">
        <w:t xml:space="preserve">(see </w:t>
      </w:r>
      <w:hyperlink r:id="rId222" w:history="1">
        <w:r w:rsidR="008E40D0" w:rsidRPr="00961F7C">
          <w:rPr>
            <w:rStyle w:val="Hyperlink"/>
          </w:rPr>
          <w:t>Rule</w:t>
        </w:r>
      </w:hyperlink>
      <w:r w:rsidR="008E40D0" w:rsidRPr="00961F7C">
        <w:t xml:space="preserve"> s 11 and 14(2)).</w:t>
      </w:r>
    </w:p>
    <w:p w14:paraId="74CC438A" w14:textId="686FE2D3" w:rsidR="00F74BA7" w:rsidRPr="001F1262" w:rsidRDefault="00F74BA7" w:rsidP="00F74BA7">
      <w:pPr>
        <w:pStyle w:val="Head4"/>
      </w:pPr>
      <w:bookmarkStart w:id="100" w:name="_Toc183694663"/>
      <w:bookmarkStart w:id="101" w:name="_Ref384353433"/>
      <w:r>
        <w:t>Resolving issues</w:t>
      </w:r>
      <w:bookmarkEnd w:id="100"/>
    </w:p>
    <w:p w14:paraId="2C622896" w14:textId="1EB721DE" w:rsidR="008E40D0" w:rsidRDefault="008E40D0" w:rsidP="008E40D0">
      <w:pPr>
        <w:pStyle w:val="BodyNum"/>
      </w:pPr>
      <w:bookmarkStart w:id="102" w:name="_Ref184284176"/>
      <w:r w:rsidRPr="00FD274F">
        <w:t>If significant technical issues are identified during or after the registration process, OPC will generally contact the lodging agency to discuss the situation and suggest what can be done to resolve it.</w:t>
      </w:r>
      <w:bookmarkEnd w:id="101"/>
      <w:bookmarkEnd w:id="102"/>
    </w:p>
    <w:p w14:paraId="4CBBDB5B" w14:textId="77777777" w:rsidR="008E40D0" w:rsidRPr="00FD274F" w:rsidRDefault="008E40D0" w:rsidP="008E40D0">
      <w:pPr>
        <w:pStyle w:val="Head3"/>
      </w:pPr>
      <w:bookmarkStart w:id="103" w:name="_Toc183694664"/>
      <w:r w:rsidRPr="00FD274F">
        <w:t>Improving drafting standards</w:t>
      </w:r>
      <w:bookmarkEnd w:id="103"/>
    </w:p>
    <w:p w14:paraId="5DDB1C3B" w14:textId="7CE8A68F" w:rsidR="008E40D0" w:rsidRPr="00FD274F" w:rsidRDefault="008E40D0" w:rsidP="008E40D0">
      <w:pPr>
        <w:pStyle w:val="BodyNum"/>
        <w:keepNext/>
      </w:pPr>
      <w:r w:rsidRPr="004B337C">
        <w:t xml:space="preserve">Section 16 of the </w:t>
      </w:r>
      <w:hyperlink r:id="rId223" w:history="1">
        <w:r w:rsidRPr="004B337C">
          <w:rPr>
            <w:rStyle w:val="Hyperlink"/>
          </w:rPr>
          <w:t>LA</w:t>
        </w:r>
      </w:hyperlink>
      <w:r w:rsidRPr="004B337C">
        <w:rPr>
          <w:rStyle w:val="Hyperlink"/>
        </w:rPr>
        <w:t xml:space="preserve"> </w:t>
      </w:r>
      <w:r w:rsidRPr="004B337C">
        <w:t>r</w:t>
      </w:r>
      <w:r w:rsidRPr="00FD274F">
        <w:t>equires the First Parliamentary Counsel to cause steps to be taken to promote the legal effectiveness, clarity, and intelligibility to anticipated users, of legislative instruments</w:t>
      </w:r>
      <w:r>
        <w:t xml:space="preserve"> and notifiable instruments</w:t>
      </w:r>
      <w:r w:rsidRPr="00FD274F">
        <w:t>. The steps may include, but are not limited to, the following:</w:t>
      </w:r>
    </w:p>
    <w:p w14:paraId="39D6EC09" w14:textId="77777777" w:rsidR="008E40D0" w:rsidRPr="00FD274F" w:rsidRDefault="008E40D0" w:rsidP="008E40D0">
      <w:pPr>
        <w:pStyle w:val="BodyPara"/>
      </w:pPr>
      <w:r w:rsidRPr="00FD274F">
        <w:t xml:space="preserve">undertaking or supervising the drafting of </w:t>
      </w:r>
      <w:proofErr w:type="gramStart"/>
      <w:r w:rsidRPr="00FD274F">
        <w:t>instruments;</w:t>
      </w:r>
      <w:proofErr w:type="gramEnd"/>
    </w:p>
    <w:p w14:paraId="0529DEA1" w14:textId="77777777" w:rsidR="008E40D0" w:rsidRPr="00FD274F" w:rsidRDefault="008E40D0" w:rsidP="008E40D0">
      <w:pPr>
        <w:pStyle w:val="BodyPara"/>
      </w:pPr>
      <w:r w:rsidRPr="00FD274F">
        <w:t xml:space="preserve">scrutinising preliminary drafts of </w:t>
      </w:r>
      <w:proofErr w:type="gramStart"/>
      <w:r w:rsidRPr="00FD274F">
        <w:t>instruments;</w:t>
      </w:r>
      <w:proofErr w:type="gramEnd"/>
    </w:p>
    <w:p w14:paraId="324E734C" w14:textId="77777777" w:rsidR="008E40D0" w:rsidRPr="00FD274F" w:rsidRDefault="008E40D0" w:rsidP="008E40D0">
      <w:pPr>
        <w:pStyle w:val="BodyPara"/>
      </w:pPr>
      <w:r w:rsidRPr="00FD274F">
        <w:t xml:space="preserve">providing advice about the drafting of </w:t>
      </w:r>
      <w:proofErr w:type="gramStart"/>
      <w:r w:rsidRPr="00FD274F">
        <w:t>instruments;</w:t>
      </w:r>
      <w:proofErr w:type="gramEnd"/>
    </w:p>
    <w:p w14:paraId="06A9F5EB" w14:textId="77777777" w:rsidR="008E40D0" w:rsidRPr="00FD274F" w:rsidRDefault="008E40D0" w:rsidP="008E40D0">
      <w:pPr>
        <w:pStyle w:val="BodyPara"/>
      </w:pPr>
      <w:r w:rsidRPr="00FD274F">
        <w:t>providing training in drafting and drafting</w:t>
      </w:r>
      <w:r>
        <w:noBreakHyphen/>
      </w:r>
      <w:r w:rsidRPr="00FD274F">
        <w:t xml:space="preserve">related matters to </w:t>
      </w:r>
      <w:proofErr w:type="gramStart"/>
      <w:r w:rsidRPr="00FD274F">
        <w:t>agencies;</w:t>
      </w:r>
      <w:proofErr w:type="gramEnd"/>
    </w:p>
    <w:p w14:paraId="414BDA8A" w14:textId="77777777" w:rsidR="008E40D0" w:rsidRPr="00FD274F" w:rsidRDefault="008E40D0" w:rsidP="008E40D0">
      <w:pPr>
        <w:pStyle w:val="BodyPara"/>
      </w:pPr>
      <w:r w:rsidRPr="00FD274F">
        <w:t xml:space="preserve">arranging the temporary secondment of OPC staff to </w:t>
      </w:r>
      <w:proofErr w:type="gramStart"/>
      <w:r w:rsidRPr="00FD274F">
        <w:t>agencies;</w:t>
      </w:r>
      <w:proofErr w:type="gramEnd"/>
    </w:p>
    <w:p w14:paraId="160BB362" w14:textId="77777777" w:rsidR="008E40D0" w:rsidRPr="00FD274F" w:rsidRDefault="008E40D0" w:rsidP="008E40D0">
      <w:pPr>
        <w:pStyle w:val="BodyPara"/>
      </w:pPr>
      <w:r w:rsidRPr="00FD274F">
        <w:t>providing drafting precedents to agencies.</w:t>
      </w:r>
    </w:p>
    <w:p w14:paraId="51672A2D" w14:textId="419F9BCF" w:rsidR="0066424A" w:rsidRDefault="008E40D0" w:rsidP="00406FA2">
      <w:pPr>
        <w:pStyle w:val="BodyNum"/>
        <w:sectPr w:rsidR="0066424A" w:rsidSect="00756824">
          <w:headerReference w:type="default" r:id="rId224"/>
          <w:pgSz w:w="11907" w:h="16839" w:code="9"/>
          <w:pgMar w:top="1440" w:right="1440" w:bottom="1418" w:left="1440" w:header="720" w:footer="720" w:gutter="0"/>
          <w:pgNumType w:start="11"/>
          <w:cols w:sep="1" w:space="567"/>
          <w:docGrid w:linePitch="360"/>
        </w:sectPr>
      </w:pPr>
      <w:bookmarkStart w:id="104" w:name="_Ref367446214"/>
      <w:r w:rsidRPr="00FD274F">
        <w:t>This Handbook, issued by the First Parliamentary Counsel, includes important information to assist agencies to improve drafting standards. OP</w:t>
      </w:r>
      <w:r w:rsidRPr="00961F7C">
        <w:t xml:space="preserve">C’s </w:t>
      </w:r>
      <w:hyperlink r:id="rId225" w:history="1">
        <w:r w:rsidRPr="00961F7C">
          <w:rPr>
            <w:rStyle w:val="Hyperlink"/>
          </w:rPr>
          <w:t>Drafting Directions</w:t>
        </w:r>
      </w:hyperlink>
      <w:r w:rsidRPr="00FD274F">
        <w:t xml:space="preserve"> deal comprehensively with the drafting of instruments as well as Bills. </w:t>
      </w:r>
      <w:hyperlink r:id="rId226" w:history="1">
        <w:r w:rsidR="00DD06EE">
          <w:rPr>
            <w:rStyle w:val="Hyperlink"/>
          </w:rPr>
          <w:t>OPC’s Instrument Fact Sheet Series</w:t>
        </w:r>
      </w:hyperlink>
      <w:r w:rsidR="00DD06EE">
        <w:t xml:space="preserve"> provide brief guides and summaries on key considerations for instruments. </w:t>
      </w:r>
      <w:r w:rsidRPr="00FD274F">
        <w:t>OPC is also available on a fee</w:t>
      </w:r>
      <w:r>
        <w:noBreakHyphen/>
      </w:r>
      <w:r w:rsidRPr="00FD274F">
        <w:t>for</w:t>
      </w:r>
      <w:r>
        <w:noBreakHyphen/>
      </w:r>
      <w:r w:rsidRPr="00FD274F">
        <w:t xml:space="preserve">service basis to provide training to agency staff who prepare </w:t>
      </w:r>
      <w:r w:rsidRPr="00FD274F">
        <w:lastRenderedPageBreak/>
        <w:t>legislative instruments.</w:t>
      </w:r>
      <w:bookmarkEnd w:id="104"/>
      <w:r w:rsidRPr="00FD274F">
        <w:t xml:space="preserve"> For further information, please contact </w:t>
      </w:r>
      <w:r>
        <w:t>O</w:t>
      </w:r>
      <w:r w:rsidRPr="00961F7C">
        <w:t>PC’s</w:t>
      </w:r>
      <w:r>
        <w:t xml:space="preserve"> </w:t>
      </w:r>
      <w:hyperlink r:id="rId227" w:history="1">
        <w:r w:rsidR="009467A6">
          <w:rPr>
            <w:rStyle w:val="Hyperlink"/>
          </w:rPr>
          <w:t>instrument client advisers</w:t>
        </w:r>
      </w:hyperlink>
      <w:r>
        <w:t>.</w:t>
      </w:r>
      <w:bookmarkStart w:id="105" w:name="Chapter4"/>
    </w:p>
    <w:p w14:paraId="4A7EF613" w14:textId="4394411E" w:rsidR="0084047D" w:rsidRPr="00FD274F" w:rsidRDefault="0084047D" w:rsidP="00BC14EC">
      <w:pPr>
        <w:pStyle w:val="Head2"/>
      </w:pPr>
      <w:bookmarkStart w:id="106" w:name="_Toc183694665"/>
      <w:r w:rsidRPr="00FD274F">
        <w:lastRenderedPageBreak/>
        <w:t>Chapter 4—</w:t>
      </w:r>
      <w:r w:rsidR="00E94C94" w:rsidRPr="00FD274F">
        <w:t>Lodgement and registration of instruments</w:t>
      </w:r>
      <w:bookmarkEnd w:id="106"/>
    </w:p>
    <w:p w14:paraId="03B31B29" w14:textId="77777777" w:rsidR="0084047D" w:rsidRPr="00FD274F" w:rsidRDefault="00942F8D" w:rsidP="0084047D">
      <w:pPr>
        <w:pStyle w:val="SundryBoxHeadBold"/>
      </w:pPr>
      <w:r>
        <w:t>Main points</w:t>
      </w:r>
    </w:p>
    <w:p w14:paraId="0925A8B9" w14:textId="5919A8DD" w:rsidR="0084047D" w:rsidRDefault="0084047D" w:rsidP="00E94C94">
      <w:pPr>
        <w:pStyle w:val="SundryBoxBullet"/>
      </w:pPr>
      <w:r w:rsidRPr="00FD274F">
        <w:t>•</w:t>
      </w:r>
      <w:r w:rsidRPr="00FD274F">
        <w:tab/>
      </w:r>
      <w:r w:rsidR="00E94C94" w:rsidRPr="00FD274F">
        <w:t xml:space="preserve">An </w:t>
      </w:r>
      <w:r w:rsidRPr="00FD274F">
        <w:t xml:space="preserve">instrument must be lodged for registration as soon as practicable after making, preferably </w:t>
      </w:r>
      <w:r w:rsidR="00E94C94" w:rsidRPr="00FD274F">
        <w:t>with its explanatory statement if required.</w:t>
      </w:r>
    </w:p>
    <w:p w14:paraId="36D23266" w14:textId="04389D1E" w:rsidR="002526E1" w:rsidRDefault="002526E1" w:rsidP="002526E1">
      <w:pPr>
        <w:pStyle w:val="SundryBoxBullet"/>
      </w:pPr>
      <w:r w:rsidRPr="00FD274F">
        <w:t>•</w:t>
      </w:r>
      <w:r w:rsidRPr="00FD274F">
        <w:tab/>
      </w:r>
      <w:bookmarkStart w:id="107" w:name="_Hlk181256906"/>
      <w:r>
        <w:rPr>
          <w:rFonts w:eastAsia="Times New Roman"/>
        </w:rPr>
        <w:t xml:space="preserve">There is limited ability to remove items from the Register </w:t>
      </w:r>
      <w:r w:rsidR="00B26735">
        <w:rPr>
          <w:rFonts w:eastAsia="Times New Roman"/>
        </w:rPr>
        <w:t xml:space="preserve">once registered, </w:t>
      </w:r>
      <w:r>
        <w:rPr>
          <w:rFonts w:eastAsia="Times New Roman"/>
        </w:rPr>
        <w:t xml:space="preserve">so </w:t>
      </w:r>
      <w:r w:rsidR="00560B62">
        <w:rPr>
          <w:rFonts w:eastAsia="Times New Roman"/>
        </w:rPr>
        <w:t xml:space="preserve">agencies should check </w:t>
      </w:r>
      <w:r>
        <w:rPr>
          <w:rFonts w:eastAsia="Times New Roman"/>
        </w:rPr>
        <w:t xml:space="preserve">items carefully </w:t>
      </w:r>
      <w:r w:rsidR="00DA278C">
        <w:rPr>
          <w:rFonts w:eastAsia="Times New Roman"/>
        </w:rPr>
        <w:t>before lodging</w:t>
      </w:r>
      <w:r>
        <w:rPr>
          <w:rFonts w:eastAsia="Times New Roman"/>
        </w:rPr>
        <w:t>.</w:t>
      </w:r>
      <w:bookmarkEnd w:id="107"/>
    </w:p>
    <w:p w14:paraId="04C676DC" w14:textId="77777777" w:rsidR="0084047D" w:rsidRPr="00FD274F" w:rsidRDefault="0084047D" w:rsidP="0084047D">
      <w:pPr>
        <w:pStyle w:val="SundryBoxBullet"/>
      </w:pPr>
      <w:r w:rsidRPr="00FD274F">
        <w:t>•</w:t>
      </w:r>
      <w:r w:rsidRPr="00FD274F">
        <w:tab/>
        <w:t>Registration is not the end of the process—</w:t>
      </w:r>
      <w:r w:rsidR="006734B9" w:rsidRPr="00FD274F">
        <w:t xml:space="preserve">both agencies and OPC are required to take action to ensure that </w:t>
      </w:r>
      <w:r w:rsidR="00A34456" w:rsidRPr="00FD274F">
        <w:t>the Register</w:t>
      </w:r>
      <w:r w:rsidRPr="00FD274F">
        <w:t xml:space="preserve"> remains complete and accurate.</w:t>
      </w:r>
    </w:p>
    <w:p w14:paraId="4CCA8B7F" w14:textId="77777777" w:rsidR="0084047D" w:rsidRPr="00FD274F" w:rsidRDefault="0084047D" w:rsidP="0084047D">
      <w:pPr>
        <w:pStyle w:val="Head3"/>
      </w:pPr>
      <w:bookmarkStart w:id="108" w:name="_Toc183694666"/>
      <w:r w:rsidRPr="00FD274F">
        <w:t>Requirement to lodge instruments with OPC</w:t>
      </w:r>
      <w:bookmarkEnd w:id="108"/>
    </w:p>
    <w:p w14:paraId="689BFC9F" w14:textId="23293529" w:rsidR="00B12E43" w:rsidRDefault="00B12E43" w:rsidP="00B12E43">
      <w:pPr>
        <w:pStyle w:val="BodyNum"/>
      </w:pPr>
      <w:r w:rsidRPr="00FD274F">
        <w:t xml:space="preserve">All instruments must be lodged for registration as soon as practicable after making </w:t>
      </w:r>
      <w:r w:rsidRPr="004B337C">
        <w:t>(</w:t>
      </w:r>
      <w:hyperlink r:id="rId228" w:history="1">
        <w:r w:rsidRPr="004B337C">
          <w:rPr>
            <w:rStyle w:val="Hyperlink"/>
          </w:rPr>
          <w:t>LA</w:t>
        </w:r>
      </w:hyperlink>
      <w:r w:rsidRPr="004B337C">
        <w:t xml:space="preserve"> s 15G).</w:t>
      </w:r>
    </w:p>
    <w:p w14:paraId="168D767F" w14:textId="7DC6B23B" w:rsidR="005F2A7F" w:rsidRDefault="00435C8E" w:rsidP="00B12E43">
      <w:pPr>
        <w:pStyle w:val="BodyNum"/>
      </w:pPr>
      <w:r>
        <w:t>All material lodged for registration will be publicly available</w:t>
      </w:r>
      <w:r w:rsidR="005F2A7F">
        <w:t xml:space="preserve"> and should not be classified as </w:t>
      </w:r>
      <w:r w:rsidR="00EB306A">
        <w:t>OFFICIAL</w:t>
      </w:r>
      <w:r w:rsidR="005F2A7F">
        <w:t>:</w:t>
      </w:r>
      <w:r w:rsidR="00EB306A">
        <w:t xml:space="preserve"> Sensitive </w:t>
      </w:r>
      <w:r w:rsidR="005F2A7F">
        <w:t>or high</w:t>
      </w:r>
      <w:r w:rsidR="00EB306A">
        <w:t>er.</w:t>
      </w:r>
    </w:p>
    <w:p w14:paraId="42E45668" w14:textId="5CCA6CA6" w:rsidR="00435C8E" w:rsidRDefault="00435C8E" w:rsidP="00B12E43">
      <w:pPr>
        <w:pStyle w:val="BodyNum"/>
      </w:pPr>
      <w:r>
        <w:t>Prior to lodging, please ensure that no author details</w:t>
      </w:r>
      <w:r w:rsidR="00533C6C">
        <w:t xml:space="preserve"> or</w:t>
      </w:r>
      <w:r>
        <w:t xml:space="preserve"> personal information </w:t>
      </w:r>
      <w:r w:rsidR="00533C6C">
        <w:t xml:space="preserve">are contained within material </w:t>
      </w:r>
      <w:r w:rsidR="00811736">
        <w:t>to be registered</w:t>
      </w:r>
      <w:r w:rsidR="004F4260">
        <w:t>, including in the document properties</w:t>
      </w:r>
      <w:r w:rsidR="00811736">
        <w:t>.</w:t>
      </w:r>
      <w:r w:rsidR="00052CF3">
        <w:t xml:space="preserve"> If any material lodged for registration contains any </w:t>
      </w:r>
      <w:r w:rsidR="00894CB8">
        <w:t xml:space="preserve">personal </w:t>
      </w:r>
      <w:r w:rsidR="00052CF3">
        <w:t>information</w:t>
      </w:r>
      <w:r w:rsidR="00F16EE7">
        <w:t>, please contact OPC to discuss options before lodging.</w:t>
      </w:r>
    </w:p>
    <w:p w14:paraId="4337407F" w14:textId="77777777" w:rsidR="00B12E43" w:rsidRPr="00FD274F" w:rsidRDefault="00B12E43" w:rsidP="00B12E43">
      <w:pPr>
        <w:pStyle w:val="BodyNum"/>
      </w:pPr>
      <w:r w:rsidRPr="00FD274F">
        <w:t>The steps involved in lodging an instrument f</w:t>
      </w:r>
      <w:r>
        <w:t>or registration are as follows:</w:t>
      </w:r>
    </w:p>
    <w:p w14:paraId="39B20EB8" w14:textId="77777777" w:rsidR="00B12E43" w:rsidRPr="00FD274F" w:rsidRDefault="00B12E43" w:rsidP="00B12E43">
      <w:pPr>
        <w:pStyle w:val="BodyPara"/>
      </w:pPr>
      <w:r w:rsidRPr="00FD274F">
        <w:t xml:space="preserve">create an online </w:t>
      </w:r>
      <w:proofErr w:type="gramStart"/>
      <w:r w:rsidRPr="00FD274F">
        <w:t>lodgement;</w:t>
      </w:r>
      <w:proofErr w:type="gramEnd"/>
    </w:p>
    <w:p w14:paraId="7EEB86BA" w14:textId="77777777" w:rsidR="00B12E43" w:rsidRPr="00FD274F" w:rsidRDefault="00B12E43" w:rsidP="00B12E43">
      <w:pPr>
        <w:pStyle w:val="BodyPara"/>
      </w:pPr>
      <w:r w:rsidRPr="00FD274F">
        <w:t xml:space="preserve">attach the electronic version of the </w:t>
      </w:r>
      <w:proofErr w:type="gramStart"/>
      <w:r w:rsidRPr="00FD274F">
        <w:t>instrument</w:t>
      </w:r>
      <w:r>
        <w:t>;</w:t>
      </w:r>
      <w:proofErr w:type="gramEnd"/>
    </w:p>
    <w:p w14:paraId="2C9C7E44" w14:textId="77777777" w:rsidR="00B12E43" w:rsidRDefault="00B12E43" w:rsidP="00B12E43">
      <w:pPr>
        <w:pStyle w:val="BodyPara"/>
      </w:pPr>
      <w:r>
        <w:t xml:space="preserve">for legislative instruments—attach the explanatory </w:t>
      </w:r>
      <w:proofErr w:type="gramStart"/>
      <w:r>
        <w:t>statement;</w:t>
      </w:r>
      <w:proofErr w:type="gramEnd"/>
    </w:p>
    <w:p w14:paraId="0AA4B160" w14:textId="77777777" w:rsidR="00B12E43" w:rsidRPr="00FD274F" w:rsidRDefault="00B12E43" w:rsidP="00B12E43">
      <w:pPr>
        <w:pStyle w:val="BodyPara"/>
      </w:pPr>
      <w:r w:rsidRPr="00FD274F">
        <w:t xml:space="preserve">if required—attach </w:t>
      </w:r>
      <w:r>
        <w:t xml:space="preserve">other </w:t>
      </w:r>
      <w:proofErr w:type="gramStart"/>
      <w:r>
        <w:t>documents;</w:t>
      </w:r>
      <w:proofErr w:type="gramEnd"/>
    </w:p>
    <w:p w14:paraId="6B356BF7" w14:textId="77777777" w:rsidR="00B12E43" w:rsidRPr="00FD274F" w:rsidRDefault="00B12E43" w:rsidP="00B12E43">
      <w:pPr>
        <w:pStyle w:val="BodyPara"/>
      </w:pPr>
      <w:r w:rsidRPr="00FD274F">
        <w:t xml:space="preserve">certify the online lodgement—this is the final step before OPC can register an </w:t>
      </w:r>
      <w:proofErr w:type="gramStart"/>
      <w:r w:rsidRPr="00FD274F">
        <w:t>instrument, and</w:t>
      </w:r>
      <w:proofErr w:type="gramEnd"/>
      <w:r w:rsidRPr="00FD274F">
        <w:t xml:space="preserve"> should only be taken once an instrument has been made.</w:t>
      </w:r>
    </w:p>
    <w:p w14:paraId="7B7BD67E" w14:textId="5582B50F" w:rsidR="00B12E43" w:rsidRPr="00FD274F" w:rsidRDefault="00B12E43" w:rsidP="00B12E43">
      <w:pPr>
        <w:pStyle w:val="BodyNum"/>
      </w:pPr>
      <w:r>
        <w:t xml:space="preserve">Agencies do not </w:t>
      </w:r>
      <w:r w:rsidRPr="00FD274F">
        <w:t xml:space="preserve">need to lodge original instruments in hard copy, as electronic copies of registered laws and explanatory statements are authorised and taken to be a reliable source of information for the purpose of legal proceedings </w:t>
      </w:r>
      <w:r w:rsidRPr="004B337C">
        <w:t>(</w:t>
      </w:r>
      <w:hyperlink r:id="rId229" w:history="1">
        <w:r w:rsidRPr="004B337C">
          <w:rPr>
            <w:rStyle w:val="Hyperlink"/>
          </w:rPr>
          <w:t>LA</w:t>
        </w:r>
      </w:hyperlink>
      <w:r w:rsidRPr="004B337C">
        <w:t xml:space="preserve"> s 15ZB)</w:t>
      </w:r>
      <w:r w:rsidRPr="00FD274F">
        <w:t xml:space="preserve">. Agencies are, however, expected to manage hard copies in accordance with the </w:t>
      </w:r>
      <w:hyperlink r:id="rId230" w:history="1">
        <w:r w:rsidRPr="00A82ED8">
          <w:rPr>
            <w:rStyle w:val="Hyperlink"/>
            <w:i/>
          </w:rPr>
          <w:t>Archives Act 1983</w:t>
        </w:r>
      </w:hyperlink>
      <w:r w:rsidRPr="00A82ED8">
        <w:t xml:space="preserve"> an</w:t>
      </w:r>
      <w:r w:rsidRPr="00FD274F">
        <w:t xml:space="preserve">d related guidance on the destruction of original records after digitisation </w:t>
      </w:r>
      <w:r w:rsidRPr="00A82ED8">
        <w:t>(see the National Archives of Australia General Records Authority 31(</w:t>
      </w:r>
      <w:hyperlink r:id="rId231" w:history="1">
        <w:r w:rsidRPr="00A82ED8">
          <w:rPr>
            <w:rStyle w:val="Hyperlink"/>
          </w:rPr>
          <w:t>GRA31</w:t>
        </w:r>
      </w:hyperlink>
      <w:r w:rsidRPr="00A82ED8">
        <w:t>)).</w:t>
      </w:r>
    </w:p>
    <w:p w14:paraId="58E0920A" w14:textId="440393A5" w:rsidR="00B12E43" w:rsidRPr="00FD274F" w:rsidRDefault="00B12E43" w:rsidP="00B12E43">
      <w:pPr>
        <w:pStyle w:val="BodyNum"/>
      </w:pPr>
      <w:r w:rsidRPr="00FD274F">
        <w:lastRenderedPageBreak/>
        <w:t xml:space="preserve">Failure to lodge instruments promptly can have significant legal and other consequences, particularly if this results in the instrument commencing retrospectively </w:t>
      </w:r>
      <w:r w:rsidRPr="001E349A">
        <w:t xml:space="preserve">(see paragraphs </w:t>
      </w:r>
      <w:r w:rsidRPr="00A82ED8">
        <w:fldChar w:fldCharType="begin"/>
      </w:r>
      <w:r w:rsidRPr="001E349A">
        <w:instrText xml:space="preserve"> REF _Ref444869799 \r \h  \* MERGEFORMAT </w:instrText>
      </w:r>
      <w:r w:rsidRPr="00A82ED8">
        <w:fldChar w:fldCharType="separate"/>
      </w:r>
      <w:r w:rsidR="00833171">
        <w:t>73</w:t>
      </w:r>
      <w:r w:rsidRPr="00A82ED8">
        <w:fldChar w:fldCharType="end"/>
      </w:r>
      <w:r w:rsidRPr="001E349A">
        <w:t xml:space="preserve"> </w:t>
      </w:r>
      <w:r>
        <w:t>to</w:t>
      </w:r>
      <w:r w:rsidRPr="001E349A">
        <w:t xml:space="preserve"> </w:t>
      </w:r>
      <w:r>
        <w:fldChar w:fldCharType="begin"/>
      </w:r>
      <w:r>
        <w:instrText xml:space="preserve"> REF _Ref112918881 \r \h </w:instrText>
      </w:r>
      <w:r>
        <w:fldChar w:fldCharType="separate"/>
      </w:r>
      <w:r w:rsidR="00833171">
        <w:t>78</w:t>
      </w:r>
      <w:r>
        <w:fldChar w:fldCharType="end"/>
      </w:r>
      <w:r w:rsidRPr="001E349A">
        <w:t>).</w:t>
      </w:r>
    </w:p>
    <w:p w14:paraId="3A4F639F" w14:textId="77777777" w:rsidR="00B12E43" w:rsidRPr="00FD274F" w:rsidRDefault="00B12E43" w:rsidP="00B12E43">
      <w:pPr>
        <w:pStyle w:val="Head4"/>
      </w:pPr>
      <w:bookmarkStart w:id="109" w:name="_Toc183694667"/>
      <w:r w:rsidRPr="00FD274F">
        <w:t>Step 1: Create online lodgement</w:t>
      </w:r>
      <w:bookmarkEnd w:id="109"/>
    </w:p>
    <w:p w14:paraId="12ADAA60" w14:textId="570EA0DF" w:rsidR="00B12E43" w:rsidRPr="00FD274F" w:rsidRDefault="00B12E43" w:rsidP="00B12E43">
      <w:pPr>
        <w:pStyle w:val="BodyNum"/>
      </w:pPr>
      <w:r w:rsidRPr="00FD274F">
        <w:t>A separate online lo</w:t>
      </w:r>
      <w:r w:rsidRPr="00FD274F">
        <w:rPr>
          <w:szCs w:val="24"/>
        </w:rPr>
        <w:t>dgement must be created for e</w:t>
      </w:r>
      <w:r>
        <w:rPr>
          <w:szCs w:val="24"/>
        </w:rPr>
        <w:t>ach</w:t>
      </w:r>
      <w:r w:rsidRPr="00FD274F">
        <w:rPr>
          <w:szCs w:val="24"/>
        </w:rPr>
        <w:t xml:space="preserve"> instrument. This can only be done through the secure lodgement facility at </w:t>
      </w:r>
      <w:hyperlink r:id="rId232" w:history="1">
        <w:r w:rsidRPr="00FD274F">
          <w:rPr>
            <w:rStyle w:val="Hyperlink"/>
            <w:szCs w:val="24"/>
          </w:rPr>
          <w:t>https://lodge.legislation.gov.au</w:t>
        </w:r>
      </w:hyperlink>
      <w:r w:rsidRPr="00FD274F">
        <w:rPr>
          <w:color w:val="1F497D"/>
          <w:szCs w:val="24"/>
        </w:rPr>
        <w:t xml:space="preserve"> </w:t>
      </w:r>
      <w:r w:rsidRPr="00FD274F">
        <w:rPr>
          <w:szCs w:val="24"/>
        </w:rPr>
        <w:t>unless the First Parliamentary Counsel has agreed otherwise</w:t>
      </w:r>
      <w:r w:rsidRPr="00FD274F">
        <w:t xml:space="preserve"> </w:t>
      </w:r>
      <w:r w:rsidRPr="00A82ED8">
        <w:t>(</w:t>
      </w:r>
      <w:hyperlink r:id="rId233" w:history="1">
        <w:r w:rsidRPr="00A82ED8">
          <w:rPr>
            <w:rStyle w:val="Hyperlink"/>
          </w:rPr>
          <w:t>Rule</w:t>
        </w:r>
      </w:hyperlink>
      <w:r w:rsidRPr="00A82ED8">
        <w:t xml:space="preserve"> s 5(2)).</w:t>
      </w:r>
    </w:p>
    <w:p w14:paraId="3FD04CF0" w14:textId="301592D6" w:rsidR="0084047D" w:rsidRPr="00FD274F" w:rsidRDefault="00643B0E" w:rsidP="00CD6FA3">
      <w:pPr>
        <w:pStyle w:val="BodyNum"/>
        <w:keepLines/>
      </w:pPr>
      <w:r w:rsidRPr="00FD274F">
        <w:t xml:space="preserve">Many agencies have a central lodging area for lodgement purposes. </w:t>
      </w:r>
      <w:r>
        <w:t xml:space="preserve">Individuals within each agency require their own log in </w:t>
      </w:r>
      <w:proofErr w:type="gramStart"/>
      <w:r>
        <w:t>details</w:t>
      </w:r>
      <w:proofErr w:type="gramEnd"/>
      <w:r>
        <w:t xml:space="preserve"> for access to the lodgement facility. These are not to be shared between a group or between individuals. </w:t>
      </w:r>
      <w:r w:rsidRPr="00FD274F">
        <w:t xml:space="preserve">If </w:t>
      </w:r>
      <w:r>
        <w:t>you need to request access to the lodgement facility</w:t>
      </w:r>
      <w:r w:rsidRPr="00FD274F">
        <w:t xml:space="preserve">, please </w:t>
      </w:r>
      <w:r w:rsidR="009F68C1">
        <w:t xml:space="preserve">email </w:t>
      </w:r>
      <w:r w:rsidRPr="00FD274F">
        <w:t xml:space="preserve">OPC </w:t>
      </w:r>
      <w:r w:rsidR="009F68C1">
        <w:t xml:space="preserve">at </w:t>
      </w:r>
      <w:hyperlink r:id="rId234" w:history="1">
        <w:hyperlink r:id="rId235" w:history="1">
          <w:r w:rsidRPr="00FD274F">
            <w:rPr>
              <w:rStyle w:val="Hyperlink"/>
              <w:rFonts w:eastAsiaTheme="minorHAnsi"/>
              <w:szCs w:val="24"/>
              <w:lang w:eastAsia="en-US"/>
            </w:rPr>
            <w:t>lodge@legislation.gov.au</w:t>
          </w:r>
        </w:hyperlink>
      </w:hyperlink>
      <w:r w:rsidRPr="00FD274F">
        <w:t>.</w:t>
      </w:r>
      <w:r>
        <w:t xml:space="preserve"> You will need to provide the user’s full name, contact phone number, government email address and the relevant agency/branch.</w:t>
      </w:r>
      <w:r w:rsidRPr="00FD274F">
        <w:t xml:space="preserve"> The lodgement facility also </w:t>
      </w:r>
      <w:r>
        <w:t>provides additional guidance</w:t>
      </w:r>
      <w:r w:rsidRPr="00FD274F">
        <w:t xml:space="preserve"> </w:t>
      </w:r>
      <w:r>
        <w:t>material</w:t>
      </w:r>
      <w:r w:rsidRPr="00FD274F">
        <w:t xml:space="preserve"> to </w:t>
      </w:r>
      <w:r>
        <w:t xml:space="preserve">support </w:t>
      </w:r>
      <w:r w:rsidR="003C659E">
        <w:t xml:space="preserve">users </w:t>
      </w:r>
      <w:r>
        <w:t xml:space="preserve">and </w:t>
      </w:r>
      <w:r w:rsidRPr="00FD274F">
        <w:t>make t</w:t>
      </w:r>
      <w:r>
        <w:t>he lodgement process as easy as possible.</w:t>
      </w:r>
    </w:p>
    <w:p w14:paraId="352477E4" w14:textId="1228B878" w:rsidR="003B4BB6" w:rsidRPr="00FD274F" w:rsidRDefault="00BF5238" w:rsidP="0084047D">
      <w:pPr>
        <w:pStyle w:val="BodyNum"/>
      </w:pPr>
      <w:r w:rsidRPr="00FD274F">
        <w:t>A</w:t>
      </w:r>
      <w:r w:rsidR="0084047D" w:rsidRPr="00FD274F">
        <w:t>s</w:t>
      </w:r>
      <w:r w:rsidRPr="00FD274F">
        <w:t xml:space="preserve"> part of the lodgement process, the lodging agency will need to choose the appropriate lodgement type (that is, </w:t>
      </w:r>
      <w:r w:rsidR="003B4BB6" w:rsidRPr="00FD274F">
        <w:t>legislative instrument or notifiable instrument as discusse</w:t>
      </w:r>
      <w:r w:rsidR="003B4BB6" w:rsidRPr="001E349A">
        <w:t xml:space="preserve">d in </w:t>
      </w:r>
      <w:hyperlink w:anchor="Chapter2" w:history="1">
        <w:r w:rsidR="003B4BB6" w:rsidRPr="001E349A">
          <w:rPr>
            <w:rStyle w:val="Hyperlink"/>
          </w:rPr>
          <w:t>Chapter 2</w:t>
        </w:r>
      </w:hyperlink>
      <w:r w:rsidRPr="001E349A">
        <w:t>) a</w:t>
      </w:r>
      <w:r w:rsidRPr="00FD274F">
        <w:t>nd supply information including:</w:t>
      </w:r>
    </w:p>
    <w:p w14:paraId="70547FEB" w14:textId="21D50A20" w:rsidR="00533178" w:rsidRDefault="00533178" w:rsidP="00CB0C4D">
      <w:pPr>
        <w:pStyle w:val="BodyPara"/>
      </w:pPr>
      <w:r w:rsidRPr="00FD274F">
        <w:t>the name of the instrument</w:t>
      </w:r>
      <w:r w:rsidR="00D64D03">
        <w:t xml:space="preserve"> according to its citation provision</w:t>
      </w:r>
      <w:r>
        <w:t>;</w:t>
      </w:r>
      <w:r w:rsidRPr="00FD274F">
        <w:t xml:space="preserve"> and</w:t>
      </w:r>
    </w:p>
    <w:p w14:paraId="500DC8BF" w14:textId="4BFBAE16" w:rsidR="00CB0C4D" w:rsidRDefault="00CB0C4D" w:rsidP="00CB0C4D">
      <w:pPr>
        <w:pStyle w:val="BodyPara"/>
      </w:pPr>
      <w:r w:rsidRPr="00FD274F">
        <w:t xml:space="preserve">the name and relevant provision of the instrument’s </w:t>
      </w:r>
      <w:r w:rsidR="00210BC1">
        <w:t>authorising</w:t>
      </w:r>
      <w:r w:rsidRPr="00FD274F">
        <w:t xml:space="preserve"> legislation; and</w:t>
      </w:r>
    </w:p>
    <w:p w14:paraId="11527130" w14:textId="2EC6D969" w:rsidR="00160636" w:rsidRPr="00FD274F" w:rsidRDefault="00FF7686" w:rsidP="00CB0C4D">
      <w:pPr>
        <w:pStyle w:val="BodyPara"/>
      </w:pPr>
      <w:r>
        <w:t xml:space="preserve">the </w:t>
      </w:r>
      <w:r w:rsidR="007A0161">
        <w:t>details</w:t>
      </w:r>
      <w:r w:rsidR="00160636" w:rsidRPr="00FD274F">
        <w:t xml:space="preserve"> of any instrument that it affects; and</w:t>
      </w:r>
    </w:p>
    <w:p w14:paraId="3A1FF37C" w14:textId="43D5F25F" w:rsidR="00160636" w:rsidRDefault="00160636" w:rsidP="00CB0C4D">
      <w:pPr>
        <w:pStyle w:val="BodyPara"/>
      </w:pPr>
      <w:r w:rsidRPr="00FD274F">
        <w:t>details of any special requirement e.g. for registration on or before a specified date, or for express or peak period service as discussed i</w:t>
      </w:r>
      <w:r w:rsidRPr="001E349A">
        <w:t xml:space="preserve">n paragraph </w:t>
      </w:r>
      <w:r w:rsidRPr="004849C6">
        <w:fldChar w:fldCharType="begin"/>
      </w:r>
      <w:r w:rsidRPr="001E349A">
        <w:instrText xml:space="preserve"> REF _Ref434314290 \r \h  \* MERGEFORMAT </w:instrText>
      </w:r>
      <w:r w:rsidRPr="004849C6">
        <w:fldChar w:fldCharType="separate"/>
      </w:r>
      <w:r w:rsidR="00833171">
        <w:t>160</w:t>
      </w:r>
      <w:r w:rsidRPr="004849C6">
        <w:fldChar w:fldCharType="end"/>
      </w:r>
      <w:r>
        <w:t>; and</w:t>
      </w:r>
    </w:p>
    <w:p w14:paraId="3584843D" w14:textId="232EA05A" w:rsidR="00CB0C4D" w:rsidRDefault="00CB0C4D" w:rsidP="00CB0C4D">
      <w:pPr>
        <w:pStyle w:val="BodyPara"/>
      </w:pPr>
      <w:r w:rsidRPr="00FD274F">
        <w:t>the name and contact details of a person who can answer questions about th</w:t>
      </w:r>
      <w:r>
        <w:t>e instrument, as well as an alternate contact should OPC be unable to get in touch with the primary contact</w:t>
      </w:r>
      <w:r w:rsidR="00D64D03">
        <w:t>.</w:t>
      </w:r>
    </w:p>
    <w:p w14:paraId="65D26851" w14:textId="49DC3314" w:rsidR="00523652" w:rsidRPr="00FD274F" w:rsidRDefault="00523652" w:rsidP="00CB0C4D">
      <w:pPr>
        <w:pStyle w:val="BodyNum"/>
      </w:pPr>
      <w:r w:rsidRPr="00FD274F">
        <w:t xml:space="preserve">Please ensure that the </w:t>
      </w:r>
      <w:r>
        <w:t xml:space="preserve">contact </w:t>
      </w:r>
      <w:r w:rsidRPr="00FD274F">
        <w:t>person nominated to answer questions about the instrument is familiar with the instrument in question</w:t>
      </w:r>
      <w:r w:rsidR="007B1A77">
        <w:t>, has access to the</w:t>
      </w:r>
      <w:r w:rsidR="00627036">
        <w:t xml:space="preserve"> </w:t>
      </w:r>
      <w:r w:rsidR="00627036" w:rsidRPr="00FD274F">
        <w:rPr>
          <w:szCs w:val="24"/>
        </w:rPr>
        <w:t xml:space="preserve">lodgement facility at </w:t>
      </w:r>
      <w:hyperlink r:id="rId236" w:history="1">
        <w:r w:rsidR="00627036" w:rsidRPr="00FD274F">
          <w:rPr>
            <w:rStyle w:val="Hyperlink"/>
            <w:szCs w:val="24"/>
          </w:rPr>
          <w:t>https://lodge.legislation.gov.au</w:t>
        </w:r>
      </w:hyperlink>
      <w:r w:rsidRPr="00FD274F">
        <w:t>, and provide</w:t>
      </w:r>
      <w:r>
        <w:t>s</w:t>
      </w:r>
      <w:r w:rsidRPr="00FD274F">
        <w:t xml:space="preserve"> their mobile or after</w:t>
      </w:r>
      <w:r>
        <w:noBreakHyphen/>
      </w:r>
      <w:r w:rsidRPr="00FD274F">
        <w:t>hours phone number if express registration is required. Otherwise, if statutory requirements have not been met, it may not be possible for OPC to meet the requir</w:t>
      </w:r>
      <w:r>
        <w:t>ement for express registration.</w:t>
      </w:r>
    </w:p>
    <w:p w14:paraId="14AF8A08" w14:textId="77777777" w:rsidR="0084047D" w:rsidRPr="00FD274F" w:rsidRDefault="003B4BB6" w:rsidP="0084047D">
      <w:pPr>
        <w:pStyle w:val="BodyNum"/>
      </w:pPr>
      <w:r w:rsidRPr="00FD274F">
        <w:t xml:space="preserve">In addition, to </w:t>
      </w:r>
      <w:r w:rsidR="0084047D" w:rsidRPr="00FD274F">
        <w:t>ensure that the instrument is processed appropriately after registration, informati</w:t>
      </w:r>
      <w:r w:rsidRPr="00FD274F">
        <w:t>on must also be provided about:</w:t>
      </w:r>
    </w:p>
    <w:p w14:paraId="0D47EA7A" w14:textId="032836F7" w:rsidR="00224AF5" w:rsidRDefault="00224AF5" w:rsidP="00224AF5">
      <w:pPr>
        <w:pStyle w:val="BodyPara"/>
      </w:pPr>
      <w:r w:rsidRPr="00FD274F">
        <w:t xml:space="preserve">whether the instrument is subject to automatic repeal as discussed in </w:t>
      </w:r>
      <w:r w:rsidRPr="004849C6">
        <w:t xml:space="preserve">paragraphs </w:t>
      </w:r>
      <w:r w:rsidRPr="004849C6">
        <w:fldChar w:fldCharType="begin"/>
      </w:r>
      <w:r w:rsidRPr="004849C6">
        <w:instrText xml:space="preserve"> REF _Ref384703176 \r \h  \* MERGEFORMAT </w:instrText>
      </w:r>
      <w:r w:rsidRPr="004849C6">
        <w:fldChar w:fldCharType="separate"/>
      </w:r>
      <w:r w:rsidR="00833171">
        <w:t>91</w:t>
      </w:r>
      <w:r w:rsidRPr="004849C6">
        <w:fldChar w:fldCharType="end"/>
      </w:r>
      <w:r w:rsidRPr="004849C6">
        <w:t xml:space="preserve"> to </w:t>
      </w:r>
      <w:r w:rsidRPr="004849C6">
        <w:fldChar w:fldCharType="begin"/>
      </w:r>
      <w:r w:rsidRPr="004849C6">
        <w:instrText xml:space="preserve"> REF _Ref384706703 \r \h </w:instrText>
      </w:r>
      <w:r>
        <w:rPr>
          <w:highlight w:val="yellow"/>
        </w:rPr>
        <w:instrText xml:space="preserve"> \* MERGEFORMAT </w:instrText>
      </w:r>
      <w:r w:rsidRPr="004849C6">
        <w:fldChar w:fldCharType="separate"/>
      </w:r>
      <w:r w:rsidR="00833171">
        <w:t>95</w:t>
      </w:r>
      <w:r w:rsidRPr="004849C6">
        <w:fldChar w:fldCharType="end"/>
      </w:r>
      <w:r w:rsidRPr="004849C6">
        <w:t>;</w:t>
      </w:r>
      <w:r>
        <w:t xml:space="preserve"> and</w:t>
      </w:r>
    </w:p>
    <w:p w14:paraId="1AFAF927" w14:textId="77777777" w:rsidR="00224AF5" w:rsidRPr="00FD274F" w:rsidRDefault="00224AF5" w:rsidP="00224AF5">
      <w:pPr>
        <w:pStyle w:val="BodyPara"/>
      </w:pPr>
      <w:r>
        <w:lastRenderedPageBreak/>
        <w:t>whether the instrument or explanatory statement contains meaningful colour; and</w:t>
      </w:r>
    </w:p>
    <w:p w14:paraId="293514CD" w14:textId="77777777" w:rsidR="00224AF5" w:rsidRPr="00FD274F" w:rsidRDefault="00224AF5" w:rsidP="00224AF5">
      <w:pPr>
        <w:pStyle w:val="BodyPara"/>
      </w:pPr>
      <w:r w:rsidRPr="00FD274F">
        <w:t>if it is a legislative instrument—whether it is subject to:</w:t>
      </w:r>
    </w:p>
    <w:p w14:paraId="746BC8D2" w14:textId="0F4CD25B" w:rsidR="00224AF5" w:rsidRPr="00FD274F" w:rsidRDefault="00224AF5" w:rsidP="00224AF5">
      <w:pPr>
        <w:pStyle w:val="BodySubPara"/>
      </w:pPr>
      <w:r w:rsidRPr="00FD274F">
        <w:t>disallowance as discussed i</w:t>
      </w:r>
      <w:r w:rsidRPr="004849C6">
        <w:t xml:space="preserve">n </w:t>
      </w:r>
      <w:hyperlink w:anchor="Chapter9" w:history="1">
        <w:r w:rsidRPr="004849C6">
          <w:rPr>
            <w:rStyle w:val="Hyperlink"/>
          </w:rPr>
          <w:t>Chapter 9</w:t>
        </w:r>
      </w:hyperlink>
      <w:r w:rsidRPr="004849C6">
        <w:t>;</w:t>
      </w:r>
      <w:r w:rsidRPr="00FD274F">
        <w:t xml:space="preserve"> and</w:t>
      </w:r>
    </w:p>
    <w:p w14:paraId="0DB57E75" w14:textId="112E9F0A" w:rsidR="003B4BB6" w:rsidRPr="00FD274F" w:rsidRDefault="00224AF5" w:rsidP="00224AF5">
      <w:pPr>
        <w:pStyle w:val="BodySubPara"/>
      </w:pPr>
      <w:r w:rsidRPr="00FD274F">
        <w:t xml:space="preserve">sunsetting as discussed in </w:t>
      </w:r>
      <w:hyperlink w:anchor="Chapter10" w:history="1">
        <w:r w:rsidRPr="004849C6">
          <w:rPr>
            <w:rStyle w:val="Hyperlink"/>
          </w:rPr>
          <w:t>Chapter 10</w:t>
        </w:r>
      </w:hyperlink>
      <w:r w:rsidRPr="004849C6">
        <w:t>.</w:t>
      </w:r>
    </w:p>
    <w:p w14:paraId="06C10F19" w14:textId="176F1C6C" w:rsidR="0084047D" w:rsidRPr="00FD274F" w:rsidRDefault="0084047D" w:rsidP="0084047D">
      <w:pPr>
        <w:pStyle w:val="Head4"/>
      </w:pPr>
      <w:bookmarkStart w:id="110" w:name="_Toc183694668"/>
      <w:r w:rsidRPr="00FD274F">
        <w:t>Step 2: Attach electronic version of instrument</w:t>
      </w:r>
      <w:bookmarkEnd w:id="110"/>
    </w:p>
    <w:p w14:paraId="17408811" w14:textId="3C82B8CC" w:rsidR="00057E55" w:rsidRDefault="007E3EEF" w:rsidP="00447F78">
      <w:pPr>
        <w:pStyle w:val="BodyNum"/>
      </w:pPr>
      <w:r>
        <w:t>Prior to attaching, p</w:t>
      </w:r>
      <w:r w:rsidR="008B6A06">
        <w:t>lease e</w:t>
      </w:r>
      <w:r w:rsidR="00057E55">
        <w:t xml:space="preserve">nsure </w:t>
      </w:r>
      <w:r w:rsidR="008B6A06">
        <w:t xml:space="preserve">that the </w:t>
      </w:r>
      <w:r w:rsidR="00057E55">
        <w:t xml:space="preserve">electronic version of the instrument is </w:t>
      </w:r>
      <w:r w:rsidR="008B6A06">
        <w:t xml:space="preserve">an </w:t>
      </w:r>
      <w:r w:rsidR="008B6A06" w:rsidRPr="009E45AF">
        <w:t>exact copy</w:t>
      </w:r>
      <w:r w:rsidR="008B6A06">
        <w:t xml:space="preserve"> of the instrument as made by the rule-maker and includes any annotations made on the instrument by the rule-maker</w:t>
      </w:r>
      <w:r>
        <w:t>, including the making date.</w:t>
      </w:r>
      <w:r w:rsidR="000A7EEE">
        <w:t xml:space="preserve"> Where the rule-maker has used strikethrough to indicate the deletion of text, </w:t>
      </w:r>
      <w:r w:rsidR="00447F78">
        <w:t xml:space="preserve">that </w:t>
      </w:r>
      <w:r w:rsidR="000A7EEE">
        <w:t>text should not be included in the electronic version of the instrument</w:t>
      </w:r>
      <w:r w:rsidR="00333E36">
        <w:t>.</w:t>
      </w:r>
    </w:p>
    <w:p w14:paraId="653CCCD0" w14:textId="3A500974" w:rsidR="00180A24" w:rsidRPr="00FD274F" w:rsidRDefault="007E3EEF" w:rsidP="00BE52DD">
      <w:pPr>
        <w:pStyle w:val="BodyNum"/>
      </w:pPr>
      <w:r>
        <w:t>Please a</w:t>
      </w:r>
      <w:r w:rsidR="0084047D" w:rsidRPr="00FD274F">
        <w:t>ttach (upload) an electronic copy of the instrument as made to the online lodgement form.</w:t>
      </w:r>
      <w:r w:rsidR="00180A24" w:rsidRPr="00FD274F">
        <w:t xml:space="preserve"> The </w:t>
      </w:r>
      <w:r w:rsidR="00AD5556" w:rsidRPr="00FD274F">
        <w:t xml:space="preserve">electronic </w:t>
      </w:r>
      <w:r w:rsidR="00180A24" w:rsidRPr="00FD274F">
        <w:t>file:</w:t>
      </w:r>
    </w:p>
    <w:p w14:paraId="688A30FC" w14:textId="4497FC07" w:rsidR="0084047D" w:rsidRDefault="00180A24" w:rsidP="00DC5A4F">
      <w:pPr>
        <w:pStyle w:val="BodyPara"/>
        <w:tabs>
          <w:tab w:val="left" w:pos="7655"/>
        </w:tabs>
      </w:pPr>
      <w:r w:rsidRPr="00FD274F">
        <w:t>must be in .rtf, .doc or .docx format</w:t>
      </w:r>
      <w:r w:rsidR="008F008B">
        <w:t xml:space="preserve">, </w:t>
      </w:r>
      <w:r w:rsidRPr="00FD274F">
        <w:t xml:space="preserve">unless the First Parliamentary Counsel has agreed to some other format </w:t>
      </w:r>
      <w:r w:rsidR="00CE6E8A" w:rsidRPr="00FD274F">
        <w:t>(</w:t>
      </w:r>
      <w:r w:rsidR="00CE6E8A" w:rsidRPr="004532FE">
        <w:t xml:space="preserve">see </w:t>
      </w:r>
      <w:hyperlink r:id="rId237" w:history="1">
        <w:r w:rsidR="00CE6E8A" w:rsidRPr="004532FE">
          <w:rPr>
            <w:rStyle w:val="Hyperlink"/>
          </w:rPr>
          <w:t>Rule</w:t>
        </w:r>
      </w:hyperlink>
      <w:r w:rsidR="00CE6E8A" w:rsidRPr="004532FE">
        <w:t xml:space="preserve"> s 5(3))</w:t>
      </w:r>
      <w:r w:rsidR="00942F8D" w:rsidRPr="004532FE">
        <w:t>; a</w:t>
      </w:r>
      <w:r w:rsidR="00942F8D">
        <w:t>nd</w:t>
      </w:r>
    </w:p>
    <w:p w14:paraId="461DDCF5" w14:textId="331BF365" w:rsidR="008F008B" w:rsidRPr="00FD274F" w:rsidRDefault="008F008B" w:rsidP="008F008B">
      <w:pPr>
        <w:pStyle w:val="noteToPara"/>
        <w:ind w:left="1429"/>
      </w:pPr>
      <w:r w:rsidRPr="00FD274F">
        <w:t>Note:</w:t>
      </w:r>
      <w:r w:rsidRPr="00FD274F">
        <w:tab/>
      </w:r>
      <w:r>
        <w:t>Our preferred format is .docx.</w:t>
      </w:r>
    </w:p>
    <w:p w14:paraId="6FA5B263" w14:textId="15AC77A1" w:rsidR="00224AF5" w:rsidRDefault="00224AF5" w:rsidP="00224AF5">
      <w:pPr>
        <w:pStyle w:val="BodyPara"/>
      </w:pPr>
      <w:r w:rsidRPr="00FD274F">
        <w:t xml:space="preserve">must not contain macros, fields or other dynamic content that may interfere with the content of the document </w:t>
      </w:r>
      <w:r w:rsidR="00CE6E8A" w:rsidRPr="00FD274F">
        <w:t>(se</w:t>
      </w:r>
      <w:r w:rsidR="00CE6E8A" w:rsidRPr="004532FE">
        <w:t xml:space="preserve">e </w:t>
      </w:r>
      <w:hyperlink r:id="rId238" w:history="1">
        <w:r w:rsidR="00CE6E8A" w:rsidRPr="004532FE">
          <w:rPr>
            <w:rStyle w:val="Hyperlink"/>
          </w:rPr>
          <w:t>Rule</w:t>
        </w:r>
      </w:hyperlink>
      <w:r w:rsidR="00CE6E8A" w:rsidRPr="004532FE">
        <w:t xml:space="preserve"> s 5(4))</w:t>
      </w:r>
      <w:r>
        <w:t>; and</w:t>
      </w:r>
    </w:p>
    <w:p w14:paraId="5C43BB6B" w14:textId="77777777" w:rsidR="00EA4D09" w:rsidRDefault="00224AF5" w:rsidP="00224AF5">
      <w:pPr>
        <w:pStyle w:val="BodyPara"/>
      </w:pPr>
      <w:r>
        <w:t>must include alternative text on all images</w:t>
      </w:r>
      <w:r w:rsidR="00EA4D09">
        <w:t>; and</w:t>
      </w:r>
    </w:p>
    <w:p w14:paraId="42B968DD" w14:textId="28287C62" w:rsidR="00224AF5" w:rsidRPr="00FD274F" w:rsidRDefault="00EA4D09" w:rsidP="00224AF5">
      <w:pPr>
        <w:pStyle w:val="BodyPara"/>
      </w:pPr>
      <w:r>
        <w:t xml:space="preserve">must not contain </w:t>
      </w:r>
      <w:r w:rsidR="00375659">
        <w:t xml:space="preserve">any </w:t>
      </w:r>
      <w:r w:rsidR="00301AFB">
        <w:t>personal information</w:t>
      </w:r>
      <w:r w:rsidR="00224AF5">
        <w:t>.</w:t>
      </w:r>
    </w:p>
    <w:p w14:paraId="2AA59FA2" w14:textId="5D244CF4" w:rsidR="002955C5" w:rsidRPr="00FD274F" w:rsidRDefault="002955C5" w:rsidP="002955C5">
      <w:pPr>
        <w:pStyle w:val="BodyNum"/>
      </w:pPr>
      <w:r>
        <w:t>Once registered, an instrument cannot be removed from the Register</w:t>
      </w:r>
      <w:r w:rsidR="00655E01">
        <w:t>, so it is important that any material lodged for registration is appropriate for public access</w:t>
      </w:r>
      <w:r>
        <w:t>.</w:t>
      </w:r>
    </w:p>
    <w:p w14:paraId="6D00DB00" w14:textId="77777777" w:rsidR="00B30E8A" w:rsidRPr="00FD274F" w:rsidRDefault="00B30E8A" w:rsidP="00B30E8A">
      <w:pPr>
        <w:pStyle w:val="Head4"/>
      </w:pPr>
      <w:bookmarkStart w:id="111" w:name="_Toc183694669"/>
      <w:r w:rsidRPr="00FD274F">
        <w:t>Step 3: If required—attach explanatory statement or other documents</w:t>
      </w:r>
      <w:bookmarkEnd w:id="111"/>
    </w:p>
    <w:p w14:paraId="54DE84C9" w14:textId="77777777" w:rsidR="00180A24" w:rsidRPr="00FD274F" w:rsidRDefault="00E527DB" w:rsidP="00B30E8A">
      <w:pPr>
        <w:pStyle w:val="BodyNum"/>
      </w:pPr>
      <w:r>
        <w:t xml:space="preserve">The explanatory statement </w:t>
      </w:r>
      <w:r w:rsidR="001524E7">
        <w:t xml:space="preserve">and any supporting material </w:t>
      </w:r>
      <w:r w:rsidR="00B30E8A" w:rsidRPr="00FD274F">
        <w:t xml:space="preserve">for the instrument </w:t>
      </w:r>
      <w:r w:rsidR="00A34456" w:rsidRPr="00FD274F">
        <w:t>should</w:t>
      </w:r>
      <w:r w:rsidR="00B30E8A" w:rsidRPr="00FD274F">
        <w:t xml:space="preserve"> also be attached (uploaded) to the online lodgement form. As with instruments, t</w:t>
      </w:r>
      <w:r w:rsidR="00180A24" w:rsidRPr="00FD274F">
        <w:t>hese documents:</w:t>
      </w:r>
    </w:p>
    <w:p w14:paraId="77990189" w14:textId="14762239" w:rsidR="00180A24" w:rsidRPr="00FD274F" w:rsidRDefault="00180A24" w:rsidP="00180A24">
      <w:pPr>
        <w:pStyle w:val="BodyPara"/>
      </w:pPr>
      <w:r w:rsidRPr="00FD274F">
        <w:t>must be in .rtf, .doc or .docx format</w:t>
      </w:r>
      <w:r w:rsidR="008F008B">
        <w:t>,</w:t>
      </w:r>
      <w:r w:rsidRPr="00FD274F">
        <w:t xml:space="preserve"> unless the First Parliamentary Counsel has agreed to some other forma</w:t>
      </w:r>
      <w:r w:rsidRPr="004532FE">
        <w:t xml:space="preserve">t </w:t>
      </w:r>
      <w:r w:rsidR="00CE6E8A" w:rsidRPr="004532FE">
        <w:t xml:space="preserve">(see </w:t>
      </w:r>
      <w:hyperlink r:id="rId239" w:history="1">
        <w:r w:rsidR="00CE6E8A" w:rsidRPr="004532FE">
          <w:rPr>
            <w:rStyle w:val="Hyperlink"/>
          </w:rPr>
          <w:t>Rule</w:t>
        </w:r>
      </w:hyperlink>
      <w:r w:rsidR="00CE6E8A" w:rsidRPr="004532FE">
        <w:t xml:space="preserve"> s 5(3))</w:t>
      </w:r>
      <w:r w:rsidR="00942F8D" w:rsidRPr="004532FE">
        <w:t>; and</w:t>
      </w:r>
    </w:p>
    <w:p w14:paraId="0074D63D" w14:textId="77777777" w:rsidR="008F008B" w:rsidRPr="00FD274F" w:rsidRDefault="008F008B" w:rsidP="008F008B">
      <w:pPr>
        <w:pStyle w:val="noteToPara"/>
        <w:ind w:left="1429"/>
      </w:pPr>
      <w:r w:rsidRPr="00FD274F">
        <w:t>Note:</w:t>
      </w:r>
      <w:r w:rsidRPr="00FD274F">
        <w:tab/>
      </w:r>
      <w:r>
        <w:t>Our preferred format is .docx.</w:t>
      </w:r>
    </w:p>
    <w:p w14:paraId="35A9E561" w14:textId="130BAA2B" w:rsidR="00224AF5" w:rsidRDefault="00224AF5" w:rsidP="00224AF5">
      <w:pPr>
        <w:pStyle w:val="BodyPara"/>
      </w:pPr>
      <w:r w:rsidRPr="00FD274F">
        <w:t xml:space="preserve">must not contain macros, fields or other dynamic content that may interfere with the content of the document </w:t>
      </w:r>
      <w:r w:rsidR="00CE6E8A" w:rsidRPr="00FD274F">
        <w:t>(</w:t>
      </w:r>
      <w:r w:rsidR="00CE6E8A" w:rsidRPr="004532FE">
        <w:t xml:space="preserve">see </w:t>
      </w:r>
      <w:hyperlink r:id="rId240" w:history="1">
        <w:r w:rsidR="00CE6E8A" w:rsidRPr="004532FE">
          <w:rPr>
            <w:rStyle w:val="Hyperlink"/>
          </w:rPr>
          <w:t>Rule</w:t>
        </w:r>
      </w:hyperlink>
      <w:r w:rsidR="00CE6E8A" w:rsidRPr="004532FE">
        <w:t xml:space="preserve"> s 5(4))</w:t>
      </w:r>
      <w:r>
        <w:t>; and</w:t>
      </w:r>
    </w:p>
    <w:p w14:paraId="007185BF" w14:textId="77777777" w:rsidR="00375659" w:rsidRDefault="00224AF5" w:rsidP="00224AF5">
      <w:pPr>
        <w:pStyle w:val="BodyPara"/>
      </w:pPr>
      <w:r>
        <w:t>must include alternative text on all images</w:t>
      </w:r>
      <w:r w:rsidR="00375659">
        <w:t>; and</w:t>
      </w:r>
    </w:p>
    <w:p w14:paraId="51D19B0B" w14:textId="786B7590" w:rsidR="00224AF5" w:rsidRPr="00FD274F" w:rsidRDefault="00375659" w:rsidP="00224AF5">
      <w:pPr>
        <w:pStyle w:val="BodyPara"/>
      </w:pPr>
      <w:r>
        <w:t>must not contain any personal information</w:t>
      </w:r>
      <w:r w:rsidR="00224AF5">
        <w:t>.</w:t>
      </w:r>
    </w:p>
    <w:p w14:paraId="5C590649" w14:textId="418BF5B5" w:rsidR="00CE6E8A" w:rsidRDefault="00CE6E8A" w:rsidP="00CE6E8A">
      <w:pPr>
        <w:pStyle w:val="BodyNum"/>
      </w:pPr>
      <w:r>
        <w:lastRenderedPageBreak/>
        <w:t xml:space="preserve">The Register may contain additional documents if First Parliamentary Counsel considers that the documents are likely to be useful to users of the Register </w:t>
      </w:r>
      <w:r w:rsidRPr="00F74531">
        <w:t xml:space="preserve">(see </w:t>
      </w:r>
      <w:hyperlink r:id="rId241" w:history="1">
        <w:r w:rsidRPr="00F74531">
          <w:rPr>
            <w:rStyle w:val="Hyperlink"/>
          </w:rPr>
          <w:t>LA</w:t>
        </w:r>
      </w:hyperlink>
      <w:r w:rsidRPr="00F74531">
        <w:t xml:space="preserve"> s 15A(3)). An</w:t>
      </w:r>
      <w:r>
        <w:t>y supporting material should be appropriate to publish and likely to be useful to users of the Register. Administrative documents such as briefs to Ministers are not appropriate to be included as supporting material.</w:t>
      </w:r>
    </w:p>
    <w:p w14:paraId="3CD5F39A" w14:textId="77777777" w:rsidR="00A34456" w:rsidRPr="00FD274F" w:rsidRDefault="00A34456" w:rsidP="00A34456">
      <w:pPr>
        <w:pStyle w:val="BodyNum"/>
      </w:pPr>
      <w:r w:rsidRPr="00FD274F">
        <w:t>If the explanatory statement is not yet available, details of when the explanatory statement is likely to be available should be noted in the special requirements field.</w:t>
      </w:r>
    </w:p>
    <w:p w14:paraId="76EF37EE" w14:textId="77777777" w:rsidR="0084047D" w:rsidRPr="00FD274F" w:rsidRDefault="0084047D" w:rsidP="0084047D">
      <w:pPr>
        <w:pStyle w:val="Head4"/>
      </w:pPr>
      <w:bookmarkStart w:id="112" w:name="_Toc183694670"/>
      <w:r w:rsidRPr="00FD274F">
        <w:t xml:space="preserve">Step </w:t>
      </w:r>
      <w:r w:rsidR="00B30E8A" w:rsidRPr="00FD274F">
        <w:t>4</w:t>
      </w:r>
      <w:r w:rsidRPr="00FD274F">
        <w:t>: Certify the online lodgement</w:t>
      </w:r>
      <w:bookmarkEnd w:id="112"/>
    </w:p>
    <w:p w14:paraId="52418F42" w14:textId="592F521F" w:rsidR="0081626B" w:rsidRDefault="0084047D" w:rsidP="0084047D">
      <w:pPr>
        <w:pStyle w:val="BodyNum"/>
      </w:pPr>
      <w:r w:rsidRPr="00FD274F">
        <w:t xml:space="preserve">All lodgements must be certified as complete and accurate </w:t>
      </w:r>
      <w:r w:rsidR="0081626B" w:rsidRPr="00FD274F">
        <w:t xml:space="preserve">by the lodging agency </w:t>
      </w:r>
      <w:r w:rsidR="00853F83">
        <w:t>as part of the lodgement process</w:t>
      </w:r>
      <w:r w:rsidR="00942F8D">
        <w:t>.</w:t>
      </w:r>
    </w:p>
    <w:p w14:paraId="3821C319" w14:textId="282FD336" w:rsidR="0084047D" w:rsidRPr="00FD274F" w:rsidRDefault="0081626B" w:rsidP="0084047D">
      <w:pPr>
        <w:pStyle w:val="BodyNum"/>
      </w:pPr>
      <w:r w:rsidRPr="00FD274F">
        <w:t xml:space="preserve">As part of </w:t>
      </w:r>
      <w:r w:rsidR="0084047D" w:rsidRPr="00FD274F">
        <w:t>certifying a lodgement, the agency should check the lodgement</w:t>
      </w:r>
      <w:r w:rsidR="00B30E8A" w:rsidRPr="00FD274F">
        <w:t xml:space="preserve"> and all attachments carefully against the original documents.</w:t>
      </w:r>
      <w:r w:rsidRPr="00FD274F">
        <w:t xml:space="preserve"> It is </w:t>
      </w:r>
      <w:r w:rsidR="0084047D" w:rsidRPr="00FD274F">
        <w:t xml:space="preserve">particularly important to check the electronic </w:t>
      </w:r>
      <w:r w:rsidR="003137D3">
        <w:t>copy</w:t>
      </w:r>
      <w:r w:rsidR="0084047D" w:rsidRPr="00FD274F">
        <w:t xml:space="preserve"> of the instrument against the instrument as made</w:t>
      </w:r>
      <w:r w:rsidR="006772E1">
        <w:t xml:space="preserve"> to ensure that the text </w:t>
      </w:r>
      <w:r w:rsidR="00375779">
        <w:t>is the same in both versions</w:t>
      </w:r>
      <w:r w:rsidRPr="00FD274F">
        <w:t xml:space="preserve">. As part of </w:t>
      </w:r>
      <w:r w:rsidR="00180A24" w:rsidRPr="00FD274F">
        <w:t>this</w:t>
      </w:r>
      <w:r w:rsidR="00E86ABB">
        <w:t xml:space="preserve">, </w:t>
      </w:r>
      <w:r w:rsidR="00E86ABB" w:rsidRPr="00FD274F">
        <w:t>the following must be included in the electronic copy</w:t>
      </w:r>
      <w:r w:rsidR="000F7A1A">
        <w:t>:</w:t>
      </w:r>
    </w:p>
    <w:p w14:paraId="72AB2DC9" w14:textId="6BFA0C0B" w:rsidR="000F7A1A" w:rsidRDefault="00E86ABB" w:rsidP="000F7A1A">
      <w:pPr>
        <w:pStyle w:val="BodyPara"/>
      </w:pPr>
      <w:r w:rsidRPr="00FD274F">
        <w:t>anything written by the rule</w:t>
      </w:r>
      <w:r>
        <w:noBreakHyphen/>
      </w:r>
      <w:r w:rsidRPr="00FD274F">
        <w:t xml:space="preserve">maker on the original </w:t>
      </w:r>
      <w:proofErr w:type="gramStart"/>
      <w:r w:rsidRPr="00FD274F">
        <w:t>instrument;</w:t>
      </w:r>
      <w:proofErr w:type="gramEnd"/>
    </w:p>
    <w:p w14:paraId="72ACF755" w14:textId="4725265B" w:rsidR="000D0103" w:rsidRDefault="000D0103" w:rsidP="000F7A1A">
      <w:pPr>
        <w:pStyle w:val="BodyPara"/>
      </w:pPr>
      <w:r>
        <w:t>tracked changes</w:t>
      </w:r>
      <w:r w:rsidR="002B78E4">
        <w:t>, revisions or strikethrough</w:t>
      </w:r>
      <w:r>
        <w:t>, approved by the rule-maker</w:t>
      </w:r>
      <w:r w:rsidR="00B00BB6">
        <w:t xml:space="preserve">, </w:t>
      </w:r>
      <w:r>
        <w:t xml:space="preserve">accepted </w:t>
      </w:r>
      <w:r w:rsidR="00230ECB">
        <w:t xml:space="preserve">to appear as normal </w:t>
      </w:r>
      <w:proofErr w:type="gramStart"/>
      <w:r w:rsidR="00230ECB">
        <w:t>text</w:t>
      </w:r>
      <w:r>
        <w:t>;</w:t>
      </w:r>
      <w:proofErr w:type="gramEnd"/>
    </w:p>
    <w:p w14:paraId="05516BA0" w14:textId="77777777" w:rsidR="00E86ABB" w:rsidRDefault="00E86ABB" w:rsidP="00354A1C">
      <w:pPr>
        <w:pStyle w:val="BodyPara"/>
      </w:pPr>
      <w:r w:rsidRPr="00FD274F">
        <w:t>anything written on the original instrument by someone else before the rule</w:t>
      </w:r>
      <w:r>
        <w:noBreakHyphen/>
      </w:r>
      <w:r w:rsidRPr="00FD274F">
        <w:t xml:space="preserve">maker signed the </w:t>
      </w:r>
      <w:proofErr w:type="gramStart"/>
      <w:r w:rsidRPr="00FD274F">
        <w:t>instrument;</w:t>
      </w:r>
      <w:proofErr w:type="gramEnd"/>
    </w:p>
    <w:p w14:paraId="522D42DC" w14:textId="77777777" w:rsidR="00E86ABB" w:rsidRDefault="00E86ABB" w:rsidP="00354A1C">
      <w:pPr>
        <w:pStyle w:val="BodyPara"/>
      </w:pPr>
      <w:r w:rsidRPr="00FD274F">
        <w:t xml:space="preserve">any date given in the signed instrument as the date of </w:t>
      </w:r>
      <w:proofErr w:type="gramStart"/>
      <w:r w:rsidRPr="00FD274F">
        <w:t>making;</w:t>
      </w:r>
      <w:proofErr w:type="gramEnd"/>
    </w:p>
    <w:p w14:paraId="7E6349A0" w14:textId="371D8CFF" w:rsidR="000D0103" w:rsidRDefault="00E86ABB" w:rsidP="000D0103">
      <w:pPr>
        <w:pStyle w:val="BodyPara"/>
      </w:pPr>
      <w:r w:rsidRPr="00FD274F">
        <w:t>the name as signed of each maker of the instrument and each other person who signed the instrument as made (e.g. a person who witnessed the rule</w:t>
      </w:r>
      <w:r>
        <w:noBreakHyphen/>
      </w:r>
      <w:r w:rsidRPr="00FD274F">
        <w:t>maker’s signature)</w:t>
      </w:r>
      <w:r w:rsidR="000D0103">
        <w:t>.</w:t>
      </w:r>
    </w:p>
    <w:p w14:paraId="424A04DC" w14:textId="0EE98E6C" w:rsidR="003F5180" w:rsidRDefault="0084047D" w:rsidP="00B30E8A">
      <w:pPr>
        <w:pStyle w:val="BodyNum"/>
      </w:pPr>
      <w:r w:rsidRPr="00FD274F">
        <w:t>It is generally not necessary for the electronic form of the instrument to include a scan of the rule</w:t>
      </w:r>
      <w:r w:rsidR="009C4251">
        <w:noBreakHyphen/>
      </w:r>
      <w:r w:rsidRPr="00FD274F">
        <w:t xml:space="preserve">maker’s </w:t>
      </w:r>
      <w:proofErr w:type="gramStart"/>
      <w:r w:rsidRPr="00FD274F">
        <w:t>signature</w:t>
      </w:r>
      <w:proofErr w:type="gramEnd"/>
      <w:r w:rsidRPr="00FD274F">
        <w:t xml:space="preserve"> or the notation “signed”.</w:t>
      </w:r>
      <w:r w:rsidR="00D863D2">
        <w:t xml:space="preserve"> It should be clear from the text that the instrument has in fact been signed.</w:t>
      </w:r>
      <w:r w:rsidRPr="00FD274F">
        <w:t xml:space="preserve"> </w:t>
      </w:r>
      <w:r w:rsidR="0069472E">
        <w:t xml:space="preserve">OPC does not </w:t>
      </w:r>
      <w:r w:rsidR="00C629A8">
        <w:t xml:space="preserve">require you </w:t>
      </w:r>
      <w:r w:rsidR="00D863D2">
        <w:t xml:space="preserve">to </w:t>
      </w:r>
      <w:r w:rsidR="00C629A8">
        <w:t xml:space="preserve">produce </w:t>
      </w:r>
      <w:r w:rsidR="00FA17EE">
        <w:t xml:space="preserve">the </w:t>
      </w:r>
      <w:r w:rsidR="0069472E">
        <w:t>signed instrument</w:t>
      </w:r>
      <w:r w:rsidR="00C629A8">
        <w:t xml:space="preserve"> as a matter of course. However, if there are questions or concerns, </w:t>
      </w:r>
      <w:r w:rsidR="003C673C">
        <w:t xml:space="preserve">you </w:t>
      </w:r>
      <w:r w:rsidR="00C629A8">
        <w:t>may be asked to provide it</w:t>
      </w:r>
      <w:r w:rsidR="003C673C">
        <w:t xml:space="preserve"> to assist in clarifying the issue to be resolved</w:t>
      </w:r>
      <w:r w:rsidR="00C629A8">
        <w:t>.</w:t>
      </w:r>
    </w:p>
    <w:p w14:paraId="1060A744" w14:textId="77777777" w:rsidR="001C63D8" w:rsidRPr="001C63D8" w:rsidRDefault="001C63D8" w:rsidP="001C63D8">
      <w:pPr>
        <w:pStyle w:val="BodyNum"/>
      </w:pPr>
      <w:bookmarkStart w:id="113" w:name="_Ref81732483"/>
      <w:r w:rsidRPr="001C63D8">
        <w:t>To deal with instruments that have been made by applying an electronic signature, the person lodging the instrument for registration must certify that the rule-maker applied their signature personally. At a minimum, there should be evidence that the signature was applied personally by the rule-maker, such as:</w:t>
      </w:r>
      <w:bookmarkEnd w:id="113"/>
    </w:p>
    <w:p w14:paraId="66FDA1AF" w14:textId="77777777" w:rsidR="001C63D8" w:rsidRPr="001C63D8" w:rsidRDefault="001C63D8" w:rsidP="001C63D8">
      <w:pPr>
        <w:pStyle w:val="BodyPara"/>
      </w:pPr>
      <w:r>
        <w:t>d</w:t>
      </w:r>
      <w:r w:rsidRPr="001C63D8">
        <w:t>ocumentary evidence from a person who witnessed (or virtually witnessed) the signature being personally applied to the instrument by the rule-maker; or</w:t>
      </w:r>
    </w:p>
    <w:p w14:paraId="2B30A971" w14:textId="77777777" w:rsidR="001C63D8" w:rsidRPr="001C63D8" w:rsidRDefault="001C63D8" w:rsidP="001C63D8">
      <w:pPr>
        <w:pStyle w:val="BodyPara"/>
      </w:pPr>
      <w:r>
        <w:t>e</w:t>
      </w:r>
      <w:r w:rsidRPr="001C63D8">
        <w:t>vidence that the rule-maker’s electronic signature is locked in such a way that only the rule-maker can access and apply it.</w:t>
      </w:r>
    </w:p>
    <w:p w14:paraId="4A885995" w14:textId="483FC784" w:rsidR="0084047D" w:rsidRPr="00FD274F" w:rsidRDefault="0084047D" w:rsidP="0084047D">
      <w:pPr>
        <w:pStyle w:val="BodyNum"/>
      </w:pPr>
      <w:r w:rsidRPr="00FD274F">
        <w:lastRenderedPageBreak/>
        <w:t>It is important to take the certification requirement seriously, and to check each document attached to a submission. Submitting incorrect information may be a breach of the A</w:t>
      </w:r>
      <w:r w:rsidRPr="004532FE">
        <w:t>PS Code of Conduct</w:t>
      </w:r>
      <w:r w:rsidRPr="004532FE">
        <w:rPr>
          <w:rStyle w:val="FootnoteReference"/>
        </w:rPr>
        <w:footnoteReference w:id="16"/>
      </w:r>
      <w:r w:rsidRPr="004532FE">
        <w:t>, a</w:t>
      </w:r>
      <w:r w:rsidRPr="00FD274F">
        <w:t xml:space="preserve">nd can have serious consequences for an agency and for government policy (see </w:t>
      </w:r>
      <w:r w:rsidRPr="001414D9">
        <w:t xml:space="preserve">paragraphs </w:t>
      </w:r>
      <w:r w:rsidR="00D90E09" w:rsidRPr="00F74531">
        <w:fldChar w:fldCharType="begin"/>
      </w:r>
      <w:r w:rsidR="00D90E09" w:rsidRPr="001414D9">
        <w:instrText xml:space="preserve"> REF _Ref442361469 \r \h </w:instrText>
      </w:r>
      <w:r w:rsidR="00F308D0" w:rsidRPr="001414D9">
        <w:instrText xml:space="preserve"> \* MERGEFORMAT </w:instrText>
      </w:r>
      <w:r w:rsidR="00D90E09" w:rsidRPr="00F74531">
        <w:fldChar w:fldCharType="separate"/>
      </w:r>
      <w:r w:rsidR="00833171">
        <w:t>223</w:t>
      </w:r>
      <w:r w:rsidR="00D90E09" w:rsidRPr="00F74531">
        <w:fldChar w:fldCharType="end"/>
      </w:r>
      <w:r w:rsidR="0049700A" w:rsidRPr="001414D9">
        <w:t xml:space="preserve"> to</w:t>
      </w:r>
      <w:r w:rsidR="00176C93">
        <w:t xml:space="preserve"> </w:t>
      </w:r>
      <w:r w:rsidR="00176C93">
        <w:fldChar w:fldCharType="begin"/>
      </w:r>
      <w:r w:rsidR="00176C93">
        <w:instrText xml:space="preserve"> REF _Ref184283856 \r \h </w:instrText>
      </w:r>
      <w:r w:rsidR="00176C93">
        <w:fldChar w:fldCharType="separate"/>
      </w:r>
      <w:r w:rsidR="00833171">
        <w:t>233</w:t>
      </w:r>
      <w:r w:rsidR="00176C93">
        <w:fldChar w:fldCharType="end"/>
      </w:r>
      <w:r w:rsidR="00942F8D" w:rsidRPr="001414D9">
        <w:t>).</w:t>
      </w:r>
    </w:p>
    <w:p w14:paraId="27F558B4" w14:textId="318D30F6" w:rsidR="00C66D54" w:rsidRDefault="00C66D54" w:rsidP="00367A25">
      <w:pPr>
        <w:pStyle w:val="BodyNum"/>
      </w:pPr>
      <w:r w:rsidRPr="00FB0D35">
        <w:t xml:space="preserve">If </w:t>
      </w:r>
      <w:r w:rsidR="00F27476">
        <w:t xml:space="preserve">you become aware </w:t>
      </w:r>
      <w:r w:rsidRPr="00FD274F">
        <w:t>that a lodgement is incomplete or inaccurate</w:t>
      </w:r>
      <w:r w:rsidR="00C34215">
        <w:t xml:space="preserve">, </w:t>
      </w:r>
      <w:r w:rsidR="008419E3">
        <w:t xml:space="preserve">you </w:t>
      </w:r>
      <w:r w:rsidR="00C34215">
        <w:t xml:space="preserve">must </w:t>
      </w:r>
      <w:r w:rsidR="008419E3">
        <w:t xml:space="preserve">address this </w:t>
      </w:r>
      <w:r w:rsidR="00C34215">
        <w:t>as soon as practicable</w:t>
      </w:r>
      <w:r w:rsidR="007E368F">
        <w:t xml:space="preserve">. </w:t>
      </w:r>
      <w:r w:rsidR="00BE4AAA">
        <w:t xml:space="preserve">Prior to registration, </w:t>
      </w:r>
      <w:r w:rsidR="00F27476">
        <w:t>t</w:t>
      </w:r>
      <w:r>
        <w:t xml:space="preserve">he agency </w:t>
      </w:r>
      <w:r w:rsidR="007E368F">
        <w:t xml:space="preserve">can either </w:t>
      </w:r>
      <w:r>
        <w:t>request control of the lodgement</w:t>
      </w:r>
      <w:r w:rsidR="007E368F">
        <w:t xml:space="preserve"> </w:t>
      </w:r>
      <w:r w:rsidR="002B2320">
        <w:t xml:space="preserve">in order to </w:t>
      </w:r>
      <w:r w:rsidR="00F570DC">
        <w:t>make change</w:t>
      </w:r>
      <w:r w:rsidR="002B2320">
        <w:t>s</w:t>
      </w:r>
      <w:r w:rsidR="00F570DC">
        <w:t xml:space="preserve">, </w:t>
      </w:r>
      <w:r w:rsidR="007E368F">
        <w:t>or withdraw</w:t>
      </w:r>
      <w:r w:rsidR="00F570DC">
        <w:t xml:space="preserve"> the lodgement</w:t>
      </w:r>
      <w:r w:rsidRPr="00FD274F">
        <w:t xml:space="preserve"> </w:t>
      </w:r>
      <w:r w:rsidR="00843692" w:rsidRPr="004532FE">
        <w:t>(</w:t>
      </w:r>
      <w:hyperlink r:id="rId242" w:history="1">
        <w:r w:rsidR="00843692" w:rsidRPr="004532FE">
          <w:rPr>
            <w:rStyle w:val="Hyperlink"/>
          </w:rPr>
          <w:t>Rule</w:t>
        </w:r>
      </w:hyperlink>
      <w:r w:rsidR="00843692" w:rsidRPr="004532FE">
        <w:t xml:space="preserve"> s 6(3))</w:t>
      </w:r>
      <w:r w:rsidRPr="00FD274F">
        <w:t>.</w:t>
      </w:r>
      <w:r w:rsidR="00062753">
        <w:t xml:space="preserve"> When requesting control, please contact OPC to let us know. </w:t>
      </w:r>
      <w:r w:rsidR="003332CE">
        <w:t xml:space="preserve">Once </w:t>
      </w:r>
      <w:r>
        <w:t>the instrument has been published on the Register</w:t>
      </w:r>
      <w:r w:rsidRPr="00FD274F">
        <w:t xml:space="preserve">, </w:t>
      </w:r>
      <w:r>
        <w:t xml:space="preserve">OPC must be notified of </w:t>
      </w:r>
      <w:r w:rsidR="003332CE">
        <w:t xml:space="preserve">any </w:t>
      </w:r>
      <w:r w:rsidRPr="00FD274F">
        <w:t>error</w:t>
      </w:r>
      <w:r w:rsidR="003332CE">
        <w:t>s</w:t>
      </w:r>
      <w:r w:rsidRPr="00FD274F">
        <w:t xml:space="preserve"> without delay </w:t>
      </w:r>
      <w:r w:rsidR="00843692" w:rsidRPr="00FD274F">
        <w:t>(</w:t>
      </w:r>
      <w:hyperlink r:id="rId243" w:history="1">
        <w:r w:rsidR="00843692" w:rsidRPr="005547CD">
          <w:rPr>
            <w:rStyle w:val="Hyperlink"/>
          </w:rPr>
          <w:t>LA</w:t>
        </w:r>
      </w:hyperlink>
      <w:r w:rsidR="00843692" w:rsidRPr="005547CD">
        <w:t xml:space="preserve"> s 15L(1)(e))</w:t>
      </w:r>
      <w:r w:rsidRPr="005547CD">
        <w:t>. Fo</w:t>
      </w:r>
      <w:r w:rsidRPr="00FD274F">
        <w:t>r further guidance on how to report events affecting the accuracy and completeness of the Register, s</w:t>
      </w:r>
      <w:r w:rsidRPr="005B0CC1">
        <w:t xml:space="preserve">ee </w:t>
      </w:r>
      <w:hyperlink w:anchor="Chapter6" w:history="1">
        <w:r w:rsidRPr="005B0CC1">
          <w:rPr>
            <w:rStyle w:val="Hyperlink"/>
          </w:rPr>
          <w:t>Chapter 6</w:t>
        </w:r>
      </w:hyperlink>
      <w:r w:rsidRPr="00FD274F">
        <w:t>.</w:t>
      </w:r>
    </w:p>
    <w:p w14:paraId="1303CBA5" w14:textId="77777777" w:rsidR="00C66D54" w:rsidRDefault="00C66D54" w:rsidP="00C66D54">
      <w:pPr>
        <w:pStyle w:val="BodyNum"/>
      </w:pPr>
      <w:r>
        <w:t>If a lodgement form or duplicate lodgement form has been created in error, these can be withdrawn by the agency at any stage of the assessment process without the requirement to request control from OPC.</w:t>
      </w:r>
    </w:p>
    <w:p w14:paraId="452DD87B" w14:textId="5FA7AF49" w:rsidR="00BE52DD" w:rsidRPr="00942031" w:rsidRDefault="00C66D54" w:rsidP="00BE52DD">
      <w:pPr>
        <w:pStyle w:val="BodyNum"/>
      </w:pPr>
      <w:r>
        <w:rPr>
          <w:spacing w:val="-2"/>
        </w:rPr>
        <w:t>A lodgement is complete once an accurate lodgement form is certified and submitted to OPC. If the lodgement form including any attached documents is required to be resubmitted and recertified, the lodgement date and time for the purpose of any relevant additional fees is the date and time when last certified before registration.</w:t>
      </w:r>
    </w:p>
    <w:p w14:paraId="6D0ED60E" w14:textId="77777777" w:rsidR="0084047D" w:rsidRPr="00FD274F" w:rsidRDefault="0084047D" w:rsidP="0084047D">
      <w:pPr>
        <w:pStyle w:val="Head4"/>
      </w:pPr>
      <w:bookmarkStart w:id="114" w:name="_Toc183694671"/>
      <w:r w:rsidRPr="00FD274F">
        <w:t>Standard timeframes for registration</w:t>
      </w:r>
      <w:bookmarkEnd w:id="114"/>
    </w:p>
    <w:p w14:paraId="6D36C24E" w14:textId="6778D37E" w:rsidR="0084047D" w:rsidRPr="00FD274F" w:rsidRDefault="0084047D" w:rsidP="0084047D">
      <w:pPr>
        <w:pStyle w:val="BodyNum"/>
      </w:pPr>
      <w:r w:rsidRPr="00FD274F">
        <w:t xml:space="preserve">Two full working days </w:t>
      </w:r>
      <w:r w:rsidR="00BC14EC" w:rsidRPr="00FD274F">
        <w:t>after certification</w:t>
      </w:r>
      <w:r w:rsidR="00C66D54" w:rsidRPr="00FD274F">
        <w:t xml:space="preserve"> </w:t>
      </w:r>
      <w:r w:rsidR="00C66D54">
        <w:t>or recertification</w:t>
      </w:r>
      <w:r w:rsidR="00BC14EC" w:rsidRPr="00FD274F">
        <w:t xml:space="preserve"> </w:t>
      </w:r>
      <w:r w:rsidRPr="00FD274F">
        <w:t>should generally be allowed for standard pre</w:t>
      </w:r>
      <w:r w:rsidR="009C4251">
        <w:noBreakHyphen/>
      </w:r>
      <w:r w:rsidRPr="00FD274F">
        <w:t>registration processes and</w:t>
      </w:r>
      <w:r w:rsidR="00B30E8A" w:rsidRPr="00FD274F">
        <w:t xml:space="preserve"> another t</w:t>
      </w:r>
      <w:r w:rsidR="0081626B" w:rsidRPr="00FD274F">
        <w:t xml:space="preserve">hree </w:t>
      </w:r>
      <w:r w:rsidR="00B30E8A" w:rsidRPr="00FD274F">
        <w:t xml:space="preserve">working days </w:t>
      </w:r>
      <w:r w:rsidRPr="00FD274F">
        <w:t xml:space="preserve">for </w:t>
      </w:r>
      <w:r w:rsidR="0081626B" w:rsidRPr="00FD274F">
        <w:t xml:space="preserve">OPC to lodge documents for tabling </w:t>
      </w:r>
      <w:r w:rsidRPr="00FD274F">
        <w:t>during sitting periods</w:t>
      </w:r>
      <w:r w:rsidR="0081626B" w:rsidRPr="00FD274F">
        <w:t>.</w:t>
      </w:r>
      <w:r w:rsidRPr="00FD274F">
        <w:t xml:space="preserve"> A longer lead time is recommended if documents:</w:t>
      </w:r>
    </w:p>
    <w:p w14:paraId="1C70E719" w14:textId="109C1381" w:rsidR="00843692" w:rsidRDefault="00843692" w:rsidP="00843692">
      <w:pPr>
        <w:pStyle w:val="BodyPara"/>
      </w:pPr>
      <w:r w:rsidRPr="00FD274F">
        <w:t>are lodged in a non</w:t>
      </w:r>
      <w:r>
        <w:noBreakHyphen/>
      </w:r>
      <w:r w:rsidRPr="00FD274F">
        <w:t>standard format—please note this requires the prior approval of the Fir</w:t>
      </w:r>
      <w:r w:rsidRPr="004532FE">
        <w:t>st Parliamentary Counsel (</w:t>
      </w:r>
      <w:hyperlink r:id="rId244" w:history="1">
        <w:r w:rsidRPr="004532FE">
          <w:rPr>
            <w:rStyle w:val="Hyperlink"/>
          </w:rPr>
          <w:t>Rule</w:t>
        </w:r>
      </w:hyperlink>
      <w:r w:rsidRPr="004532FE">
        <w:t xml:space="preserve"> s 5(3)); or</w:t>
      </w:r>
    </w:p>
    <w:p w14:paraId="325E7AB5" w14:textId="2895AD3F" w:rsidR="00843692" w:rsidRPr="00FD274F" w:rsidRDefault="00843692" w:rsidP="00843692">
      <w:pPr>
        <w:pStyle w:val="BodyPara"/>
      </w:pPr>
      <w:r>
        <w:t>do not have a name or a unique name—First Parliamentary Counsel</w:t>
      </w:r>
      <w:r w:rsidRPr="00FD274F">
        <w:t xml:space="preserve"> may name or rename </w:t>
      </w:r>
      <w:r>
        <w:t>instruments</w:t>
      </w:r>
      <w:r w:rsidRPr="00FD274F">
        <w:t xml:space="preserve"> if they do not have a name that is unique (</w:t>
      </w:r>
      <w:r w:rsidRPr="005547CD">
        <w:t xml:space="preserve">see </w:t>
      </w:r>
      <w:hyperlink r:id="rId245" w:history="1">
        <w:r w:rsidRPr="005547CD">
          <w:rPr>
            <w:rStyle w:val="Hyperlink"/>
          </w:rPr>
          <w:t>LA</w:t>
        </w:r>
      </w:hyperlink>
      <w:r w:rsidRPr="005547CD">
        <w:t xml:space="preserve"> s 15M(b)</w:t>
      </w:r>
      <w:r w:rsidRPr="00FD274F">
        <w:t xml:space="preserve"> and </w:t>
      </w:r>
      <w:hyperlink r:id="rId246" w:history="1">
        <w:r w:rsidRPr="004532FE">
          <w:rPr>
            <w:rStyle w:val="Hyperlink"/>
          </w:rPr>
          <w:t>Rule</w:t>
        </w:r>
      </w:hyperlink>
      <w:r w:rsidRPr="004532FE">
        <w:t xml:space="preserve"> s 10); or</w:t>
      </w:r>
    </w:p>
    <w:p w14:paraId="6D963650" w14:textId="77777777" w:rsidR="00843692" w:rsidRPr="00FD274F" w:rsidRDefault="00843692" w:rsidP="00843692">
      <w:pPr>
        <w:pStyle w:val="BodyPara"/>
      </w:pPr>
      <w:r w:rsidRPr="00FD274F">
        <w:t xml:space="preserve">are large, or contain a mathematical formula, a long table </w:t>
      </w:r>
      <w:r>
        <w:t>or other complex formatting; or</w:t>
      </w:r>
    </w:p>
    <w:p w14:paraId="36AE7C9F" w14:textId="77777777" w:rsidR="00843692" w:rsidRPr="00FD274F" w:rsidRDefault="00843692" w:rsidP="00843692">
      <w:pPr>
        <w:pStyle w:val="BodyPara"/>
      </w:pPr>
      <w:r w:rsidRPr="00FD274F">
        <w:t>need special handling—requirements such as colour printing should be clearly flagged no later than the time of lodgement; or</w:t>
      </w:r>
    </w:p>
    <w:p w14:paraId="5EEFA66B" w14:textId="195C9D3A" w:rsidR="00843692" w:rsidRPr="00FD274F" w:rsidRDefault="00843692" w:rsidP="00843692">
      <w:pPr>
        <w:pStyle w:val="BodyPara"/>
      </w:pPr>
      <w:r w:rsidRPr="00FD274F">
        <w:t xml:space="preserve">need to be registered during peak periods notified in advance—additional fees may also apply </w:t>
      </w:r>
      <w:r w:rsidRPr="00590BCB">
        <w:t xml:space="preserve">(see paragraph </w:t>
      </w:r>
      <w:r w:rsidRPr="005547CD">
        <w:fldChar w:fldCharType="begin"/>
      </w:r>
      <w:r w:rsidRPr="00590BCB">
        <w:instrText xml:space="preserve"> REF _Ref434314290 \r \h  \* MERGEFORMAT </w:instrText>
      </w:r>
      <w:r w:rsidRPr="005547CD">
        <w:fldChar w:fldCharType="separate"/>
      </w:r>
      <w:r w:rsidR="00833171">
        <w:t>160</w:t>
      </w:r>
      <w:r w:rsidRPr="005547CD">
        <w:fldChar w:fldCharType="end"/>
      </w:r>
      <w:r w:rsidRPr="00590BCB">
        <w:t>).</w:t>
      </w:r>
    </w:p>
    <w:p w14:paraId="66E11D7F" w14:textId="13A88E39" w:rsidR="0084047D" w:rsidRPr="00FD274F" w:rsidRDefault="00BC14EC" w:rsidP="0084047D">
      <w:pPr>
        <w:pStyle w:val="BodyNum"/>
      </w:pPr>
      <w:r w:rsidRPr="00FD274F">
        <w:t>A</w:t>
      </w:r>
      <w:r w:rsidR="0084047D" w:rsidRPr="00FD274F">
        <w:t>s soon as an instrument is registered and available on the</w:t>
      </w:r>
      <w:r w:rsidR="006C416A" w:rsidRPr="00FD274F">
        <w:t xml:space="preserve"> </w:t>
      </w:r>
      <w:r w:rsidR="0081626B" w:rsidRPr="00FD274F">
        <w:t>Register website</w:t>
      </w:r>
      <w:r w:rsidRPr="00FD274F">
        <w:t>, an email notification will be sent to the address nominated in the lodgement</w:t>
      </w:r>
      <w:r w:rsidR="006C416A" w:rsidRPr="00FD274F">
        <w:t xml:space="preserve">. </w:t>
      </w:r>
      <w:r w:rsidR="0084047D" w:rsidRPr="00FD274F">
        <w:t xml:space="preserve">If registration is likely to </w:t>
      </w:r>
      <w:r w:rsidR="0084047D" w:rsidRPr="00FD274F">
        <w:lastRenderedPageBreak/>
        <w:t xml:space="preserve">be delayed significantly, OPC </w:t>
      </w:r>
      <w:r w:rsidR="00F961E9" w:rsidRPr="00FD274F">
        <w:t>will</w:t>
      </w:r>
      <w:r w:rsidR="00C81CC7">
        <w:t xml:space="preserve"> contact </w:t>
      </w:r>
      <w:r w:rsidR="00F961E9" w:rsidRPr="00FD274F">
        <w:t xml:space="preserve">the </w:t>
      </w:r>
      <w:r w:rsidR="0084047D" w:rsidRPr="00FD274F">
        <w:t xml:space="preserve">lodging agency to discuss the matter. </w:t>
      </w:r>
      <w:r w:rsidR="00371CFF">
        <w:t>Please note,</w:t>
      </w:r>
      <w:r w:rsidR="0084047D" w:rsidRPr="00FD274F">
        <w:t xml:space="preserve"> it </w:t>
      </w:r>
      <w:r w:rsidR="00371CFF">
        <w:t>may</w:t>
      </w:r>
      <w:r w:rsidR="0084047D" w:rsidRPr="00FD274F">
        <w:t xml:space="preserve"> not </w:t>
      </w:r>
      <w:r w:rsidR="00371CFF">
        <w:t xml:space="preserve">be </w:t>
      </w:r>
      <w:r w:rsidR="0084047D" w:rsidRPr="00FD274F">
        <w:t>possible to register an instrument:</w:t>
      </w:r>
    </w:p>
    <w:p w14:paraId="484B20BE" w14:textId="77777777" w:rsidR="00843692" w:rsidRPr="00FD274F" w:rsidRDefault="00843692" w:rsidP="00843692">
      <w:pPr>
        <w:pStyle w:val="BodyPara"/>
      </w:pPr>
      <w:r w:rsidRPr="00FD274F">
        <w:t>because statutory req</w:t>
      </w:r>
      <w:r>
        <w:t>uirements have not been met; or</w:t>
      </w:r>
    </w:p>
    <w:p w14:paraId="053400BA" w14:textId="77777777" w:rsidR="00843692" w:rsidRPr="00FD274F" w:rsidRDefault="00843692" w:rsidP="00843692">
      <w:pPr>
        <w:pStyle w:val="BodyPara"/>
      </w:pPr>
      <w:r w:rsidRPr="00FD274F">
        <w:t>bec</w:t>
      </w:r>
      <w:r>
        <w:t>ause of technical difficulties.</w:t>
      </w:r>
    </w:p>
    <w:p w14:paraId="370CA208" w14:textId="532583CC" w:rsidR="00843692" w:rsidRPr="00FD274F" w:rsidRDefault="00843692" w:rsidP="00843692">
      <w:pPr>
        <w:pStyle w:val="BodyNum"/>
      </w:pPr>
      <w:r w:rsidRPr="00FD274F">
        <w:t xml:space="preserve">If technical difficulties prevent OPC from registering a document on the approved website </w:t>
      </w:r>
      <w:hyperlink r:id="rId247" w:history="1">
        <w:r w:rsidRPr="00FD274F">
          <w:rPr>
            <w:rStyle w:val="Hyperlink"/>
          </w:rPr>
          <w:t>https://www.legislation.gov.au</w:t>
        </w:r>
      </w:hyperlink>
      <w:r w:rsidRPr="00FD274F">
        <w:t xml:space="preserve">, and as permitted by section </w:t>
      </w:r>
      <w:r w:rsidRPr="004532FE">
        <w:t xml:space="preserve">12 of the </w:t>
      </w:r>
      <w:hyperlink r:id="rId248" w:history="1">
        <w:r w:rsidRPr="004532FE">
          <w:rPr>
            <w:rStyle w:val="Hyperlink"/>
          </w:rPr>
          <w:t>Rule</w:t>
        </w:r>
      </w:hyperlink>
      <w:r w:rsidRPr="00FD274F">
        <w:t>, OPC:</w:t>
      </w:r>
    </w:p>
    <w:p w14:paraId="7AB0EB2A" w14:textId="613E18FA" w:rsidR="00843692" w:rsidRPr="00FD274F" w:rsidRDefault="00843692" w:rsidP="00843692">
      <w:pPr>
        <w:pStyle w:val="BodyPara"/>
      </w:pPr>
      <w:r w:rsidRPr="00FD274F">
        <w:t xml:space="preserve">may register the document by publishing it on the OPC website </w:t>
      </w:r>
      <w:hyperlink r:id="rId249" w:history="1">
        <w:r>
          <w:rPr>
            <w:rStyle w:val="Hyperlink"/>
          </w:rPr>
          <w:t>https://www.opc.gov.au/</w:t>
        </w:r>
      </w:hyperlink>
      <w:r w:rsidRPr="00FD274F">
        <w:t xml:space="preserve"> or (if that website is not publicly available) by publicly displaying the document at 28 Sydney Avenue, Forrest ACT; and</w:t>
      </w:r>
    </w:p>
    <w:p w14:paraId="703A976D" w14:textId="77777777" w:rsidR="00843692" w:rsidRPr="00FD274F" w:rsidRDefault="00843692" w:rsidP="00843692">
      <w:pPr>
        <w:pStyle w:val="BodyPara"/>
      </w:pPr>
      <w:r w:rsidRPr="00FD274F">
        <w:t xml:space="preserve">will make the document available on the approved website once the technical difficulties have </w:t>
      </w:r>
      <w:r>
        <w:t>been resolved</w:t>
      </w:r>
      <w:r w:rsidRPr="00FD274F">
        <w:t>.</w:t>
      </w:r>
    </w:p>
    <w:p w14:paraId="280F60C1" w14:textId="77777777" w:rsidR="0084047D" w:rsidRPr="00FD274F" w:rsidRDefault="0084047D" w:rsidP="0084047D">
      <w:pPr>
        <w:pStyle w:val="Head4"/>
      </w:pPr>
      <w:bookmarkStart w:id="115" w:name="_Toc183694672"/>
      <w:r w:rsidRPr="00FD274F">
        <w:t>Fees for standard and additional services</w:t>
      </w:r>
      <w:bookmarkEnd w:id="115"/>
    </w:p>
    <w:p w14:paraId="70FF8AD3" w14:textId="015A29CE" w:rsidR="0084047D" w:rsidRPr="00FD274F" w:rsidRDefault="00BE6ED1" w:rsidP="0084047D">
      <w:pPr>
        <w:pStyle w:val="BodyNum"/>
      </w:pPr>
      <w:r>
        <w:t>C</w:t>
      </w:r>
      <w:r w:rsidR="0084047D" w:rsidRPr="00FD274F">
        <w:t xml:space="preserve">lients receive a single annual </w:t>
      </w:r>
      <w:r w:rsidR="00C901B0">
        <w:t>F</w:t>
      </w:r>
      <w:r w:rsidR="00496C20">
        <w:t>e</w:t>
      </w:r>
      <w:r w:rsidR="00C901B0">
        <w:t xml:space="preserve">deral Register of Legislation Fee </w:t>
      </w:r>
      <w:r w:rsidR="0084047D" w:rsidRPr="00FD274F">
        <w:t>invoice for each financial year</w:t>
      </w:r>
      <w:r w:rsidR="00C901B0">
        <w:t>, which covers all routine registration services</w:t>
      </w:r>
      <w:r w:rsidR="0084047D" w:rsidRPr="00FD274F">
        <w:t xml:space="preserve">. This fee model enables OPC to provide certainty to clients and, because it is simple to administer, to keep </w:t>
      </w:r>
      <w:r w:rsidR="006C416A" w:rsidRPr="00FD274F">
        <w:t>Register</w:t>
      </w:r>
      <w:r w:rsidR="00942F8D">
        <w:t xml:space="preserve"> costs down.</w:t>
      </w:r>
    </w:p>
    <w:p w14:paraId="167DC222" w14:textId="0FE45462" w:rsidR="0084047D" w:rsidRPr="005F4137" w:rsidRDefault="0084047D" w:rsidP="0084047D">
      <w:pPr>
        <w:pStyle w:val="BodyNum"/>
      </w:pPr>
      <w:bookmarkStart w:id="116" w:name="_Ref434314290"/>
      <w:r w:rsidRPr="005F4137">
        <w:t xml:space="preserve">OPC only charges additional fees if the client </w:t>
      </w:r>
      <w:r w:rsidR="00C901B0" w:rsidRPr="005F4137">
        <w:t>requires a special requirement and additional service, such as registration at a specific time, express, after-hours or peak period service, when lodging instruments or gazettes.</w:t>
      </w:r>
      <w:r w:rsidRPr="005F4137">
        <w:t xml:space="preserve"> If your agency is likely to require such service, please let OPC know by calling (02) 6120 1350 during business hours. This is particularly important if you think your agency may require</w:t>
      </w:r>
      <w:r w:rsidR="0081626B" w:rsidRPr="005F4137">
        <w:t xml:space="preserve"> something to be registered</w:t>
      </w:r>
      <w:r w:rsidRPr="005F4137">
        <w:t>:</w:t>
      </w:r>
      <w:bookmarkEnd w:id="116"/>
    </w:p>
    <w:p w14:paraId="718D4107" w14:textId="77777777" w:rsidR="0081626B" w:rsidRPr="005F4137" w:rsidRDefault="0081626B" w:rsidP="0084047D">
      <w:pPr>
        <w:pStyle w:val="BodyPara"/>
      </w:pPr>
      <w:r w:rsidRPr="005F4137">
        <w:t>on the day of or day after lodgement; or</w:t>
      </w:r>
    </w:p>
    <w:p w14:paraId="5304AFF7" w14:textId="39C24715" w:rsidR="00C901B0" w:rsidRPr="005F4137" w:rsidRDefault="005F4137" w:rsidP="00C901B0">
      <w:pPr>
        <w:pStyle w:val="BodyPara"/>
      </w:pPr>
      <w:r w:rsidRPr="005F4137">
        <w:t xml:space="preserve">on the </w:t>
      </w:r>
      <w:r w:rsidR="00C901B0" w:rsidRPr="005F4137">
        <w:t>same-day between 5.00 pm and 11.59 pm without prior notice; or</w:t>
      </w:r>
    </w:p>
    <w:p w14:paraId="75DF6B79" w14:textId="60FE603E" w:rsidR="00C901B0" w:rsidRPr="005F4137" w:rsidRDefault="00C901B0" w:rsidP="00C901B0">
      <w:pPr>
        <w:pStyle w:val="BodyPara"/>
      </w:pPr>
      <w:r w:rsidRPr="005F4137">
        <w:t>at a specified time during business hours; or</w:t>
      </w:r>
    </w:p>
    <w:p w14:paraId="172AEB82" w14:textId="77777777" w:rsidR="00C901B0" w:rsidRPr="005F4137" w:rsidRDefault="0081626B" w:rsidP="0084047D">
      <w:pPr>
        <w:pStyle w:val="BodyPara"/>
      </w:pPr>
      <w:r w:rsidRPr="005F4137">
        <w:t xml:space="preserve">outside of normal business hours, including </w:t>
      </w:r>
      <w:r w:rsidR="00942F8D" w:rsidRPr="005F4137">
        <w:t>on a weekend or public holiday</w:t>
      </w:r>
      <w:r w:rsidR="00C901B0" w:rsidRPr="005F4137">
        <w:t>; or</w:t>
      </w:r>
    </w:p>
    <w:p w14:paraId="64999917" w14:textId="77777777" w:rsidR="00C901B0" w:rsidRPr="005F4137" w:rsidRDefault="00C901B0" w:rsidP="00C901B0">
      <w:pPr>
        <w:pStyle w:val="BodyPara"/>
      </w:pPr>
      <w:r w:rsidRPr="005F4137">
        <w:t>during the notified peak periods at the end of the calendar and financial year; or</w:t>
      </w:r>
    </w:p>
    <w:p w14:paraId="671D9295" w14:textId="048C0D2B" w:rsidR="00C901B0" w:rsidRPr="005F4137" w:rsidRDefault="005F4137" w:rsidP="00C901B0">
      <w:pPr>
        <w:pStyle w:val="BodyPara"/>
      </w:pPr>
      <w:r>
        <w:t>with the</w:t>
      </w:r>
      <w:r w:rsidR="00C901B0" w:rsidRPr="005F4137">
        <w:t xml:space="preserve"> addition of a unique name; or</w:t>
      </w:r>
    </w:p>
    <w:p w14:paraId="748D3F02" w14:textId="49247C38" w:rsidR="00C901B0" w:rsidRPr="005F4137" w:rsidRDefault="005F4137" w:rsidP="00C901B0">
      <w:pPr>
        <w:pStyle w:val="BodyPara"/>
      </w:pPr>
      <w:r>
        <w:t>with the</w:t>
      </w:r>
      <w:r w:rsidR="00C901B0" w:rsidRPr="005F4137">
        <w:t xml:space="preserve"> addition of alt</w:t>
      </w:r>
      <w:r w:rsidR="003E52B0">
        <w:t xml:space="preserve"> </w:t>
      </w:r>
      <w:r w:rsidR="00C901B0" w:rsidRPr="005F4137">
        <w:t>text to an image or object before registration</w:t>
      </w:r>
      <w:r w:rsidR="00797F00">
        <w:t>.</w:t>
      </w:r>
    </w:p>
    <w:p w14:paraId="73BABD93" w14:textId="77777777" w:rsidR="00A23285" w:rsidRDefault="00A23285" w:rsidP="0084047D">
      <w:pPr>
        <w:pStyle w:val="BodyNum"/>
      </w:pPr>
      <w:r>
        <w:t>It also important for an agency to contact OPC if:</w:t>
      </w:r>
    </w:p>
    <w:p w14:paraId="452E6794" w14:textId="438C6F68" w:rsidR="00A23285" w:rsidRDefault="00A23285" w:rsidP="00A23285">
      <w:pPr>
        <w:pStyle w:val="BodyPara"/>
      </w:pPr>
      <w:r>
        <w:t>a registration requires express delivery for tabling; or</w:t>
      </w:r>
    </w:p>
    <w:p w14:paraId="3B69C98B" w14:textId="19EEB5D2" w:rsidR="00A23285" w:rsidRDefault="00A23285" w:rsidP="0013097A">
      <w:pPr>
        <w:pStyle w:val="BodyPara"/>
      </w:pPr>
      <w:r>
        <w:lastRenderedPageBreak/>
        <w:t>a rectification of an instrument or compilation needs to be issued due to an agency error.</w:t>
      </w:r>
    </w:p>
    <w:p w14:paraId="4332DCDA" w14:textId="38A5603D" w:rsidR="0084047D" w:rsidRPr="00FD274F" w:rsidRDefault="0084047D" w:rsidP="0084047D">
      <w:pPr>
        <w:pStyle w:val="BodyNum"/>
      </w:pPr>
      <w:r w:rsidRPr="00FD274F">
        <w:t xml:space="preserve">The services OPC provides in connection with </w:t>
      </w:r>
      <w:r w:rsidR="00743D59" w:rsidRPr="00FD274F">
        <w:t xml:space="preserve">documents do not end with their </w:t>
      </w:r>
      <w:r w:rsidRPr="00FD274F">
        <w:t xml:space="preserve">registration. For example, OPC routinely tracks and alerts agencies to disallowance, sunsetting and other legislative processes that may affect the lifecycle of an instrument and, even if an instrument is repealed, it remains available on </w:t>
      </w:r>
      <w:r w:rsidR="00743D59" w:rsidRPr="00FD274F">
        <w:t>the Register</w:t>
      </w:r>
      <w:r w:rsidRPr="00FD274F">
        <w:t>.</w:t>
      </w:r>
    </w:p>
    <w:p w14:paraId="114F76CF" w14:textId="26510FEE" w:rsidR="00234CB2" w:rsidRPr="00FD274F" w:rsidRDefault="00BD413A" w:rsidP="002C2A36">
      <w:pPr>
        <w:pStyle w:val="BodyNum"/>
      </w:pPr>
      <w:r>
        <w:t>Detailed</w:t>
      </w:r>
      <w:r w:rsidRPr="00FD274F">
        <w:t xml:space="preserve"> information on</w:t>
      </w:r>
      <w:r>
        <w:t xml:space="preserve"> special requirement and additional service</w:t>
      </w:r>
      <w:r w:rsidRPr="00FD274F">
        <w:t xml:space="preserve"> fees can be obtained from the</w:t>
      </w:r>
      <w:r>
        <w:t xml:space="preserve"> home page of the</w:t>
      </w:r>
      <w:r w:rsidRPr="00FD274F">
        <w:t xml:space="preserve"> </w:t>
      </w:r>
      <w:hyperlink r:id="rId250" w:history="1">
        <w:r w:rsidRPr="00FD274F">
          <w:rPr>
            <w:rStyle w:val="Hyperlink"/>
          </w:rPr>
          <w:t>lodgement facility</w:t>
        </w:r>
      </w:hyperlink>
      <w:r w:rsidRPr="00FD274F">
        <w:t xml:space="preserve"> or </w:t>
      </w:r>
      <w:r>
        <w:t xml:space="preserve">by </w:t>
      </w:r>
      <w:r w:rsidR="006B148A">
        <w:t>emailing</w:t>
      </w:r>
      <w:r>
        <w:t xml:space="preserve"> OPC at </w:t>
      </w:r>
      <w:hyperlink r:id="rId251" w:history="1">
        <w:r w:rsidRPr="00C575CE">
          <w:rPr>
            <w:rStyle w:val="Hyperlink"/>
          </w:rPr>
          <w:t>lodge@legislation.gov.au</w:t>
        </w:r>
      </w:hyperlink>
      <w:r>
        <w:t xml:space="preserve"> or </w:t>
      </w:r>
      <w:r w:rsidR="006B148A">
        <w:t xml:space="preserve">calling </w:t>
      </w:r>
      <w:r w:rsidRPr="00FD274F">
        <w:t xml:space="preserve">the </w:t>
      </w:r>
      <w:r w:rsidR="006B148A">
        <w:t>Lodgement</w:t>
      </w:r>
      <w:r w:rsidRPr="00FD274F">
        <w:t xml:space="preserve"> Help Desk on (02) 6120 1350.</w:t>
      </w:r>
    </w:p>
    <w:p w14:paraId="171FA845" w14:textId="77777777" w:rsidR="00590F3B" w:rsidRPr="00FD274F" w:rsidRDefault="00590F3B" w:rsidP="00590F3B">
      <w:pPr>
        <w:pStyle w:val="Head3"/>
      </w:pPr>
      <w:bookmarkStart w:id="117" w:name="_Toc183694673"/>
      <w:r w:rsidRPr="00FD274F">
        <w:t>Requirement for gazettal or notification in addition to registration</w:t>
      </w:r>
      <w:bookmarkEnd w:id="117"/>
    </w:p>
    <w:p w14:paraId="34872919" w14:textId="59126583" w:rsidR="00590F3B" w:rsidRPr="00FD274F" w:rsidRDefault="00590F3B" w:rsidP="00590F3B">
      <w:pPr>
        <w:pStyle w:val="BodyNum"/>
      </w:pPr>
      <w:r w:rsidRPr="00FD274F">
        <w:t>A legislative instrument’s enabling legislation may require the instrument to be published or notified in the Gazette. Under subsection 5</w:t>
      </w:r>
      <w:r w:rsidRPr="00D965EA">
        <w:t xml:space="preserve">6(1) of the </w:t>
      </w:r>
      <w:hyperlink r:id="rId252" w:history="1">
        <w:r w:rsidRPr="00D965EA">
          <w:rPr>
            <w:rStyle w:val="Hyperlink"/>
          </w:rPr>
          <w:t>LA</w:t>
        </w:r>
      </w:hyperlink>
      <w:r w:rsidRPr="00D965EA">
        <w:t>,</w:t>
      </w:r>
      <w:r w:rsidRPr="00FD274F">
        <w:t xml:space="preserve"> registering an instrument on the Federal Register of Legislation as a legislative instrument on or after 5 March 2016 meets the legislation’s requirement for gazettal. Generally, any requirements for publication of the instrument other than in the Gazette or generally on a website (such as in a newspaper or elsewhere) are additional to the requirement for registration on the Register (</w:t>
      </w:r>
      <w:hyperlink r:id="rId253" w:history="1">
        <w:r w:rsidRPr="00D965EA">
          <w:rPr>
            <w:rStyle w:val="Hyperlink"/>
          </w:rPr>
          <w:t>LA</w:t>
        </w:r>
      </w:hyperlink>
      <w:r w:rsidRPr="00D965EA">
        <w:t xml:space="preserve"> s 56(2) and (3)).</w:t>
      </w:r>
      <w:r w:rsidRPr="00FD274F">
        <w:t xml:space="preserve"> </w:t>
      </w:r>
      <w:r w:rsidR="00A31410">
        <w:t>For example, a</w:t>
      </w:r>
      <w:r w:rsidRPr="00FD274F">
        <w:t xml:space="preserve"> requirement for an instrument to be published on a website would be met by registering an instrument as a legislative instrument on the Federal Register of Legislation</w:t>
      </w:r>
      <w:r w:rsidR="00A31410">
        <w:t>,</w:t>
      </w:r>
      <w:r w:rsidRPr="00FD274F">
        <w:t xml:space="preserve"> as the Register is a website.</w:t>
      </w:r>
    </w:p>
    <w:p w14:paraId="4040693E" w14:textId="1F4D9F8D" w:rsidR="00590F3B" w:rsidRPr="00FD274F" w:rsidRDefault="00590F3B" w:rsidP="00590F3B">
      <w:pPr>
        <w:pStyle w:val="BodyNum"/>
      </w:pPr>
      <w:r w:rsidRPr="00FD274F">
        <w:t xml:space="preserve">Similarly, a requirement may exist in the enabling legislation for an instrument other than a legislative instrument to be notified or published in the Gazette. Generally, under </w:t>
      </w:r>
      <w:r w:rsidRPr="00D965EA">
        <w:t xml:space="preserve">subsection 11(4) of the </w:t>
      </w:r>
      <w:hyperlink r:id="rId254" w:history="1">
        <w:r w:rsidRPr="00D965EA">
          <w:rPr>
            <w:rStyle w:val="Hyperlink"/>
          </w:rPr>
          <w:t>LA</w:t>
        </w:r>
      </w:hyperlink>
      <w:r w:rsidRPr="00D965EA">
        <w:t>,</w:t>
      </w:r>
      <w:r w:rsidRPr="00FD274F">
        <w:t xml:space="preserve"> registering an instrument on the Federal Register of Legislation as a notifiable instrument on or after 5 March 2016 meets the legislation’s requirement for gazettal (whether or not the enabling legislation refers to the instrument as a notifiable instrument). In addition, any other requirements for publication of the instrument are also met by the requirement for registration on the Register (</w:t>
      </w:r>
      <w:hyperlink r:id="rId255" w:history="1">
        <w:r w:rsidRPr="00D965EA">
          <w:rPr>
            <w:rStyle w:val="Hyperlink"/>
          </w:rPr>
          <w:t>LA</w:t>
        </w:r>
      </w:hyperlink>
      <w:r w:rsidRPr="00D965EA">
        <w:t xml:space="preserve"> s 11(4)) unl</w:t>
      </w:r>
      <w:r w:rsidRPr="00FD274F">
        <w:t>ess the legislation provides a contrary intention.</w:t>
      </w:r>
    </w:p>
    <w:p w14:paraId="02123C1B" w14:textId="0F6FFFBC" w:rsidR="00590F3B" w:rsidRDefault="00590F3B" w:rsidP="00590F3B">
      <w:pPr>
        <w:pStyle w:val="BodyNum"/>
      </w:pPr>
      <w:r w:rsidRPr="00FD274F">
        <w:t xml:space="preserve">Agencies should update their legislation to align with </w:t>
      </w:r>
      <w:r w:rsidRPr="00D965EA">
        <w:t xml:space="preserve">the </w:t>
      </w:r>
      <w:hyperlink r:id="rId256" w:history="1">
        <w:r w:rsidRPr="00D965EA">
          <w:rPr>
            <w:rStyle w:val="Hyperlink"/>
          </w:rPr>
          <w:t>LA</w:t>
        </w:r>
      </w:hyperlink>
      <w:r w:rsidRPr="00D965EA">
        <w:rPr>
          <w:rStyle w:val="FootnoteReference"/>
        </w:rPr>
        <w:footnoteReference w:id="17"/>
      </w:r>
      <w:r w:rsidRPr="00D965EA">
        <w:t>, and s</w:t>
      </w:r>
      <w:r w:rsidRPr="00FD274F">
        <w:t>hould avoid putting in place additional requirements for publication as well as registration, unless there are compelling reasons for these. Adopting t</w:t>
      </w:r>
      <w:r w:rsidRPr="00D965EA">
        <w:t xml:space="preserve">he </w:t>
      </w:r>
      <w:hyperlink r:id="rId257" w:history="1">
        <w:r w:rsidRPr="00D965EA">
          <w:rPr>
            <w:rStyle w:val="Hyperlink"/>
          </w:rPr>
          <w:t>LA</w:t>
        </w:r>
      </w:hyperlink>
      <w:r w:rsidRPr="00D965EA">
        <w:t xml:space="preserve"> sta</w:t>
      </w:r>
      <w:r w:rsidRPr="00FD274F">
        <w:t>ndard does not prevent an instrument being notified or published elsewhere if desired.</w:t>
      </w:r>
    </w:p>
    <w:p w14:paraId="3C22544D" w14:textId="2635851D" w:rsidR="00373E90" w:rsidRPr="00FD274F" w:rsidRDefault="00373E90" w:rsidP="00373E90">
      <w:pPr>
        <w:pStyle w:val="Head4"/>
      </w:pPr>
      <w:bookmarkStart w:id="118" w:name="_Toc183694674"/>
      <w:r>
        <w:t>Benefits of registering notifiable instruments instead of gazettes</w:t>
      </w:r>
      <w:bookmarkEnd w:id="118"/>
    </w:p>
    <w:p w14:paraId="22EB3DAD" w14:textId="77777777" w:rsidR="000F4ECA" w:rsidRDefault="00656E9F" w:rsidP="000F4ECA">
      <w:pPr>
        <w:pStyle w:val="BodyNum"/>
      </w:pPr>
      <w:r>
        <w:t>When preparing a gazette, i</w:t>
      </w:r>
      <w:r w:rsidR="00D553BF">
        <w:t>t is worth considering</w:t>
      </w:r>
      <w:r>
        <w:t xml:space="preserve"> choosing to register that content as a notifiable instrument instead</w:t>
      </w:r>
      <w:r w:rsidR="000F4ECA">
        <w:t>.</w:t>
      </w:r>
    </w:p>
    <w:p w14:paraId="1AB90A52" w14:textId="44A58EDC" w:rsidR="000B639A" w:rsidRDefault="000B639A" w:rsidP="000F4ECA">
      <w:pPr>
        <w:pStyle w:val="BodyNum"/>
      </w:pPr>
      <w:r>
        <w:t xml:space="preserve">Generally, a legislative requirement for gazettal is met by registering </w:t>
      </w:r>
      <w:r w:rsidR="003C6FA4">
        <w:t>that content as a notifiable instrument on the Federal Register of Legislation (</w:t>
      </w:r>
      <w:hyperlink r:id="rId258" w:history="1">
        <w:r w:rsidR="003C6FA4" w:rsidRPr="00D965EA">
          <w:rPr>
            <w:rStyle w:val="Hyperlink"/>
          </w:rPr>
          <w:t>LA</w:t>
        </w:r>
      </w:hyperlink>
      <w:r w:rsidR="00A252CA">
        <w:rPr>
          <w:rStyle w:val="Hyperlink"/>
        </w:rPr>
        <w:t xml:space="preserve"> s 11(4)</w:t>
      </w:r>
      <w:r w:rsidR="003C6FA4" w:rsidRPr="000F4ECA">
        <w:rPr>
          <w:rStyle w:val="Hyperlink"/>
          <w:color w:val="auto"/>
        </w:rPr>
        <w:t>)</w:t>
      </w:r>
      <w:r w:rsidR="000F4ECA" w:rsidRPr="000F4ECA">
        <w:rPr>
          <w:rStyle w:val="Hyperlink"/>
          <w:color w:val="auto"/>
        </w:rPr>
        <w:t>.</w:t>
      </w:r>
    </w:p>
    <w:p w14:paraId="63367290" w14:textId="77777777" w:rsidR="00FF4EAE" w:rsidRDefault="000F4ECA" w:rsidP="00B74849">
      <w:pPr>
        <w:pStyle w:val="BodyNum"/>
      </w:pPr>
      <w:r>
        <w:lastRenderedPageBreak/>
        <w:t xml:space="preserve">A notifiable instrument offers the </w:t>
      </w:r>
      <w:r w:rsidR="00FF4EAE">
        <w:t xml:space="preserve">following </w:t>
      </w:r>
      <w:r>
        <w:t>benefits</w:t>
      </w:r>
      <w:r w:rsidR="00FF4EAE">
        <w:t>:</w:t>
      </w:r>
    </w:p>
    <w:p w14:paraId="12F60219" w14:textId="33EF27C4" w:rsidR="00FF4EAE" w:rsidRDefault="00FF4EAE" w:rsidP="00FF4EAE">
      <w:pPr>
        <w:pStyle w:val="BodyPara"/>
      </w:pPr>
      <w:r>
        <w:t xml:space="preserve">it can be amended by another notifiable </w:t>
      </w:r>
      <w:proofErr w:type="gramStart"/>
      <w:r>
        <w:t>instrument</w:t>
      </w:r>
      <w:r w:rsidR="00CB3321">
        <w:t>;</w:t>
      </w:r>
      <w:proofErr w:type="gramEnd"/>
    </w:p>
    <w:p w14:paraId="78D54F22" w14:textId="15D74A7B" w:rsidR="00CB3321" w:rsidRDefault="00CB3321" w:rsidP="00FF4EAE">
      <w:pPr>
        <w:pStyle w:val="BodyPara"/>
      </w:pPr>
      <w:r>
        <w:t>it has a status (in force, no longer in force</w:t>
      </w:r>
      <w:proofErr w:type="gramStart"/>
      <w:r>
        <w:t>);</w:t>
      </w:r>
      <w:proofErr w:type="gramEnd"/>
    </w:p>
    <w:p w14:paraId="7F511B29" w14:textId="525FE74B" w:rsidR="00CB3321" w:rsidRDefault="00CB3321" w:rsidP="00FF4EAE">
      <w:pPr>
        <w:pStyle w:val="BodyPara"/>
      </w:pPr>
      <w:r>
        <w:t xml:space="preserve">it can be repealed, either by self-repeal or by another notifiable </w:t>
      </w:r>
      <w:proofErr w:type="gramStart"/>
      <w:r>
        <w:t>instrument;</w:t>
      </w:r>
      <w:proofErr w:type="gramEnd"/>
    </w:p>
    <w:p w14:paraId="44390BAD" w14:textId="575D43CC" w:rsidR="00CB3321" w:rsidRDefault="00CB3321" w:rsidP="00FF4EAE">
      <w:pPr>
        <w:pStyle w:val="BodyPara"/>
      </w:pPr>
      <w:r>
        <w:t xml:space="preserve">it does not need to be on the </w:t>
      </w:r>
      <w:r w:rsidR="00C745AC">
        <w:t xml:space="preserve">Commonwealth </w:t>
      </w:r>
      <w:r>
        <w:t>gazette template.</w:t>
      </w:r>
    </w:p>
    <w:p w14:paraId="1D6BB70F" w14:textId="77777777" w:rsidR="007512AF" w:rsidRDefault="00CB3321" w:rsidP="00B74849">
      <w:pPr>
        <w:pStyle w:val="BodyNum"/>
      </w:pPr>
      <w:r>
        <w:t xml:space="preserve">All of these benefits provide greater control over the content </w:t>
      </w:r>
      <w:r w:rsidR="00B606B0">
        <w:t>to be published and its currency.</w:t>
      </w:r>
    </w:p>
    <w:p w14:paraId="20114385" w14:textId="0435068B" w:rsidR="005D12FF" w:rsidRDefault="000324C7" w:rsidP="00B74849">
      <w:pPr>
        <w:pStyle w:val="BodyNum"/>
      </w:pPr>
      <w:r>
        <w:t xml:space="preserve">More and more notices previously required to be gazetted </w:t>
      </w:r>
      <w:r w:rsidR="007512AF">
        <w:t xml:space="preserve">are shifting towards legislative requirements to be </w:t>
      </w:r>
      <w:r w:rsidR="00D14256">
        <w:t xml:space="preserve">published as notifiable instruments </w:t>
      </w:r>
      <w:r w:rsidR="00E17302">
        <w:t>(</w:t>
      </w:r>
      <w:r w:rsidR="00D14256">
        <w:t>for example</w:t>
      </w:r>
      <w:r w:rsidR="00E17302">
        <w:t>,</w:t>
      </w:r>
      <w:r w:rsidR="00D14256">
        <w:t xml:space="preserve"> </w:t>
      </w:r>
      <w:r w:rsidR="00360E1B">
        <w:t xml:space="preserve">notices of disqualification under section 126A of the </w:t>
      </w:r>
      <w:hyperlink r:id="rId259" w:history="1">
        <w:r w:rsidR="00360E1B" w:rsidRPr="007512AF">
          <w:rPr>
            <w:rStyle w:val="Hyperlink"/>
            <w:i/>
          </w:rPr>
          <w:t>Superannuation Industry (Supervision) Act 1993</w:t>
        </w:r>
      </w:hyperlink>
      <w:r w:rsidR="00E17302">
        <w:rPr>
          <w:rStyle w:val="Hyperlink"/>
        </w:rPr>
        <w:t>)</w:t>
      </w:r>
      <w:r w:rsidR="00360E1B">
        <w:t>.</w:t>
      </w:r>
    </w:p>
    <w:p w14:paraId="10987D5A" w14:textId="15395632" w:rsidR="00590F3B" w:rsidRPr="00FD274F" w:rsidRDefault="00590F3B" w:rsidP="00590F3B">
      <w:pPr>
        <w:pStyle w:val="Head4"/>
      </w:pPr>
      <w:bookmarkStart w:id="119" w:name="_Toc183694675"/>
      <w:r w:rsidRPr="00FD274F">
        <w:t>If an instrument is to be notified/published in addition to registration</w:t>
      </w:r>
      <w:bookmarkEnd w:id="119"/>
    </w:p>
    <w:p w14:paraId="450D9940" w14:textId="77777777" w:rsidR="00590F3B" w:rsidRPr="00FD274F" w:rsidRDefault="00590F3B" w:rsidP="00590F3B">
      <w:pPr>
        <w:pStyle w:val="BodyNum"/>
      </w:pPr>
      <w:r w:rsidRPr="00FD274F">
        <w:t>If an instrument that has been or will be registered is to be notified or published elsewhere, care needs to be taken to ensure that:</w:t>
      </w:r>
    </w:p>
    <w:p w14:paraId="35BCF588" w14:textId="6868804B" w:rsidR="00590F3B" w:rsidRPr="00FD274F" w:rsidRDefault="00590F3B" w:rsidP="00590F3B">
      <w:pPr>
        <w:pStyle w:val="BodyPara"/>
      </w:pPr>
      <w:r w:rsidRPr="00FD274F">
        <w:t>what is published elsewhere is identical to what is lodged for registration (see a</w:t>
      </w:r>
      <w:r w:rsidRPr="00EA4AE6">
        <w:t xml:space="preserve">lso paragraphs </w:t>
      </w:r>
      <w:r w:rsidRPr="005547CD">
        <w:fldChar w:fldCharType="begin"/>
      </w:r>
      <w:r w:rsidRPr="00EA4AE6">
        <w:instrText xml:space="preserve"> REF _Ref444779699 \r \h  \* MERGEFORMAT </w:instrText>
      </w:r>
      <w:r w:rsidRPr="005547CD">
        <w:fldChar w:fldCharType="separate"/>
      </w:r>
      <w:r w:rsidR="00833171">
        <w:t>236</w:t>
      </w:r>
      <w:r w:rsidRPr="005547CD">
        <w:fldChar w:fldCharType="end"/>
      </w:r>
      <w:r w:rsidRPr="00EA4AE6">
        <w:t xml:space="preserve"> </w:t>
      </w:r>
      <w:r w:rsidR="00A35ACF">
        <w:t xml:space="preserve">to </w:t>
      </w:r>
      <w:r w:rsidR="00A35ACF">
        <w:fldChar w:fldCharType="begin"/>
      </w:r>
      <w:r w:rsidR="00A35ACF">
        <w:instrText xml:space="preserve"> REF _Ref184283908 \r \h </w:instrText>
      </w:r>
      <w:r w:rsidR="00A35ACF">
        <w:fldChar w:fldCharType="separate"/>
      </w:r>
      <w:r w:rsidR="00833171">
        <w:t>238</w:t>
      </w:r>
      <w:r w:rsidR="00A35ACF">
        <w:fldChar w:fldCharType="end"/>
      </w:r>
      <w:r w:rsidRPr="00EA4AE6">
        <w:t>); a</w:t>
      </w:r>
      <w:r>
        <w:t>nd</w:t>
      </w:r>
    </w:p>
    <w:p w14:paraId="2D242E9C" w14:textId="77777777" w:rsidR="00590F3B" w:rsidRPr="00FD274F" w:rsidRDefault="00590F3B" w:rsidP="00590F3B">
      <w:pPr>
        <w:pStyle w:val="BodyPara"/>
      </w:pPr>
      <w:r w:rsidRPr="00FD274F">
        <w:t>unless an instrument is made by the act of gazettal—the instrument is registered before it is published elsewhere, consistent with Parliamentary expectations about the prompt lodgement and registration of instruments.</w:t>
      </w:r>
    </w:p>
    <w:p w14:paraId="601CE618" w14:textId="77777777" w:rsidR="00590F3B" w:rsidRPr="00FD274F" w:rsidRDefault="00590F3B" w:rsidP="00590F3B">
      <w:pPr>
        <w:pStyle w:val="BodyNum"/>
      </w:pPr>
      <w:r w:rsidRPr="00FD274F">
        <w:t>If an instrument is to be notified or published in the Gazette, it may be appropriate to do so in one of the specialist gazettes published by individual Australian Government agencies. Otherwise, details should be lodged with OPC for gazettal in the general Government Notices Gazette. As part of lodging a notice with OPC, agencies will need to:</w:t>
      </w:r>
    </w:p>
    <w:p w14:paraId="4FB4153D" w14:textId="77777777" w:rsidR="00590F3B" w:rsidRPr="00FD274F" w:rsidRDefault="00590F3B" w:rsidP="00590F3B">
      <w:pPr>
        <w:pStyle w:val="BodyPara"/>
      </w:pPr>
      <w:r w:rsidRPr="00FD274F">
        <w:t>submit two different lodgements (an instrument and a gazette notice)</w:t>
      </w:r>
      <w:r>
        <w:t>; and</w:t>
      </w:r>
    </w:p>
    <w:p w14:paraId="4A9F9BED" w14:textId="77777777" w:rsidR="00590F3B" w:rsidRPr="00FD274F" w:rsidRDefault="00590F3B" w:rsidP="00044E04">
      <w:pPr>
        <w:pStyle w:val="BodyPara"/>
      </w:pPr>
      <w:r w:rsidRPr="00FD274F">
        <w:t>ensure that the requirement for gazettal in addition to registration is explicitly flagg</w:t>
      </w:r>
      <w:r>
        <w:t>ed on both lodgement forms; and</w:t>
      </w:r>
    </w:p>
    <w:p w14:paraId="7A30CE77" w14:textId="694DE29F" w:rsidR="0057232B" w:rsidRDefault="00590F3B" w:rsidP="00044E04">
      <w:pPr>
        <w:pStyle w:val="BodyPara"/>
        <w:rPr>
          <w:lang w:eastAsia="en-US"/>
        </w:rPr>
        <w:sectPr w:rsidR="0057232B" w:rsidSect="003D7DCE">
          <w:headerReference w:type="default" r:id="rId260"/>
          <w:pgSz w:w="11907" w:h="16839" w:code="9"/>
          <w:pgMar w:top="1440" w:right="1440" w:bottom="1418" w:left="1440" w:header="720" w:footer="720" w:gutter="0"/>
          <w:pgNumType w:start="30"/>
          <w:cols w:sep="1" w:space="567"/>
          <w:docGrid w:linePitch="360"/>
        </w:sectPr>
      </w:pPr>
      <w:r w:rsidRPr="00FD274F">
        <w:t>if applicable, flag any special requirement for gazettal and registration to take place on the same day (and again, this should be noted on both forms).</w:t>
      </w:r>
      <w:bookmarkStart w:id="120" w:name="Chapter5"/>
      <w:bookmarkStart w:id="121" w:name="_Hlk175123706"/>
    </w:p>
    <w:p w14:paraId="7806FB9C" w14:textId="7CBAB6C3" w:rsidR="00942860" w:rsidRPr="00FD274F" w:rsidRDefault="00942860" w:rsidP="00E01E63">
      <w:pPr>
        <w:pStyle w:val="Head2"/>
        <w:pageBreakBefore/>
        <w:rPr>
          <w:lang w:eastAsia="en-US"/>
        </w:rPr>
      </w:pPr>
      <w:bookmarkStart w:id="122" w:name="_Toc183694676"/>
      <w:r w:rsidRPr="00FD274F">
        <w:rPr>
          <w:lang w:eastAsia="en-US"/>
        </w:rPr>
        <w:lastRenderedPageBreak/>
        <w:t>Chapter 5—Compilations</w:t>
      </w:r>
      <w:bookmarkEnd w:id="122"/>
    </w:p>
    <w:bookmarkEnd w:id="120"/>
    <w:p w14:paraId="3EEF7C3E" w14:textId="77777777" w:rsidR="00942860" w:rsidRPr="00FD274F" w:rsidRDefault="00942860" w:rsidP="00942860">
      <w:pPr>
        <w:pStyle w:val="SundryBoxHeadBold"/>
      </w:pPr>
      <w:r w:rsidRPr="00FD274F">
        <w:t>Main points</w:t>
      </w:r>
    </w:p>
    <w:p w14:paraId="047E3802" w14:textId="77777777" w:rsidR="00942860" w:rsidRDefault="00942860" w:rsidP="00942860">
      <w:pPr>
        <w:pStyle w:val="SundryBoxBullet"/>
      </w:pPr>
      <w:r w:rsidRPr="00FD274F">
        <w:t>•</w:t>
      </w:r>
      <w:r w:rsidRPr="00FD274F">
        <w:tab/>
      </w:r>
      <w:r w:rsidRPr="007A03DA">
        <w:t>A compilation shows the text of an Act, legislative instrument or notifiable instrument as amended (if at all) and in force on the compilation date stated in the Act or instrument.</w:t>
      </w:r>
    </w:p>
    <w:p w14:paraId="79376443" w14:textId="77777777" w:rsidR="00942860" w:rsidRPr="00FD274F" w:rsidRDefault="00942860" w:rsidP="00942860">
      <w:pPr>
        <w:pStyle w:val="SundryBoxBullet"/>
      </w:pPr>
      <w:r w:rsidRPr="00FD274F">
        <w:t>•</w:t>
      </w:r>
      <w:r w:rsidRPr="00FD274F">
        <w:tab/>
        <w:t>Compilations are an important resource for agency staff and other users of legislation.</w:t>
      </w:r>
    </w:p>
    <w:p w14:paraId="5D0E5FBD" w14:textId="77777777" w:rsidR="00942860" w:rsidRPr="00FD274F" w:rsidRDefault="00942860" w:rsidP="00942860">
      <w:pPr>
        <w:pStyle w:val="SundryBoxBullet"/>
      </w:pPr>
      <w:r w:rsidRPr="00FD274F">
        <w:t>•</w:t>
      </w:r>
      <w:r w:rsidRPr="00FD274F">
        <w:tab/>
        <w:t>As a general rule, a new compilation must be registered within 28 days of amendments to the text commencing or of other required compilation events.</w:t>
      </w:r>
    </w:p>
    <w:p w14:paraId="0B7BCA2D" w14:textId="77777777" w:rsidR="00942860" w:rsidRPr="00FD274F" w:rsidRDefault="00942860" w:rsidP="00942860">
      <w:pPr>
        <w:pStyle w:val="SundryBoxBullet"/>
      </w:pPr>
      <w:r w:rsidRPr="00FD274F">
        <w:t>•</w:t>
      </w:r>
      <w:r w:rsidRPr="00FD274F">
        <w:tab/>
        <w:t>A compilation may also need to be prepared and lodged for other discretionary compilation events</w:t>
      </w:r>
      <w:r>
        <w:t xml:space="preserve"> as notified by OPC.</w:t>
      </w:r>
    </w:p>
    <w:p w14:paraId="2707E522" w14:textId="3243CAF9" w:rsidR="00942860" w:rsidRDefault="00942860" w:rsidP="00942860">
      <w:pPr>
        <w:pStyle w:val="SundryBoxBullet"/>
      </w:pPr>
      <w:r w:rsidRPr="00FD274F">
        <w:t>•</w:t>
      </w:r>
      <w:r w:rsidRPr="00FD274F">
        <w:tab/>
        <w:t xml:space="preserve">Agencies are responsible for preparing compilations of some instruments but can </w:t>
      </w:r>
      <w:proofErr w:type="gramStart"/>
      <w:r w:rsidRPr="00FD274F">
        <w:t>make arrangements</w:t>
      </w:r>
      <w:proofErr w:type="gramEnd"/>
      <w:r w:rsidRPr="00FD274F">
        <w:t xml:space="preserve"> for OPC to prepare them on a </w:t>
      </w:r>
      <w:r>
        <w:t>fee</w:t>
      </w:r>
      <w:r>
        <w:noBreakHyphen/>
        <w:t>for</w:t>
      </w:r>
      <w:r>
        <w:noBreakHyphen/>
        <w:t>service</w:t>
      </w:r>
      <w:r w:rsidRPr="00FD274F">
        <w:t xml:space="preserve"> basis.</w:t>
      </w:r>
    </w:p>
    <w:p w14:paraId="549BCF5B" w14:textId="3D96754A" w:rsidR="00734688" w:rsidRDefault="00734688" w:rsidP="00734688">
      <w:pPr>
        <w:pStyle w:val="SundryBoxBullet"/>
      </w:pPr>
      <w:r w:rsidRPr="00FD274F">
        <w:t>•</w:t>
      </w:r>
      <w:r w:rsidRPr="00FD274F">
        <w:tab/>
      </w:r>
      <w:r>
        <w:t xml:space="preserve">Where an editorial change is </w:t>
      </w:r>
      <w:r w:rsidR="009E35A6">
        <w:t>required, OPC must prepare the compilation</w:t>
      </w:r>
      <w:r w:rsidRPr="00FD274F">
        <w:t>.</w:t>
      </w:r>
    </w:p>
    <w:p w14:paraId="74EE1972" w14:textId="150001B4" w:rsidR="00942860" w:rsidRPr="00FD274F" w:rsidRDefault="00942860" w:rsidP="00942860">
      <w:pPr>
        <w:pStyle w:val="SundryBoxBullet"/>
      </w:pPr>
      <w:r w:rsidRPr="00FD274F">
        <w:t>•</w:t>
      </w:r>
      <w:r w:rsidRPr="00FD274F">
        <w:tab/>
        <w:t xml:space="preserve">Care and skill </w:t>
      </w:r>
      <w:proofErr w:type="gramStart"/>
      <w:r w:rsidRPr="00FD274F">
        <w:t>is</w:t>
      </w:r>
      <w:proofErr w:type="gramEnd"/>
      <w:r w:rsidRPr="00FD274F">
        <w:t xml:space="preserve"> required to ensure that compilations are complete, accurate, and meet the requiremen</w:t>
      </w:r>
      <w:r w:rsidRPr="00D965EA">
        <w:t xml:space="preserve">ts of the </w:t>
      </w:r>
      <w:hyperlink r:id="rId261" w:history="1">
        <w:r w:rsidRPr="00D965EA">
          <w:rPr>
            <w:rStyle w:val="Hyperlink"/>
          </w:rPr>
          <w:t>LA</w:t>
        </w:r>
      </w:hyperlink>
      <w:r w:rsidRPr="00D965EA">
        <w:t>.</w:t>
      </w:r>
    </w:p>
    <w:p w14:paraId="6D533148" w14:textId="77777777" w:rsidR="00942860" w:rsidRPr="00FD274F" w:rsidRDefault="00942860" w:rsidP="00942860">
      <w:pPr>
        <w:pStyle w:val="SundryBoxBullet"/>
      </w:pPr>
      <w:r w:rsidRPr="00FD274F">
        <w:t>•</w:t>
      </w:r>
      <w:r w:rsidRPr="00FD274F">
        <w:tab/>
        <w:t>Future law compilations can be published on the Register if required</w:t>
      </w:r>
      <w:r w:rsidRPr="00FD274F">
        <w:rPr>
          <w:i/>
        </w:rPr>
        <w:t>.</w:t>
      </w:r>
    </w:p>
    <w:p w14:paraId="2B969590" w14:textId="77777777" w:rsidR="00942860" w:rsidRPr="00FD274F" w:rsidRDefault="00942860" w:rsidP="00942860">
      <w:pPr>
        <w:pStyle w:val="Head3"/>
      </w:pPr>
      <w:bookmarkStart w:id="123" w:name="_Toc183694677"/>
      <w:r>
        <w:t>General</w:t>
      </w:r>
      <w:bookmarkEnd w:id="123"/>
    </w:p>
    <w:p w14:paraId="4AF47946" w14:textId="77777777" w:rsidR="00942860" w:rsidRPr="00FD274F" w:rsidRDefault="00942860" w:rsidP="00942860">
      <w:pPr>
        <w:pStyle w:val="BodyNum"/>
      </w:pPr>
      <w:r w:rsidRPr="00FD274F">
        <w:t xml:space="preserve">Compilations showing the full text of a law as in force from time to time are an important resource for agency staff and everyone else wanting to understand and comply with the law. </w:t>
      </w:r>
      <w:r w:rsidRPr="00FD274F">
        <w:rPr>
          <w:color w:val="000000"/>
        </w:rPr>
        <w:t>If a compilation is not available, people needing to know what the law says and how it has changed have to work this out for themselves—a time</w:t>
      </w:r>
      <w:r>
        <w:rPr>
          <w:color w:val="000000"/>
        </w:rPr>
        <w:noBreakHyphen/>
      </w:r>
      <w:r w:rsidRPr="00FD274F">
        <w:rPr>
          <w:color w:val="000000"/>
        </w:rPr>
        <w:t>consuming and complex process, particularly if the law has been amended many times.</w:t>
      </w:r>
    </w:p>
    <w:p w14:paraId="1FDD429B" w14:textId="77777777" w:rsidR="00942860" w:rsidRPr="00FD274F" w:rsidRDefault="00942860" w:rsidP="00942860">
      <w:pPr>
        <w:pStyle w:val="Head3"/>
      </w:pPr>
      <w:bookmarkStart w:id="124" w:name="_Toc183694678"/>
      <w:r w:rsidRPr="00FD274F">
        <w:t>When to prepare compilations</w:t>
      </w:r>
      <w:bookmarkEnd w:id="124"/>
    </w:p>
    <w:p w14:paraId="0650F56D" w14:textId="77777777" w:rsidR="00942860" w:rsidRPr="00FD274F" w:rsidRDefault="00942860" w:rsidP="00942860">
      <w:pPr>
        <w:pStyle w:val="BodyNum"/>
      </w:pPr>
      <w:bookmarkStart w:id="125" w:name="_Ref441240710"/>
      <w:r w:rsidRPr="00FD274F">
        <w:t xml:space="preserve">A compilation is required to be prepared and lodged whenever a required compilation event occurs. A </w:t>
      </w:r>
      <w:r w:rsidRPr="00FD274F">
        <w:rPr>
          <w:b/>
          <w:i/>
        </w:rPr>
        <w:t>required compilation event</w:t>
      </w:r>
      <w:r w:rsidRPr="00FD274F">
        <w:t xml:space="preserve"> (that is, an event that requires a new compilation) occurs whenever:</w:t>
      </w:r>
      <w:bookmarkEnd w:id="125"/>
    </w:p>
    <w:p w14:paraId="6AE40427" w14:textId="1C30350B" w:rsidR="00942860" w:rsidRPr="00FD274F" w:rsidRDefault="00942860" w:rsidP="00942860">
      <w:pPr>
        <w:pStyle w:val="BodyPara"/>
      </w:pPr>
      <w:r w:rsidRPr="00FD274F">
        <w:t xml:space="preserve">an instrument is expressly amended, unless this is by the automatic repeal provisions of </w:t>
      </w:r>
      <w:r w:rsidRPr="00D965EA">
        <w:t xml:space="preserve">section 48C or 48D of the </w:t>
      </w:r>
      <w:hyperlink r:id="rId262" w:history="1">
        <w:r w:rsidRPr="00D965EA">
          <w:rPr>
            <w:rStyle w:val="Hyperlink"/>
          </w:rPr>
          <w:t>LA</w:t>
        </w:r>
      </w:hyperlink>
      <w:r w:rsidRPr="00D965EA">
        <w:t xml:space="preserve"> (</w:t>
      </w:r>
      <w:hyperlink r:id="rId263" w:history="1">
        <w:r w:rsidRPr="00D965EA">
          <w:rPr>
            <w:rStyle w:val="Hyperlink"/>
          </w:rPr>
          <w:t>LA</w:t>
        </w:r>
      </w:hyperlink>
      <w:r w:rsidRPr="00D965EA">
        <w:t xml:space="preserve"> s 15Q(1)(a));</w:t>
      </w:r>
      <w:r w:rsidRPr="00FD274F">
        <w:t xml:space="preserve"> or</w:t>
      </w:r>
    </w:p>
    <w:p w14:paraId="488036CA" w14:textId="006FA1D2" w:rsidR="00942860" w:rsidRPr="00D965EA" w:rsidRDefault="00942860" w:rsidP="00942860">
      <w:pPr>
        <w:pStyle w:val="BodyPara"/>
      </w:pPr>
      <w:r w:rsidRPr="00FD274F">
        <w:t>disallowance results in the repeal of a provision of the principal legislative instrument, of an amending instrument or amending provisio</w:t>
      </w:r>
      <w:r w:rsidRPr="00D965EA">
        <w:t>n (</w:t>
      </w:r>
      <w:hyperlink r:id="rId264" w:history="1">
        <w:r w:rsidRPr="00D965EA">
          <w:rPr>
            <w:rStyle w:val="Hyperlink"/>
          </w:rPr>
          <w:t>LA</w:t>
        </w:r>
      </w:hyperlink>
      <w:r w:rsidRPr="00D965EA">
        <w:t xml:space="preserve"> s 15Q(1)(b)); or</w:t>
      </w:r>
    </w:p>
    <w:p w14:paraId="79C2CF80" w14:textId="559F98F4" w:rsidR="00942860" w:rsidRPr="00D965EA" w:rsidRDefault="00942860" w:rsidP="00942860">
      <w:pPr>
        <w:pStyle w:val="BodyPara"/>
      </w:pPr>
      <w:r w:rsidRPr="00FD274F">
        <w:t>a provisio</w:t>
      </w:r>
      <w:r>
        <w:t>n of the instrument is repealed under another Act or instru</w:t>
      </w:r>
      <w:r w:rsidRPr="00D965EA">
        <w:t>ment (</w:t>
      </w:r>
      <w:hyperlink r:id="rId265" w:history="1">
        <w:r w:rsidRPr="00D965EA">
          <w:rPr>
            <w:rStyle w:val="Hyperlink"/>
          </w:rPr>
          <w:t>LA</w:t>
        </w:r>
      </w:hyperlink>
      <w:r w:rsidRPr="00D965EA">
        <w:t xml:space="preserve"> s 15Q(1)(c)); or</w:t>
      </w:r>
    </w:p>
    <w:p w14:paraId="419F65D3" w14:textId="66BBB429" w:rsidR="00942860" w:rsidRPr="00FD274F" w:rsidRDefault="00942860" w:rsidP="00942860">
      <w:pPr>
        <w:pStyle w:val="BodyPara"/>
      </w:pPr>
      <w:r w:rsidRPr="00FD274F">
        <w:lastRenderedPageBreak/>
        <w:t>something else happens that is prescribed by the rul</w:t>
      </w:r>
      <w:r w:rsidRPr="00D965EA">
        <w:t>es (</w:t>
      </w:r>
      <w:hyperlink r:id="rId266" w:history="1">
        <w:r w:rsidRPr="00D965EA">
          <w:rPr>
            <w:rStyle w:val="Hyperlink"/>
          </w:rPr>
          <w:t>LA</w:t>
        </w:r>
      </w:hyperlink>
      <w:r w:rsidRPr="00D965EA">
        <w:t xml:space="preserve"> s 15Q(1)(d)).</w:t>
      </w:r>
    </w:p>
    <w:p w14:paraId="1B12211A" w14:textId="6A4BF529" w:rsidR="00942860" w:rsidRPr="00FD274F" w:rsidRDefault="00942860" w:rsidP="00942860">
      <w:pPr>
        <w:pStyle w:val="BodyNum"/>
        <w:keepLines/>
      </w:pPr>
      <w:r w:rsidRPr="00FD274F">
        <w:t>If a required compilation event occurs, the rule</w:t>
      </w:r>
      <w:r>
        <w:noBreakHyphen/>
      </w:r>
      <w:r w:rsidRPr="00FD274F">
        <w:t>maker must prepare and lodge a compilation within 28 days of the event, unless the First Parliamentary Counsel has agreed to a longer pe</w:t>
      </w:r>
      <w:r w:rsidRPr="00D965EA">
        <w:t>riod (</w:t>
      </w:r>
      <w:hyperlink r:id="rId267" w:history="1">
        <w:r w:rsidRPr="00D965EA">
          <w:rPr>
            <w:rStyle w:val="Hyperlink"/>
          </w:rPr>
          <w:t>LA</w:t>
        </w:r>
      </w:hyperlink>
      <w:r w:rsidRPr="00D965EA">
        <w:t xml:space="preserve"> s 15R(3)) or</w:t>
      </w:r>
      <w:r w:rsidRPr="00FD274F">
        <w:t xml:space="preserve"> has made a rule waiving this requirement (e.g. because the compilation will be prepared by OPC rather than the rule</w:t>
      </w:r>
      <w:r>
        <w:noBreakHyphen/>
      </w:r>
      <w:r w:rsidRPr="00FD274F">
        <w:t>maker</w:t>
      </w:r>
      <w:r w:rsidR="00696F43">
        <w:t>:</w:t>
      </w:r>
      <w:r w:rsidRPr="00FD274F">
        <w:t xml:space="preserve"> </w:t>
      </w:r>
      <w:r w:rsidRPr="004532FE">
        <w:t xml:space="preserve">see </w:t>
      </w:r>
      <w:hyperlink r:id="rId268" w:history="1">
        <w:r w:rsidRPr="004532FE">
          <w:rPr>
            <w:rStyle w:val="Hyperlink"/>
          </w:rPr>
          <w:t>Rule</w:t>
        </w:r>
      </w:hyperlink>
      <w:r w:rsidRPr="004532FE">
        <w:t xml:space="preserve"> s 8).</w:t>
      </w:r>
    </w:p>
    <w:p w14:paraId="218CA6EF" w14:textId="77777777" w:rsidR="00942860" w:rsidRPr="00FD274F" w:rsidRDefault="00942860" w:rsidP="00942860">
      <w:pPr>
        <w:pStyle w:val="BodyNum"/>
      </w:pPr>
      <w:bookmarkStart w:id="126" w:name="_Ref444859371"/>
      <w:r w:rsidRPr="00FD274F">
        <w:t xml:space="preserve">The First Parliamentary Counsel may also </w:t>
      </w:r>
      <w:proofErr w:type="gramStart"/>
      <w:r w:rsidRPr="00FD274F">
        <w:t>prepare, or</w:t>
      </w:r>
      <w:proofErr w:type="gramEnd"/>
      <w:r w:rsidRPr="00FD274F">
        <w:t xml:space="preserve"> issue a notice requiring a rule</w:t>
      </w:r>
      <w:r>
        <w:noBreakHyphen/>
      </w:r>
      <w:r w:rsidRPr="00FD274F">
        <w:t xml:space="preserve">maker to prepare, compilations to reflect the impact of other events known as discretionary compilation events. A </w:t>
      </w:r>
      <w:r w:rsidRPr="00FD274F">
        <w:rPr>
          <w:b/>
          <w:i/>
        </w:rPr>
        <w:t>discretionary compilation event</w:t>
      </w:r>
      <w:r w:rsidRPr="00FD274F">
        <w:t xml:space="preserve"> occurs when:</w:t>
      </w:r>
      <w:bookmarkEnd w:id="126"/>
    </w:p>
    <w:p w14:paraId="2BECD30D" w14:textId="1097B921" w:rsidR="00942860" w:rsidRPr="00FD274F" w:rsidRDefault="00942860" w:rsidP="00942860">
      <w:pPr>
        <w:pStyle w:val="BodyPara"/>
      </w:pPr>
      <w:r w:rsidRPr="00FD274F">
        <w:t>a provision of an instrument commence</w:t>
      </w:r>
      <w:r w:rsidRPr="00D965EA">
        <w:t>s (</w:t>
      </w:r>
      <w:hyperlink r:id="rId269" w:history="1">
        <w:r w:rsidRPr="00D965EA">
          <w:rPr>
            <w:rStyle w:val="Hyperlink"/>
          </w:rPr>
          <w:t>LA</w:t>
        </w:r>
      </w:hyperlink>
      <w:r w:rsidRPr="00D965EA">
        <w:t xml:space="preserve"> s 15Q(2)(a)); o</w:t>
      </w:r>
      <w:r>
        <w:t>r</w:t>
      </w:r>
    </w:p>
    <w:p w14:paraId="3769645A" w14:textId="27A5EC39" w:rsidR="00942860" w:rsidRPr="00FD274F" w:rsidRDefault="00942860" w:rsidP="00942860">
      <w:pPr>
        <w:pStyle w:val="BodyPara"/>
      </w:pPr>
      <w:r w:rsidRPr="00FD274F">
        <w:t>solely commencing, amending or repealing provisions are repealed under secti</w:t>
      </w:r>
      <w:r w:rsidRPr="00D965EA">
        <w:t>on 48C or 48D of the LA (</w:t>
      </w:r>
      <w:hyperlink r:id="rId270" w:history="1">
        <w:r w:rsidRPr="00D965EA">
          <w:rPr>
            <w:rStyle w:val="Hyperlink"/>
          </w:rPr>
          <w:t>LA</w:t>
        </w:r>
      </w:hyperlink>
      <w:r w:rsidRPr="00D965EA">
        <w:t xml:space="preserve"> s 15Q(2)(b)); o</w:t>
      </w:r>
      <w:r>
        <w:t>r</w:t>
      </w:r>
    </w:p>
    <w:p w14:paraId="613BA73C" w14:textId="23641A41" w:rsidR="00942860" w:rsidRPr="00FD274F" w:rsidRDefault="00942860" w:rsidP="00942860">
      <w:pPr>
        <w:pStyle w:val="BodyPara"/>
      </w:pPr>
      <w:r w:rsidRPr="00FD274F">
        <w:t xml:space="preserve">an instrument is modified </w:t>
      </w:r>
      <w:r w:rsidRPr="00D965EA">
        <w:t>(</w:t>
      </w:r>
      <w:hyperlink r:id="rId271" w:history="1">
        <w:r w:rsidRPr="00D965EA">
          <w:rPr>
            <w:rStyle w:val="Hyperlink"/>
          </w:rPr>
          <w:t>LA</w:t>
        </w:r>
      </w:hyperlink>
      <w:r w:rsidRPr="00D965EA">
        <w:t xml:space="preserve"> s 15Q(2)(c));</w:t>
      </w:r>
      <w:r w:rsidRPr="00FD274F">
        <w:t xml:space="preserve"> or</w:t>
      </w:r>
    </w:p>
    <w:p w14:paraId="488BA122" w14:textId="524FF765" w:rsidR="00942860" w:rsidRPr="00D965EA" w:rsidRDefault="00942860" w:rsidP="00942860">
      <w:pPr>
        <w:pStyle w:val="BodyPara"/>
      </w:pPr>
      <w:r w:rsidRPr="00FD274F">
        <w:t>an instrument is impliedly amended (for example, by a provision stating that a reference to a law by its old name should be construed as a reference to its new name without details of where the reference is to be found) (</w:t>
      </w:r>
      <w:hyperlink r:id="rId272" w:history="1">
        <w:r w:rsidRPr="00D965EA">
          <w:rPr>
            <w:rStyle w:val="Hyperlink"/>
          </w:rPr>
          <w:t>LA</w:t>
        </w:r>
      </w:hyperlink>
      <w:r w:rsidRPr="00D965EA">
        <w:t xml:space="preserve"> s 15Q(2)(d)); or</w:t>
      </w:r>
    </w:p>
    <w:p w14:paraId="2FB16441" w14:textId="60D2B7FA" w:rsidR="00942860" w:rsidRPr="00FD274F" w:rsidRDefault="00942860" w:rsidP="00942860">
      <w:pPr>
        <w:pStyle w:val="BodyPara"/>
      </w:pPr>
      <w:r w:rsidRPr="00FD274F">
        <w:t>a provision of an instrument</w:t>
      </w:r>
      <w:r w:rsidRPr="000E24E5">
        <w:t xml:space="preserve"> is repealed</w:t>
      </w:r>
      <w:r>
        <w:t xml:space="preserve"> </w:t>
      </w:r>
      <w:r w:rsidRPr="00FD274F">
        <w:t>under another provision of that instrument (</w:t>
      </w:r>
      <w:hyperlink r:id="rId273" w:history="1">
        <w:r w:rsidRPr="00D965EA">
          <w:rPr>
            <w:rStyle w:val="Hyperlink"/>
          </w:rPr>
          <w:t>LA</w:t>
        </w:r>
      </w:hyperlink>
      <w:r w:rsidRPr="00D965EA">
        <w:t xml:space="preserve"> s 15Q(2)(e)); or</w:t>
      </w:r>
    </w:p>
    <w:p w14:paraId="435FCF5B" w14:textId="0EE8ED4E" w:rsidR="00942860" w:rsidRPr="00FD274F" w:rsidRDefault="00942860" w:rsidP="00942860">
      <w:pPr>
        <w:pStyle w:val="BodyPara"/>
        <w:rPr>
          <w:spacing w:val="-2"/>
        </w:rPr>
      </w:pPr>
      <w:r w:rsidRPr="00FD274F">
        <w:rPr>
          <w:spacing w:val="-2"/>
        </w:rPr>
        <w:t>the text of the instrument as made or of the latest registered compilation ceases to show the text of the instrument as in for</w:t>
      </w:r>
      <w:r w:rsidRPr="00D965EA">
        <w:rPr>
          <w:spacing w:val="-2"/>
        </w:rPr>
        <w:t>ce (</w:t>
      </w:r>
      <w:hyperlink r:id="rId274" w:history="1">
        <w:r w:rsidRPr="00D965EA">
          <w:rPr>
            <w:rStyle w:val="Hyperlink"/>
            <w:spacing w:val="-2"/>
          </w:rPr>
          <w:t>LA</w:t>
        </w:r>
      </w:hyperlink>
      <w:r w:rsidRPr="00D965EA">
        <w:rPr>
          <w:spacing w:val="-2"/>
        </w:rPr>
        <w:t xml:space="preserve"> s 15Q(2)(f) and (g)); o</w:t>
      </w:r>
      <w:r>
        <w:rPr>
          <w:spacing w:val="-2"/>
        </w:rPr>
        <w:t>r</w:t>
      </w:r>
    </w:p>
    <w:p w14:paraId="4DA2A34F" w14:textId="18E48A00" w:rsidR="00942860" w:rsidRPr="00FD274F" w:rsidRDefault="00942860" w:rsidP="00942860">
      <w:pPr>
        <w:pStyle w:val="BodyPara"/>
      </w:pPr>
      <w:r w:rsidRPr="00FD274F">
        <w:t xml:space="preserve">something else happens that is prescribed by the rules </w:t>
      </w:r>
      <w:r w:rsidRPr="00D965EA">
        <w:t>(</w:t>
      </w:r>
      <w:hyperlink r:id="rId275" w:history="1">
        <w:r w:rsidRPr="00D965EA">
          <w:rPr>
            <w:rStyle w:val="Hyperlink"/>
          </w:rPr>
          <w:t>LA</w:t>
        </w:r>
      </w:hyperlink>
      <w:r w:rsidRPr="00D965EA">
        <w:t xml:space="preserve"> s 15Q(2)(h)).</w:t>
      </w:r>
    </w:p>
    <w:p w14:paraId="735FF1F3" w14:textId="77777777" w:rsidR="00942860" w:rsidRPr="00FD274F" w:rsidRDefault="00942860" w:rsidP="00942860">
      <w:pPr>
        <w:pStyle w:val="BodyNum"/>
      </w:pPr>
      <w:r w:rsidRPr="00FD274F">
        <w:t>Compilations are required to be prepared on a “point</w:t>
      </w:r>
      <w:r>
        <w:noBreakHyphen/>
      </w:r>
      <w:r w:rsidRPr="00FD274F">
        <w:t>in</w:t>
      </w:r>
      <w:r>
        <w:noBreakHyphen/>
      </w:r>
      <w:r w:rsidRPr="00FD274F">
        <w:t>time” basis. A compilation of an instrument should be available for each date at which the text of the instrument is different. This enables a reader to readily work out the state of the law represented by the instrument at every point</w:t>
      </w:r>
      <w:r>
        <w:noBreakHyphen/>
      </w:r>
      <w:r w:rsidRPr="00FD274F">
        <w:t>in</w:t>
      </w:r>
      <w:r>
        <w:noBreakHyphen/>
      </w:r>
      <w:r w:rsidRPr="00FD274F">
        <w:t>time that the instrument is in force.</w:t>
      </w:r>
    </w:p>
    <w:p w14:paraId="42D1F8D4" w14:textId="0863EA16" w:rsidR="00942860" w:rsidRPr="00FD274F" w:rsidRDefault="00707F19" w:rsidP="00942860">
      <w:pPr>
        <w:pStyle w:val="BodyNum"/>
      </w:pPr>
      <w:r>
        <w:t>This means that</w:t>
      </w:r>
      <w:r w:rsidR="00942860" w:rsidRPr="00FD274F">
        <w:t xml:space="preserve"> multiple compilations will normally be required if amendments commence on different dates. To illustrate, if amendments of an instrument commence on two different dates, two compilations will be </w:t>
      </w:r>
      <w:proofErr w:type="gramStart"/>
      <w:r w:rsidR="00942860" w:rsidRPr="00FD274F">
        <w:t>required</w:t>
      </w:r>
      <w:proofErr w:type="gramEnd"/>
      <w:r w:rsidR="00942860" w:rsidRPr="00FD274F">
        <w:t xml:space="preserve"> and it does not matter whether the amendments were made by one amending instrument or 20 amending instruments. Similarly, if an amendment of an instrument has co</w:t>
      </w:r>
      <w:r w:rsidR="00942860">
        <w:t>mmenced but is then disallowed:</w:t>
      </w:r>
    </w:p>
    <w:p w14:paraId="0C43B91B" w14:textId="77777777" w:rsidR="00942860" w:rsidRPr="00FD274F" w:rsidRDefault="00942860" w:rsidP="00942860">
      <w:pPr>
        <w:pStyle w:val="BodyPara"/>
      </w:pPr>
      <w:r w:rsidRPr="00FD274F">
        <w:t>a compilation showing the effect of the amendment before disallowance will be required; and</w:t>
      </w:r>
    </w:p>
    <w:p w14:paraId="1D20FD5A" w14:textId="77777777" w:rsidR="00942860" w:rsidRPr="00FD274F" w:rsidRDefault="00942860" w:rsidP="00942860">
      <w:pPr>
        <w:pStyle w:val="BodyPara"/>
      </w:pPr>
      <w:r w:rsidRPr="00FD274F">
        <w:t>another compilation will be required to show the effect of disallowance on the text of the instrument.</w:t>
      </w:r>
    </w:p>
    <w:p w14:paraId="76029EE0" w14:textId="77777777" w:rsidR="00FC1D28" w:rsidRPr="00FD274F" w:rsidRDefault="00FC1D28" w:rsidP="00FC1D28">
      <w:pPr>
        <w:pStyle w:val="Head3"/>
      </w:pPr>
      <w:bookmarkStart w:id="127" w:name="_Toc183694679"/>
      <w:r w:rsidRPr="00FD274F">
        <w:lastRenderedPageBreak/>
        <w:t>If amendments to an instrument have not taken effect</w:t>
      </w:r>
      <w:bookmarkEnd w:id="127"/>
    </w:p>
    <w:p w14:paraId="5D96000B" w14:textId="77777777" w:rsidR="00FC1D28" w:rsidRPr="00FD274F" w:rsidRDefault="00FC1D28" w:rsidP="00FC1D28">
      <w:pPr>
        <w:pStyle w:val="BodyNum"/>
        <w:keepLines/>
      </w:pPr>
      <w:r w:rsidRPr="00FD274F">
        <w:t xml:space="preserve">A </w:t>
      </w:r>
      <w:r w:rsidRPr="00FD274F">
        <w:rPr>
          <w:b/>
          <w:i/>
        </w:rPr>
        <w:t>future law compilation</w:t>
      </w:r>
      <w:r w:rsidRPr="00FD274F">
        <w:t xml:space="preserve"> is a compilation that incorporates expected amendments to the text of the law in force. Future law compilations can be a useful tool for agency staff and external stakeholders, particularly if major amendments have been made but have not yet commenced.</w:t>
      </w:r>
    </w:p>
    <w:p w14:paraId="5E8C8BD2" w14:textId="77777777" w:rsidR="00FC1D28" w:rsidRPr="00FD274F" w:rsidRDefault="00FC1D28" w:rsidP="00FC1D28">
      <w:pPr>
        <w:pStyle w:val="BodyNum"/>
      </w:pPr>
      <w:r w:rsidRPr="00FD274F">
        <w:t>As the law may change before the expected amendments commence, and to avoid any confusion in the future, these compilations should always be clearly identified as future law compilat</w:t>
      </w:r>
      <w:r>
        <w:t>ions.</w:t>
      </w:r>
    </w:p>
    <w:p w14:paraId="50DCF1B9" w14:textId="128EF27A" w:rsidR="00FC1D28" w:rsidRPr="00FD274F" w:rsidRDefault="00FC1D28" w:rsidP="00FC1D28">
      <w:pPr>
        <w:pStyle w:val="BodyNum"/>
        <w:rPr>
          <w:spacing w:val="-2"/>
          <w:szCs w:val="24"/>
        </w:rPr>
      </w:pPr>
      <w:r w:rsidRPr="00FD274F">
        <w:rPr>
          <w:spacing w:val="-2"/>
        </w:rPr>
        <w:t>Although a future law compilation will not be authorised, OPC can prepare a future law compilation for the relevant agency and can make it available on the Register website until relevant amendments commence. For more information on the options and associated fees, please co</w:t>
      </w:r>
      <w:r w:rsidRPr="00FD274F">
        <w:rPr>
          <w:spacing w:val="-2"/>
          <w:szCs w:val="24"/>
        </w:rPr>
        <w:t xml:space="preserve">ntact OPC </w:t>
      </w:r>
      <w:r w:rsidRPr="00FD274F">
        <w:rPr>
          <w:color w:val="000000"/>
          <w:spacing w:val="-2"/>
          <w:szCs w:val="24"/>
        </w:rPr>
        <w:t>(</w:t>
      </w:r>
      <w:hyperlink r:id="rId276" w:history="1">
        <w:r w:rsidRPr="00FD274F">
          <w:rPr>
            <w:rStyle w:val="Hyperlink"/>
            <w:rFonts w:eastAsiaTheme="minorHAnsi"/>
            <w:szCs w:val="24"/>
            <w:lang w:eastAsia="en-US"/>
          </w:rPr>
          <w:t>lodge@legislation.gov.au</w:t>
        </w:r>
      </w:hyperlink>
      <w:r w:rsidRPr="00FD274F">
        <w:rPr>
          <w:rFonts w:eastAsiaTheme="minorHAnsi"/>
          <w:color w:val="1F497D"/>
          <w:szCs w:val="24"/>
          <w:lang w:eastAsia="en-US"/>
        </w:rPr>
        <w:t xml:space="preserve"> </w:t>
      </w:r>
      <w:r w:rsidRPr="00FD274F">
        <w:rPr>
          <w:color w:val="000000"/>
          <w:spacing w:val="-2"/>
          <w:szCs w:val="24"/>
        </w:rPr>
        <w:t xml:space="preserve">or (02) </w:t>
      </w:r>
      <w:r w:rsidRPr="00FD274F">
        <w:rPr>
          <w:spacing w:val="-2"/>
          <w:szCs w:val="24"/>
        </w:rPr>
        <w:t>6120 1350</w:t>
      </w:r>
      <w:r w:rsidRPr="00FD274F">
        <w:rPr>
          <w:color w:val="000000"/>
          <w:spacing w:val="-2"/>
          <w:szCs w:val="24"/>
        </w:rPr>
        <w:t>)</w:t>
      </w:r>
      <w:r>
        <w:rPr>
          <w:spacing w:val="-2"/>
          <w:szCs w:val="24"/>
        </w:rPr>
        <w:t>.</w:t>
      </w:r>
    </w:p>
    <w:p w14:paraId="47321867" w14:textId="77777777" w:rsidR="00FC1D28" w:rsidRPr="00FD274F" w:rsidRDefault="00FC1D28" w:rsidP="00FC1D28">
      <w:pPr>
        <w:pStyle w:val="Head3"/>
      </w:pPr>
      <w:bookmarkStart w:id="128" w:name="_Toc183694680"/>
      <w:r w:rsidRPr="00FD274F">
        <w:t>Who can prepare compilations</w:t>
      </w:r>
      <w:bookmarkEnd w:id="128"/>
    </w:p>
    <w:p w14:paraId="67DF0B38" w14:textId="29509B70" w:rsidR="00FC1D28" w:rsidRPr="00FD274F" w:rsidRDefault="00FC1D28" w:rsidP="00FC1D28">
      <w:pPr>
        <w:pStyle w:val="BodyNum"/>
        <w:rPr>
          <w:szCs w:val="24"/>
        </w:rPr>
      </w:pPr>
      <w:r w:rsidRPr="00FD274F">
        <w:t xml:space="preserve">OPC prepares compilations for all </w:t>
      </w:r>
      <w:r w:rsidRPr="00FD274F">
        <w:rPr>
          <w:color w:val="000000"/>
        </w:rPr>
        <w:t>Acts and for instruments that must be drafted by OPC. For more information on OPC’s tied work, see pa</w:t>
      </w:r>
      <w:r w:rsidRPr="003A701E">
        <w:rPr>
          <w:color w:val="000000"/>
        </w:rPr>
        <w:t xml:space="preserve">ragraph </w:t>
      </w:r>
      <w:r w:rsidRPr="00D965EA">
        <w:rPr>
          <w:color w:val="000000"/>
        </w:rPr>
        <w:fldChar w:fldCharType="begin"/>
      </w:r>
      <w:r w:rsidRPr="003A701E">
        <w:rPr>
          <w:color w:val="000000"/>
        </w:rPr>
        <w:instrText xml:space="preserve"> REF _Ref386114686 \r \h  \* MERGEFORMAT </w:instrText>
      </w:r>
      <w:r w:rsidRPr="00D965EA">
        <w:rPr>
          <w:color w:val="000000"/>
        </w:rPr>
      </w:r>
      <w:r w:rsidRPr="00D965EA">
        <w:rPr>
          <w:color w:val="000000"/>
        </w:rPr>
        <w:fldChar w:fldCharType="separate"/>
      </w:r>
      <w:r w:rsidR="00833171">
        <w:rPr>
          <w:color w:val="000000"/>
        </w:rPr>
        <w:t>52</w:t>
      </w:r>
      <w:r w:rsidRPr="00D965EA">
        <w:rPr>
          <w:color w:val="000000"/>
        </w:rPr>
        <w:fldChar w:fldCharType="end"/>
      </w:r>
      <w:r w:rsidRPr="00FD274F">
        <w:rPr>
          <w:color w:val="000000"/>
        </w:rPr>
        <w:t>. OPC is also availabl</w:t>
      </w:r>
      <w:r w:rsidRPr="00FD274F">
        <w:rPr>
          <w:color w:val="000000"/>
          <w:szCs w:val="24"/>
        </w:rPr>
        <w:t>e to prepare compilations of other instruments for agencies on a fee</w:t>
      </w:r>
      <w:r>
        <w:rPr>
          <w:color w:val="000000"/>
          <w:szCs w:val="24"/>
        </w:rPr>
        <w:noBreakHyphen/>
      </w:r>
      <w:r w:rsidRPr="00FD274F">
        <w:rPr>
          <w:color w:val="000000"/>
          <w:szCs w:val="24"/>
        </w:rPr>
        <w:t>for</w:t>
      </w:r>
      <w:r>
        <w:rPr>
          <w:color w:val="000000"/>
          <w:szCs w:val="24"/>
        </w:rPr>
        <w:noBreakHyphen/>
      </w:r>
      <w:r w:rsidRPr="00FD274F">
        <w:rPr>
          <w:color w:val="000000"/>
          <w:szCs w:val="24"/>
        </w:rPr>
        <w:t>service basis. For more information about OPC’s compilation services and fees, please contact OPC (</w:t>
      </w:r>
      <w:hyperlink r:id="rId277" w:history="1">
        <w:hyperlink r:id="rId278" w:history="1">
          <w:r w:rsidRPr="00FD274F">
            <w:rPr>
              <w:rStyle w:val="Hyperlink"/>
              <w:rFonts w:eastAsiaTheme="minorHAnsi"/>
              <w:szCs w:val="24"/>
              <w:lang w:eastAsia="en-US"/>
            </w:rPr>
            <w:t>lodge@legislation.gov.au</w:t>
          </w:r>
        </w:hyperlink>
      </w:hyperlink>
      <w:r w:rsidRPr="00FD274F">
        <w:rPr>
          <w:color w:val="000000"/>
          <w:szCs w:val="24"/>
        </w:rPr>
        <w:t xml:space="preserve"> or (02) </w:t>
      </w:r>
      <w:r w:rsidRPr="00FD274F">
        <w:rPr>
          <w:szCs w:val="24"/>
        </w:rPr>
        <w:t>6120 1350</w:t>
      </w:r>
      <w:r w:rsidRPr="00FD274F">
        <w:rPr>
          <w:color w:val="000000"/>
          <w:szCs w:val="24"/>
        </w:rPr>
        <w:t>).</w:t>
      </w:r>
    </w:p>
    <w:p w14:paraId="72BE6172" w14:textId="77777777" w:rsidR="00FC1D28" w:rsidRPr="00FD274F" w:rsidRDefault="00FC1D28" w:rsidP="00FC1D28">
      <w:pPr>
        <w:pStyle w:val="BodyNum"/>
      </w:pPr>
      <w:r w:rsidRPr="00FD274F">
        <w:t>Agencies that choose to prepare their own compilations of instruments that are not required to be drafted by OPC should note that they, and not OPC, are responsible for ensuring that their compilations are complete and accurate. This requires attention to the following things:</w:t>
      </w:r>
    </w:p>
    <w:p w14:paraId="0CAD4728" w14:textId="54870C47" w:rsidR="00FC1D28" w:rsidRPr="00FD274F" w:rsidRDefault="00FC1D28" w:rsidP="00FC1D28">
      <w:pPr>
        <w:pStyle w:val="BodyPara"/>
      </w:pPr>
      <w:r w:rsidRPr="00FD274F">
        <w:t>the minimum content requirements of th</w:t>
      </w:r>
      <w:r w:rsidRPr="00D965EA">
        <w:t xml:space="preserve">e </w:t>
      </w:r>
      <w:hyperlink r:id="rId279" w:history="1">
        <w:r w:rsidRPr="00D965EA">
          <w:rPr>
            <w:rStyle w:val="Hyperlink"/>
          </w:rPr>
          <w:t>LA</w:t>
        </w:r>
      </w:hyperlink>
      <w:r w:rsidRPr="00FD274F">
        <w:t xml:space="preserve">—OPC does basic checks and will reject compilations that clearly do not meet the </w:t>
      </w:r>
      <w:hyperlink r:id="rId280" w:history="1">
        <w:r w:rsidRPr="00D965EA">
          <w:rPr>
            <w:rStyle w:val="Hyperlink"/>
          </w:rPr>
          <w:t>LA</w:t>
        </w:r>
      </w:hyperlink>
      <w:r w:rsidRPr="00D965EA">
        <w:t xml:space="preserve"> requir</w:t>
      </w:r>
      <w:r>
        <w:t>ements;</w:t>
      </w:r>
    </w:p>
    <w:p w14:paraId="6E8F7D01" w14:textId="77777777" w:rsidR="00FC1D28" w:rsidRPr="00FD274F" w:rsidRDefault="00FC1D28" w:rsidP="00FC1D28">
      <w:pPr>
        <w:pStyle w:val="BodyPara"/>
      </w:pPr>
      <w:r w:rsidRPr="00FD274F">
        <w:t>the text of the instrument as amended and in force from time to time—this is not routinely checked by OPC.</w:t>
      </w:r>
    </w:p>
    <w:p w14:paraId="11BB8767" w14:textId="7675BA0E" w:rsidR="00FC1D28" w:rsidRPr="00FD274F" w:rsidRDefault="00FC1D28" w:rsidP="00FC1D28">
      <w:pPr>
        <w:pStyle w:val="BodyNum"/>
      </w:pPr>
      <w:r w:rsidRPr="00FD274F">
        <w:t>An agency shou</w:t>
      </w:r>
      <w:r w:rsidRPr="00FD274F">
        <w:rPr>
          <w:szCs w:val="24"/>
        </w:rPr>
        <w:t xml:space="preserve">ld act promptly if it is notified that a compilation is required for a discretionary compilation </w:t>
      </w:r>
      <w:proofErr w:type="gramStart"/>
      <w:r w:rsidRPr="00FD274F">
        <w:rPr>
          <w:szCs w:val="24"/>
        </w:rPr>
        <w:t>event, or</w:t>
      </w:r>
      <w:proofErr w:type="gramEnd"/>
      <w:r w:rsidRPr="00FD274F">
        <w:rPr>
          <w:szCs w:val="24"/>
        </w:rPr>
        <w:t xml:space="preserve"> has become overdue for a required compilation event. Please contact OPC </w:t>
      </w:r>
      <w:r w:rsidRPr="00FD274F">
        <w:rPr>
          <w:color w:val="000000"/>
          <w:szCs w:val="24"/>
        </w:rPr>
        <w:t>(</w:t>
      </w:r>
      <w:hyperlink r:id="rId281" w:history="1">
        <w:hyperlink r:id="rId282" w:history="1">
          <w:r w:rsidRPr="00FD274F">
            <w:rPr>
              <w:rStyle w:val="Hyperlink"/>
              <w:rFonts w:eastAsiaTheme="minorHAnsi"/>
              <w:szCs w:val="24"/>
              <w:lang w:eastAsia="en-US"/>
            </w:rPr>
            <w:t>lodge@legislation.gov.au</w:t>
          </w:r>
        </w:hyperlink>
      </w:hyperlink>
      <w:r w:rsidRPr="00FD274F">
        <w:rPr>
          <w:color w:val="000000"/>
          <w:szCs w:val="24"/>
        </w:rPr>
        <w:t xml:space="preserve"> or (02) </w:t>
      </w:r>
      <w:r w:rsidRPr="00FD274F">
        <w:rPr>
          <w:szCs w:val="24"/>
        </w:rPr>
        <w:t>6120 1350</w:t>
      </w:r>
      <w:r w:rsidRPr="00FD274F">
        <w:rPr>
          <w:color w:val="000000"/>
          <w:szCs w:val="24"/>
        </w:rPr>
        <w:t xml:space="preserve">) if </w:t>
      </w:r>
      <w:r w:rsidRPr="00FD274F">
        <w:rPr>
          <w:szCs w:val="24"/>
        </w:rPr>
        <w:t>your agency is experiencing difficulties meeting associated deadlines. Otherwise, OPC may prepa</w:t>
      </w:r>
      <w:r w:rsidRPr="00FD274F">
        <w:t>re the compilation on the agency’s behalf and charge the agency for this service.</w:t>
      </w:r>
    </w:p>
    <w:p w14:paraId="62462D98" w14:textId="77777777" w:rsidR="00FC1D28" w:rsidRPr="00FD274F" w:rsidRDefault="00FC1D28" w:rsidP="00FC1D28">
      <w:pPr>
        <w:pStyle w:val="Head3"/>
      </w:pPr>
      <w:bookmarkStart w:id="129" w:name="_Toc183694681"/>
      <w:r w:rsidRPr="00FD274F">
        <w:t>What must be included in compilations</w:t>
      </w:r>
      <w:bookmarkEnd w:id="129"/>
    </w:p>
    <w:p w14:paraId="394FFC62" w14:textId="77777777" w:rsidR="00FC1D28" w:rsidRPr="00FD274F" w:rsidRDefault="00FC1D28" w:rsidP="00FC1D28">
      <w:pPr>
        <w:pStyle w:val="BodyNum"/>
      </w:pPr>
      <w:r w:rsidRPr="00FD274F">
        <w:t>Preparing a compilation requires attention to detail, technical skill with word processing tools and a good understanding of legislative practices. Compilations:</w:t>
      </w:r>
    </w:p>
    <w:p w14:paraId="4C91FF1D" w14:textId="1D6F9FC0" w:rsidR="00FC1D28" w:rsidRPr="00FD274F" w:rsidRDefault="00FC1D28" w:rsidP="00FC1D28">
      <w:pPr>
        <w:pStyle w:val="BodyPara"/>
      </w:pPr>
      <w:r w:rsidRPr="00FD274F">
        <w:t>must be in .rtf, .doc or .docx fo</w:t>
      </w:r>
      <w:r w:rsidRPr="004532FE">
        <w:t xml:space="preserve">rmat, unless the First Parliamentary Counsel has agreed to another format (see </w:t>
      </w:r>
      <w:hyperlink r:id="rId283" w:history="1">
        <w:r w:rsidRPr="004532FE">
          <w:rPr>
            <w:rStyle w:val="Hyperlink"/>
          </w:rPr>
          <w:t>Rule</w:t>
        </w:r>
      </w:hyperlink>
      <w:r w:rsidRPr="004532FE">
        <w:t xml:space="preserve"> s 5(3));</w:t>
      </w:r>
      <w:r>
        <w:t xml:space="preserve"> and</w:t>
      </w:r>
    </w:p>
    <w:p w14:paraId="17F4C844" w14:textId="77777777" w:rsidR="00FC1D28" w:rsidRPr="00FD274F" w:rsidRDefault="00FC1D28" w:rsidP="00FC1D28">
      <w:pPr>
        <w:pStyle w:val="noteToPara"/>
        <w:ind w:left="1429"/>
      </w:pPr>
      <w:r w:rsidRPr="00FD274F">
        <w:t>Note:</w:t>
      </w:r>
      <w:r w:rsidRPr="00FD274F">
        <w:tab/>
      </w:r>
      <w:r>
        <w:t>Our preferred format is .docx.</w:t>
      </w:r>
    </w:p>
    <w:p w14:paraId="24B38C2E" w14:textId="5E505B8B" w:rsidR="00FC1D28" w:rsidRPr="00FD274F" w:rsidRDefault="00FC1D28" w:rsidP="00FC1D28">
      <w:pPr>
        <w:pStyle w:val="BodyPara"/>
        <w:keepNext/>
      </w:pPr>
      <w:r w:rsidRPr="00FD274F">
        <w:lastRenderedPageBreak/>
        <w:t>must not contain dynamic content that may interfere with the content of the document, such as macros and many fields (se</w:t>
      </w:r>
      <w:r w:rsidRPr="004532FE">
        <w:t xml:space="preserve">e </w:t>
      </w:r>
      <w:hyperlink r:id="rId284" w:history="1">
        <w:r w:rsidRPr="004532FE">
          <w:rPr>
            <w:rStyle w:val="Hyperlink"/>
          </w:rPr>
          <w:t>Rule</w:t>
        </w:r>
      </w:hyperlink>
      <w:r w:rsidRPr="004532FE">
        <w:t xml:space="preserve"> s 5(4))</w:t>
      </w:r>
      <w:r w:rsidRPr="00FD274F">
        <w:t>.</w:t>
      </w:r>
    </w:p>
    <w:p w14:paraId="17159263" w14:textId="77777777" w:rsidR="00FC1D28" w:rsidRPr="00FD274F" w:rsidRDefault="00FC1D28" w:rsidP="00FC1D28">
      <w:pPr>
        <w:pStyle w:val="noteToPara"/>
        <w:ind w:left="1429"/>
      </w:pPr>
      <w:r w:rsidRPr="00FD274F">
        <w:t>Note:</w:t>
      </w:r>
      <w:r w:rsidRPr="00FD274F">
        <w:tab/>
        <w:t>An automatically generated table of contents is acceptable and desirable u</w:t>
      </w:r>
      <w:r>
        <w:t>nless a document is very short.</w:t>
      </w:r>
    </w:p>
    <w:p w14:paraId="319D92FE" w14:textId="77777777" w:rsidR="00FC1D28" w:rsidRPr="00277385" w:rsidRDefault="00FC1D28" w:rsidP="00FC1D28">
      <w:pPr>
        <w:pStyle w:val="BodyNum"/>
      </w:pPr>
      <w:r w:rsidRPr="00277385">
        <w:t>To meet accessibility requirements, alt text (short for “alternative text”) should be applied to any images contained in the document, including formulas. Alt text is a short textual description of the image that is not visible on the face of the relevant document but, instead, sits in the properties of the image.</w:t>
      </w:r>
    </w:p>
    <w:p w14:paraId="051CE881" w14:textId="71002CDA" w:rsidR="00FC1D28" w:rsidRPr="00277385" w:rsidRDefault="00FC1D28" w:rsidP="00FC1D28">
      <w:pPr>
        <w:pStyle w:val="BodyNum"/>
      </w:pPr>
      <w:r w:rsidRPr="00277385">
        <w:t xml:space="preserve">It is important to include alt text because screen readers (mentioned </w:t>
      </w:r>
      <w:r w:rsidRPr="003A701E">
        <w:t xml:space="preserve">in paragraph </w:t>
      </w:r>
      <w:r w:rsidR="009A15A0">
        <w:fldChar w:fldCharType="begin"/>
      </w:r>
      <w:r w:rsidR="009A15A0">
        <w:instrText xml:space="preserve"> REF _Ref185322055 \r \h </w:instrText>
      </w:r>
      <w:r w:rsidR="009A15A0">
        <w:fldChar w:fldCharType="separate"/>
      </w:r>
      <w:r w:rsidR="00833171">
        <w:t>118</w:t>
      </w:r>
      <w:r w:rsidR="009A15A0">
        <w:fldChar w:fldCharType="end"/>
      </w:r>
      <w:r w:rsidRPr="003A701E">
        <w:t>) rely</w:t>
      </w:r>
      <w:r w:rsidRPr="00277385">
        <w:t xml:space="preserve"> on the alt text description. More information on alt text, including examples and guidance on what alt text to include, can be found in </w:t>
      </w:r>
      <w:hyperlink r:id="rId285" w:history="1">
        <w:r w:rsidRPr="004532FE">
          <w:rPr>
            <w:rStyle w:val="Hyperlink"/>
          </w:rPr>
          <w:t>OPC Drafting Direction 1.9</w:t>
        </w:r>
      </w:hyperlink>
      <w:r w:rsidRPr="004532FE">
        <w:t>.</w:t>
      </w:r>
    </w:p>
    <w:p w14:paraId="41104241" w14:textId="6F0D0D4D" w:rsidR="00FC1D28" w:rsidRPr="005144FF" w:rsidRDefault="00FC1D28" w:rsidP="00FC1D28">
      <w:pPr>
        <w:pStyle w:val="BodyNum"/>
        <w:rPr>
          <w:szCs w:val="24"/>
        </w:rPr>
      </w:pPr>
      <w:r>
        <w:t xml:space="preserve"> An additional service fee will apply if OPC is required to add alt text to any images or objects. Se</w:t>
      </w:r>
      <w:r w:rsidRPr="00FF0E93">
        <w:t xml:space="preserve">e </w:t>
      </w:r>
      <w:r w:rsidRPr="00FD274F">
        <w:t xml:space="preserve">paragraph </w:t>
      </w:r>
      <w:r w:rsidRPr="00FD274F">
        <w:fldChar w:fldCharType="begin"/>
      </w:r>
      <w:r w:rsidRPr="00FD274F">
        <w:instrText xml:space="preserve"> REF _Ref434314290 \r \h  \* MERGEFORMAT </w:instrText>
      </w:r>
      <w:r w:rsidRPr="00FD274F">
        <w:fldChar w:fldCharType="separate"/>
      </w:r>
      <w:r w:rsidR="00833171">
        <w:t>160</w:t>
      </w:r>
      <w:r w:rsidRPr="00FD274F">
        <w:fldChar w:fldCharType="end"/>
      </w:r>
      <w:r w:rsidRPr="00FF0E93">
        <w:t xml:space="preserve"> for</w:t>
      </w:r>
      <w:r>
        <w:t xml:space="preserve"> further information on OPC’s special requirement and additional services fees.</w:t>
      </w:r>
      <w:bookmarkEnd w:id="121"/>
    </w:p>
    <w:p w14:paraId="4F3ABD5A" w14:textId="54FE5CC0" w:rsidR="00FC1D28" w:rsidRPr="00FD274F" w:rsidRDefault="00FC1D28" w:rsidP="00FC1D28">
      <w:pPr>
        <w:pStyle w:val="BodyNum"/>
      </w:pPr>
      <w:r w:rsidRPr="00FD274F">
        <w:t xml:space="preserve">A compilation must also contain certain minimum information as prescribed in </w:t>
      </w:r>
      <w:r w:rsidRPr="004709B9">
        <w:t xml:space="preserve">section 15P of the </w:t>
      </w:r>
      <w:hyperlink r:id="rId286" w:history="1">
        <w:r w:rsidRPr="004709B9">
          <w:rPr>
            <w:rStyle w:val="Hyperlink"/>
          </w:rPr>
          <w:t>LA</w:t>
        </w:r>
      </w:hyperlink>
      <w:r w:rsidRPr="004709B9">
        <w:t xml:space="preserve"> a</w:t>
      </w:r>
      <w:r w:rsidRPr="00FD274F">
        <w:t>nd s</w:t>
      </w:r>
      <w:r w:rsidRPr="004532FE">
        <w:t xml:space="preserve">ection 7 of the </w:t>
      </w:r>
      <w:hyperlink r:id="rId287" w:history="1">
        <w:r w:rsidRPr="004532FE">
          <w:rPr>
            <w:rStyle w:val="Hyperlink"/>
          </w:rPr>
          <w:t>Rule</w:t>
        </w:r>
      </w:hyperlink>
      <w:r w:rsidRPr="004532FE">
        <w:t>.</w:t>
      </w:r>
      <w:r w:rsidRPr="00FD274F">
        <w:t xml:space="preserve"> This information includes</w:t>
      </w:r>
      <w:r w:rsidR="00D54936">
        <w:t xml:space="preserve"> the following</w:t>
      </w:r>
      <w:r w:rsidRPr="00FD274F">
        <w:t>:</w:t>
      </w:r>
    </w:p>
    <w:p w14:paraId="5CB229ED" w14:textId="0636759D" w:rsidR="00C07FFB" w:rsidRPr="00FD274F" w:rsidRDefault="00C07FFB" w:rsidP="000A2841">
      <w:pPr>
        <w:pStyle w:val="BodyPara"/>
        <w:spacing w:before="220"/>
      </w:pPr>
      <w:r w:rsidRPr="00FD274F">
        <w:t xml:space="preserve">the </w:t>
      </w:r>
      <w:r w:rsidRPr="007A4D07">
        <w:rPr>
          <w:b/>
          <w:i/>
        </w:rPr>
        <w:t>compilation date</w:t>
      </w:r>
      <w:r w:rsidR="005C7380">
        <w:t xml:space="preserve"> is the date of the required compilation event</w:t>
      </w:r>
      <w:r w:rsidR="005C7380" w:rsidRPr="00FD274F">
        <w:t xml:space="preserve"> (</w:t>
      </w:r>
      <w:hyperlink r:id="rId288" w:history="1">
        <w:r w:rsidR="005C7380" w:rsidRPr="004709B9">
          <w:rPr>
            <w:rStyle w:val="Hyperlink"/>
          </w:rPr>
          <w:t>LA</w:t>
        </w:r>
      </w:hyperlink>
      <w:r w:rsidR="005C7380" w:rsidRPr="004709B9">
        <w:t xml:space="preserve"> s 15</w:t>
      </w:r>
      <w:r w:rsidR="005C7380">
        <w:t>Q</w:t>
      </w:r>
      <w:r w:rsidR="005C7380" w:rsidRPr="004709B9">
        <w:t>(1))</w:t>
      </w:r>
      <w:r w:rsidRPr="00FD274F">
        <w:t xml:space="preserve">, that is, the date from which the text of the instrument shown in the compilation applies </w:t>
      </w:r>
      <w:r w:rsidR="00FC1D28" w:rsidRPr="00FD274F">
        <w:t>(</w:t>
      </w:r>
      <w:hyperlink r:id="rId289" w:history="1">
        <w:r w:rsidR="00FC1D28" w:rsidRPr="004709B9">
          <w:rPr>
            <w:rStyle w:val="Hyperlink"/>
          </w:rPr>
          <w:t>LA</w:t>
        </w:r>
      </w:hyperlink>
      <w:r w:rsidR="00FC1D28" w:rsidRPr="004709B9">
        <w:t xml:space="preserve"> s 15P(1)(a))</w:t>
      </w:r>
      <w:r w:rsidRPr="004709B9">
        <w:t>;</w:t>
      </w:r>
    </w:p>
    <w:p w14:paraId="072A2A8D" w14:textId="724AB165" w:rsidR="00FC1D28" w:rsidRPr="004709B9" w:rsidRDefault="00FC1D28" w:rsidP="00FC1D28">
      <w:pPr>
        <w:pStyle w:val="BodyPara"/>
        <w:spacing w:before="220"/>
      </w:pPr>
      <w:r w:rsidRPr="00FD274F">
        <w:t xml:space="preserve">if the compilation was prepared by OPC and incorporates editorial changes—a statement and brief outline of the editorial changes that have been made </w:t>
      </w:r>
      <w:r w:rsidRPr="004709B9">
        <w:t>(</w:t>
      </w:r>
      <w:hyperlink r:id="rId290" w:history="1">
        <w:r w:rsidRPr="004709B9">
          <w:rPr>
            <w:rStyle w:val="Hyperlink"/>
          </w:rPr>
          <w:t>LA</w:t>
        </w:r>
      </w:hyperlink>
      <w:r w:rsidRPr="004709B9">
        <w:t xml:space="preserve"> s 15P(1)(b)</w:t>
      </w:r>
      <w:proofErr w:type="gramStart"/>
      <w:r w:rsidRPr="004709B9">
        <w:t>);</w:t>
      </w:r>
      <w:proofErr w:type="gramEnd"/>
    </w:p>
    <w:p w14:paraId="77AF1B0B" w14:textId="368453B9" w:rsidR="00FC1D28" w:rsidRPr="00FD274F" w:rsidRDefault="00FC1D28" w:rsidP="00FC1D28">
      <w:pPr>
        <w:pStyle w:val="BodyPara"/>
        <w:spacing w:before="220"/>
      </w:pPr>
      <w:r w:rsidRPr="00FD274F">
        <w:t xml:space="preserve">commencement and other details of any Act or instrument that amends the principal instrument </w:t>
      </w:r>
      <w:r w:rsidRPr="004709B9">
        <w:t>(</w:t>
      </w:r>
      <w:hyperlink r:id="rId291" w:history="1">
        <w:r w:rsidRPr="004709B9">
          <w:rPr>
            <w:rStyle w:val="Hyperlink"/>
          </w:rPr>
          <w:t>LA</w:t>
        </w:r>
      </w:hyperlink>
      <w:r w:rsidRPr="004709B9">
        <w:t xml:space="preserve"> s 15P(1)(c)</w:t>
      </w:r>
      <w:proofErr w:type="gramStart"/>
      <w:r w:rsidRPr="004709B9">
        <w:t>);</w:t>
      </w:r>
      <w:proofErr w:type="gramEnd"/>
    </w:p>
    <w:p w14:paraId="13AD5B34" w14:textId="0D8CA691" w:rsidR="00FC1D28" w:rsidRPr="00FD274F" w:rsidRDefault="00FC1D28" w:rsidP="00FC1D28">
      <w:pPr>
        <w:pStyle w:val="BodyPara"/>
        <w:spacing w:before="220"/>
      </w:pPr>
      <w:r w:rsidRPr="00FD274F">
        <w:t xml:space="preserve">the amendment history of each provision of the principal instrument as amended </w:t>
      </w:r>
      <w:r w:rsidRPr="004709B9">
        <w:t>(</w:t>
      </w:r>
      <w:hyperlink r:id="rId292" w:history="1">
        <w:r w:rsidRPr="004709B9">
          <w:rPr>
            <w:rStyle w:val="Hyperlink"/>
          </w:rPr>
          <w:t>LA</w:t>
        </w:r>
      </w:hyperlink>
      <w:r w:rsidRPr="004709B9">
        <w:t xml:space="preserve"> s 15P(1)(d)</w:t>
      </w:r>
      <w:proofErr w:type="gramStart"/>
      <w:r w:rsidRPr="004709B9">
        <w:t>);</w:t>
      </w:r>
      <w:proofErr w:type="gramEnd"/>
    </w:p>
    <w:p w14:paraId="7C908412" w14:textId="67DED1A7" w:rsidR="00FC1D28" w:rsidRPr="00FD274F" w:rsidRDefault="00FC1D28" w:rsidP="00FC1D28">
      <w:pPr>
        <w:pStyle w:val="BodyPara"/>
        <w:spacing w:before="220"/>
      </w:pPr>
      <w:r w:rsidRPr="00FD274F">
        <w:t>the name of the principal instrum</w:t>
      </w:r>
      <w:r w:rsidRPr="004532FE">
        <w:t>ent (</w:t>
      </w:r>
      <w:hyperlink r:id="rId293" w:history="1">
        <w:r w:rsidRPr="004532FE">
          <w:rPr>
            <w:rStyle w:val="Hyperlink"/>
          </w:rPr>
          <w:t>Rule</w:t>
        </w:r>
      </w:hyperlink>
      <w:r w:rsidRPr="004532FE">
        <w:t xml:space="preserve"> s 7(a)</w:t>
      </w:r>
      <w:proofErr w:type="gramStart"/>
      <w:r w:rsidRPr="004532FE">
        <w:t>);</w:t>
      </w:r>
      <w:proofErr w:type="gramEnd"/>
    </w:p>
    <w:p w14:paraId="4F27B0DB" w14:textId="6A1DF0B9" w:rsidR="00FC1D28" w:rsidRPr="00FD274F" w:rsidRDefault="00FC1D28" w:rsidP="00FC1D28">
      <w:pPr>
        <w:pStyle w:val="BodyPara"/>
        <w:spacing w:before="220"/>
      </w:pPr>
      <w:r w:rsidRPr="00FD274F">
        <w:t xml:space="preserve">the </w:t>
      </w:r>
      <w:r w:rsidRPr="00FD274F">
        <w:rPr>
          <w:b/>
          <w:i/>
        </w:rPr>
        <w:t>compilation number</w:t>
      </w:r>
      <w:r w:rsidRPr="00FD274F">
        <w:t xml:space="preserve">—this is essentially a </w:t>
      </w:r>
      <w:r w:rsidR="00166BBC">
        <w:t xml:space="preserve">unique, alphanumeric </w:t>
      </w:r>
      <w:r w:rsidRPr="00FD274F">
        <w:t>version number</w:t>
      </w:r>
      <w:r w:rsidR="008E0F53">
        <w:t xml:space="preserve"> </w:t>
      </w:r>
      <w:r w:rsidRPr="00FD274F">
        <w:t xml:space="preserve">and is generally based on how many compilations have already been registered </w:t>
      </w:r>
      <w:r w:rsidRPr="004532FE">
        <w:t>(</w:t>
      </w:r>
      <w:hyperlink r:id="rId294" w:history="1">
        <w:r w:rsidRPr="004532FE">
          <w:rPr>
            <w:rStyle w:val="Hyperlink"/>
          </w:rPr>
          <w:t>Rule</w:t>
        </w:r>
      </w:hyperlink>
      <w:r w:rsidRPr="004532FE">
        <w:t xml:space="preserve"> s 7(b)</w:t>
      </w:r>
      <w:r w:rsidRPr="00FD274F">
        <w:t>);</w:t>
      </w:r>
    </w:p>
    <w:p w14:paraId="40B8A763" w14:textId="19A8C91E" w:rsidR="00FC1D28" w:rsidRPr="00FD274F" w:rsidRDefault="00FC1D28" w:rsidP="00FC1D28">
      <w:pPr>
        <w:pStyle w:val="BodyPara"/>
        <w:spacing w:before="220"/>
        <w:rPr>
          <w:spacing w:val="-6"/>
        </w:rPr>
      </w:pPr>
      <w:r w:rsidRPr="00FD274F">
        <w:rPr>
          <w:spacing w:val="-6"/>
        </w:rPr>
        <w:t>the name of the department or agency that prepared the compilati</w:t>
      </w:r>
      <w:r w:rsidRPr="004532FE">
        <w:rPr>
          <w:spacing w:val="-6"/>
        </w:rPr>
        <w:t>on (</w:t>
      </w:r>
      <w:hyperlink r:id="rId295" w:history="1">
        <w:r w:rsidRPr="004532FE">
          <w:rPr>
            <w:rStyle w:val="Hyperlink"/>
            <w:spacing w:val="-6"/>
          </w:rPr>
          <w:t>Rule</w:t>
        </w:r>
      </w:hyperlink>
      <w:r w:rsidRPr="004532FE">
        <w:rPr>
          <w:spacing w:val="-6"/>
        </w:rPr>
        <w:t xml:space="preserve"> s 7(c</w:t>
      </w:r>
      <w:r w:rsidRPr="00FD274F">
        <w:rPr>
          <w:spacing w:val="-6"/>
        </w:rPr>
        <w:t>)</w:t>
      </w:r>
      <w:proofErr w:type="gramStart"/>
      <w:r w:rsidRPr="00FD274F">
        <w:rPr>
          <w:spacing w:val="-6"/>
        </w:rPr>
        <w:t>);</w:t>
      </w:r>
      <w:proofErr w:type="gramEnd"/>
    </w:p>
    <w:p w14:paraId="06FA550A" w14:textId="7B384A8D" w:rsidR="00FC1D28" w:rsidRPr="00FD274F" w:rsidRDefault="00FC1D28" w:rsidP="00FC1D28">
      <w:pPr>
        <w:pStyle w:val="BodyPara"/>
        <w:spacing w:before="220"/>
        <w:rPr>
          <w:spacing w:val="-6"/>
        </w:rPr>
      </w:pPr>
      <w:r w:rsidRPr="00FD274F">
        <w:rPr>
          <w:spacing w:val="-6"/>
        </w:rPr>
        <w:t xml:space="preserve">a key setting out any abbreviations used in notes to the compilation </w:t>
      </w:r>
      <w:r w:rsidRPr="004532FE">
        <w:rPr>
          <w:spacing w:val="-6"/>
        </w:rPr>
        <w:t>(</w:t>
      </w:r>
      <w:hyperlink r:id="rId296" w:history="1">
        <w:r w:rsidRPr="004532FE">
          <w:rPr>
            <w:rStyle w:val="Hyperlink"/>
            <w:spacing w:val="-6"/>
          </w:rPr>
          <w:t>Rule</w:t>
        </w:r>
      </w:hyperlink>
      <w:r w:rsidRPr="004532FE">
        <w:rPr>
          <w:spacing w:val="-6"/>
        </w:rPr>
        <w:t xml:space="preserve"> s 7(d</w:t>
      </w:r>
      <w:r w:rsidRPr="00FD274F">
        <w:rPr>
          <w:spacing w:val="-6"/>
        </w:rPr>
        <w:t>)</w:t>
      </w:r>
      <w:proofErr w:type="gramStart"/>
      <w:r w:rsidRPr="00FD274F">
        <w:rPr>
          <w:spacing w:val="-6"/>
        </w:rPr>
        <w:t>);</w:t>
      </w:r>
      <w:proofErr w:type="gramEnd"/>
    </w:p>
    <w:p w14:paraId="4C9D0C77" w14:textId="39910E71" w:rsidR="00FC1D28" w:rsidRPr="00FD274F" w:rsidRDefault="00FC1D28" w:rsidP="00FC1D28">
      <w:pPr>
        <w:pStyle w:val="BodyPara"/>
        <w:spacing w:before="220"/>
      </w:pPr>
      <w:r w:rsidRPr="00FD274F">
        <w:t xml:space="preserve">the </w:t>
      </w:r>
      <w:r w:rsidRPr="00FD274F">
        <w:rPr>
          <w:b/>
          <w:i/>
        </w:rPr>
        <w:t>enabling legislation</w:t>
      </w:r>
      <w:r w:rsidRPr="00FD274F">
        <w:t xml:space="preserve"> for an instrument, that is, the Act or instrument under which it was made (</w:t>
      </w:r>
      <w:hyperlink r:id="rId297" w:history="1">
        <w:r w:rsidRPr="004532FE">
          <w:rPr>
            <w:rStyle w:val="Hyperlink"/>
            <w:spacing w:val="-6"/>
          </w:rPr>
          <w:t>Rule</w:t>
        </w:r>
      </w:hyperlink>
      <w:r w:rsidRPr="004532FE">
        <w:t xml:space="preserve"> s 7(e)</w:t>
      </w:r>
      <w:proofErr w:type="gramStart"/>
      <w:r w:rsidRPr="004532FE">
        <w:t>);</w:t>
      </w:r>
      <w:proofErr w:type="gramEnd"/>
    </w:p>
    <w:p w14:paraId="3FF41509" w14:textId="0CE3CB69" w:rsidR="00FC1D28" w:rsidRDefault="00FC1D28" w:rsidP="00FC1D28">
      <w:pPr>
        <w:pStyle w:val="BodyPara"/>
        <w:spacing w:before="220"/>
      </w:pPr>
      <w:r w:rsidRPr="00FD274F">
        <w:t>any further information prescribed by the rules (</w:t>
      </w:r>
      <w:hyperlink r:id="rId298" w:history="1">
        <w:r w:rsidRPr="004709B9">
          <w:rPr>
            <w:rStyle w:val="Hyperlink"/>
          </w:rPr>
          <w:t>LA</w:t>
        </w:r>
      </w:hyperlink>
      <w:r w:rsidRPr="004709B9">
        <w:t xml:space="preserve"> s 15P(1)(e)).</w:t>
      </w:r>
    </w:p>
    <w:p w14:paraId="411FFD6E" w14:textId="452ED5B3" w:rsidR="00D63723" w:rsidRPr="005144FF" w:rsidRDefault="00D63723" w:rsidP="00D63723">
      <w:pPr>
        <w:pStyle w:val="BodyNum"/>
        <w:rPr>
          <w:szCs w:val="24"/>
        </w:rPr>
      </w:pPr>
      <w:r>
        <w:lastRenderedPageBreak/>
        <w:t xml:space="preserve"> </w:t>
      </w:r>
      <w:r w:rsidR="00852D8B">
        <w:t xml:space="preserve">Agencies should not include a </w:t>
      </w:r>
      <w:r w:rsidR="00852D8B">
        <w:rPr>
          <w:b/>
          <w:i/>
        </w:rPr>
        <w:t>registered date</w:t>
      </w:r>
      <w:r w:rsidR="00852D8B">
        <w:t xml:space="preserve">, that is the date on which the compilation is registered, as this information will be displayed as part of the metadata </w:t>
      </w:r>
      <w:r w:rsidR="00473AFE">
        <w:t xml:space="preserve">on the Register </w:t>
      </w:r>
      <w:r w:rsidR="00852D8B">
        <w:t>and cannot be known at the time of preparation</w:t>
      </w:r>
      <w:r>
        <w:t>.</w:t>
      </w:r>
    </w:p>
    <w:p w14:paraId="146399EA" w14:textId="70E55650" w:rsidR="00FC1D28" w:rsidRPr="00FD274F" w:rsidRDefault="00FC1D28" w:rsidP="00FC1D28">
      <w:pPr>
        <w:pStyle w:val="BodyNum"/>
      </w:pPr>
      <w:r w:rsidRPr="00FD274F">
        <w:t xml:space="preserve">Agencies wishing to prepare their own compilations may find the following guidance useful. It </w:t>
      </w:r>
      <w:proofErr w:type="gramStart"/>
      <w:r w:rsidRPr="00FD274F">
        <w:t>takes into account</w:t>
      </w:r>
      <w:proofErr w:type="gramEnd"/>
      <w:r w:rsidRPr="00FD274F">
        <w:t xml:space="preserve"> not only the minimum requirements of t</w:t>
      </w:r>
      <w:r w:rsidRPr="004709B9">
        <w:t xml:space="preserve">he </w:t>
      </w:r>
      <w:hyperlink r:id="rId299" w:history="1">
        <w:r w:rsidRPr="004709B9">
          <w:rPr>
            <w:rStyle w:val="Hyperlink"/>
          </w:rPr>
          <w:t>LA</w:t>
        </w:r>
      </w:hyperlink>
      <w:r w:rsidRPr="004709B9">
        <w:t xml:space="preserve"> bu</w:t>
      </w:r>
      <w:r w:rsidRPr="00FD274F">
        <w:t xml:space="preserve">t also current best practice and the needs of users (including the courts). A template for preparing compilations is also available for download from the secure </w:t>
      </w:r>
      <w:hyperlink r:id="rId300" w:history="1">
        <w:r w:rsidRPr="00FD274F">
          <w:rPr>
            <w:rStyle w:val="Hyperlink"/>
          </w:rPr>
          <w:t>lodgement facility</w:t>
        </w:r>
      </w:hyperlink>
      <w:r w:rsidRPr="00FD274F">
        <w:t>.</w:t>
      </w:r>
    </w:p>
    <w:p w14:paraId="4C1461CD" w14:textId="77777777" w:rsidR="00FC1D28" w:rsidRPr="00FD274F" w:rsidRDefault="00FC1D28" w:rsidP="00FC1D28">
      <w:pPr>
        <w:pStyle w:val="BodyNum"/>
      </w:pPr>
      <w:r w:rsidRPr="00FD274F">
        <w:t xml:space="preserve">Starting with the front matter, the compilation </w:t>
      </w:r>
      <w:r>
        <w:t xml:space="preserve">cover page </w:t>
      </w:r>
      <w:r w:rsidRPr="00FD274F">
        <w:t>o</w:t>
      </w:r>
      <w:r>
        <w:t xml:space="preserve">r </w:t>
      </w:r>
      <w:r w:rsidRPr="00FD274F">
        <w:rPr>
          <w:b/>
          <w:i/>
        </w:rPr>
        <w:t xml:space="preserve">title page </w:t>
      </w:r>
      <w:r w:rsidRPr="00FD274F">
        <w:t xml:space="preserve">should clearly identify the principal instrument by its name and series number (if applicable). OPC’s current practice is to provide the following information on the </w:t>
      </w:r>
      <w:r>
        <w:t>title page</w:t>
      </w:r>
      <w:r w:rsidRPr="00FD274F">
        <w:t xml:space="preserve"> as shown in </w:t>
      </w:r>
      <w:r>
        <w:t>I</w:t>
      </w:r>
      <w:r w:rsidRPr="00633C14">
        <w:t>llustration 5A:</w:t>
      </w:r>
    </w:p>
    <w:p w14:paraId="44F8CD5D" w14:textId="77777777" w:rsidR="00FC1D28" w:rsidRPr="00FD274F" w:rsidRDefault="00FC1D28" w:rsidP="00FC1D28">
      <w:pPr>
        <w:pStyle w:val="BodyPara"/>
      </w:pPr>
      <w:r w:rsidRPr="00FD274F">
        <w:t xml:space="preserve">Australian Government branding to ensure that the compilation is easily identifiable as an official </w:t>
      </w:r>
      <w:proofErr w:type="gramStart"/>
      <w:r w:rsidRPr="00FD274F">
        <w:t>document;</w:t>
      </w:r>
      <w:proofErr w:type="gramEnd"/>
    </w:p>
    <w:p w14:paraId="17EB4519" w14:textId="483046E6" w:rsidR="00FC1D28" w:rsidRPr="00FD274F" w:rsidRDefault="00FC1D28" w:rsidP="00FC1D28">
      <w:pPr>
        <w:pStyle w:val="BodyPara"/>
      </w:pPr>
      <w:r w:rsidRPr="00FD274F">
        <w:t>the name (or title) that the instrument gives to its</w:t>
      </w:r>
      <w:r w:rsidRPr="004532FE">
        <w:t>elf (</w:t>
      </w:r>
      <w:hyperlink r:id="rId301" w:history="1">
        <w:hyperlink r:id="rId302" w:history="1">
          <w:r w:rsidRPr="004532FE">
            <w:rPr>
              <w:rStyle w:val="Hyperlink"/>
              <w:spacing w:val="-6"/>
            </w:rPr>
            <w:t>Rule</w:t>
          </w:r>
        </w:hyperlink>
      </w:hyperlink>
      <w:r w:rsidRPr="004532FE">
        <w:t xml:space="preserve"> s 7(a)), f</w:t>
      </w:r>
      <w:r w:rsidRPr="00FD274F">
        <w:t>ollowed by any series number that may apply;</w:t>
      </w:r>
    </w:p>
    <w:p w14:paraId="37C6A188" w14:textId="0E8DE45B" w:rsidR="00FC1D28" w:rsidRPr="00FD274F" w:rsidRDefault="00FC1D28" w:rsidP="00FC1D28">
      <w:pPr>
        <w:pStyle w:val="BodyPara"/>
      </w:pPr>
      <w:r w:rsidRPr="00FD274F">
        <w:t>the enabling legislation (and if appropriate, provision) for the principal instrumen</w:t>
      </w:r>
      <w:r w:rsidRPr="004532FE">
        <w:t>t (</w:t>
      </w:r>
      <w:hyperlink r:id="rId303" w:history="1">
        <w:hyperlink r:id="rId304" w:history="1">
          <w:r w:rsidRPr="004532FE">
            <w:rPr>
              <w:rStyle w:val="Hyperlink"/>
              <w:spacing w:val="-6"/>
            </w:rPr>
            <w:t>Rule</w:t>
          </w:r>
        </w:hyperlink>
      </w:hyperlink>
      <w:r w:rsidRPr="004532FE">
        <w:t xml:space="preserve"> s 7(e));</w:t>
      </w:r>
    </w:p>
    <w:p w14:paraId="5A2FA2E4" w14:textId="2857CE40" w:rsidR="00FC1D28" w:rsidRPr="00FD274F" w:rsidRDefault="00FC1D28" w:rsidP="00FC1D28">
      <w:pPr>
        <w:pStyle w:val="BodyPara"/>
      </w:pPr>
      <w:r w:rsidRPr="00FD274F">
        <w:t>the compilation number (</w:t>
      </w:r>
      <w:hyperlink r:id="rId305" w:history="1">
        <w:hyperlink r:id="rId306" w:history="1">
          <w:r w:rsidRPr="004532FE">
            <w:rPr>
              <w:rStyle w:val="Hyperlink"/>
              <w:spacing w:val="-6"/>
            </w:rPr>
            <w:t>Rule</w:t>
          </w:r>
        </w:hyperlink>
      </w:hyperlink>
      <w:r w:rsidRPr="004532FE">
        <w:t xml:space="preserve"> s 7(b));</w:t>
      </w:r>
    </w:p>
    <w:p w14:paraId="7088DF6A" w14:textId="4B90484A" w:rsidR="00FC1D28" w:rsidRPr="00FD274F" w:rsidRDefault="00FC1D28" w:rsidP="00FC1D28">
      <w:pPr>
        <w:pStyle w:val="BodyPara"/>
      </w:pPr>
      <w:r w:rsidRPr="00FD274F">
        <w:t xml:space="preserve">the compilation date </w:t>
      </w:r>
      <w:r w:rsidRPr="004709B9">
        <w:t>(</w:t>
      </w:r>
      <w:hyperlink r:id="rId307" w:history="1">
        <w:r w:rsidRPr="004709B9">
          <w:rPr>
            <w:rStyle w:val="Hyperlink"/>
          </w:rPr>
          <w:t>LA</w:t>
        </w:r>
      </w:hyperlink>
      <w:r w:rsidRPr="004709B9">
        <w:t xml:space="preserve"> s 15P(1)(a)</w:t>
      </w:r>
      <w:proofErr w:type="gramStart"/>
      <w:r w:rsidRPr="004709B9">
        <w:t>);</w:t>
      </w:r>
      <w:proofErr w:type="gramEnd"/>
    </w:p>
    <w:p w14:paraId="4DEFD680" w14:textId="77777777" w:rsidR="00FC1D28" w:rsidRPr="00FD274F" w:rsidRDefault="00FC1D28" w:rsidP="00FC1D28">
      <w:pPr>
        <w:pStyle w:val="BodyPara"/>
      </w:pPr>
      <w:r w:rsidRPr="00FD274F">
        <w:t>summary of any other significant event that may have triggered the compilation e.g. the disallowan</w:t>
      </w:r>
      <w:r>
        <w:t xml:space="preserve">ce of a provision or </w:t>
      </w:r>
      <w:proofErr w:type="gramStart"/>
      <w:r>
        <w:t>amendment;</w:t>
      </w:r>
      <w:proofErr w:type="gramEnd"/>
    </w:p>
    <w:p w14:paraId="0504C30C" w14:textId="1027F730" w:rsidR="00FC1D28" w:rsidRPr="00590636" w:rsidRDefault="00FC1D28" w:rsidP="00FC1D28">
      <w:pPr>
        <w:pStyle w:val="BodyPara"/>
        <w:rPr>
          <w:spacing w:val="-2"/>
        </w:rPr>
      </w:pPr>
      <w:r w:rsidRPr="00590636">
        <w:rPr>
          <w:spacing w:val="-2"/>
        </w:rPr>
        <w:t>the name and location of the agency that prepared the compilation e.g. “Prepared by the Office of Parliamentary</w:t>
      </w:r>
      <w:r w:rsidR="00E73440">
        <w:rPr>
          <w:spacing w:val="-2"/>
        </w:rPr>
        <w:t xml:space="preserve"> </w:t>
      </w:r>
      <w:r w:rsidRPr="00590636">
        <w:rPr>
          <w:spacing w:val="-2"/>
        </w:rPr>
        <w:t>Counsel, Canber</w:t>
      </w:r>
      <w:r w:rsidRPr="004532FE">
        <w:rPr>
          <w:spacing w:val="-2"/>
        </w:rPr>
        <w:t>ra” (</w:t>
      </w:r>
      <w:hyperlink r:id="rId308" w:history="1">
        <w:hyperlink r:id="rId309" w:history="1">
          <w:r w:rsidRPr="004532FE">
            <w:rPr>
              <w:rStyle w:val="Hyperlink"/>
              <w:spacing w:val="-2"/>
            </w:rPr>
            <w:t>Rule</w:t>
          </w:r>
        </w:hyperlink>
      </w:hyperlink>
      <w:r w:rsidRPr="004532FE">
        <w:rPr>
          <w:spacing w:val="-2"/>
        </w:rPr>
        <w:t> s 7(c)).</w:t>
      </w:r>
    </w:p>
    <w:p w14:paraId="568384A8" w14:textId="77777777" w:rsidR="00077A94" w:rsidRPr="00FD274F" w:rsidRDefault="00077A94" w:rsidP="00FC7069">
      <w:pPr>
        <w:pStyle w:val="Body"/>
        <w:keepNext/>
        <w:rPr>
          <w:b/>
        </w:rPr>
      </w:pPr>
      <w:r w:rsidRPr="00FD274F">
        <w:rPr>
          <w:b/>
        </w:rPr>
        <w:lastRenderedPageBreak/>
        <w:t>I</w:t>
      </w:r>
      <w:r w:rsidR="009B5657" w:rsidRPr="00FD274F">
        <w:rPr>
          <w:b/>
        </w:rPr>
        <w:t>llustration 5</w:t>
      </w:r>
      <w:r w:rsidRPr="00FD274F">
        <w:rPr>
          <w:b/>
        </w:rPr>
        <w:t>A—sample title page for compilation</w:t>
      </w:r>
    </w:p>
    <w:p w14:paraId="10C4CA14" w14:textId="17CBF32F" w:rsidR="00060939" w:rsidRPr="00FD274F" w:rsidRDefault="00060939" w:rsidP="00077A94">
      <w:pPr>
        <w:pStyle w:val="BodyNum"/>
        <w:numPr>
          <w:ilvl w:val="0"/>
          <w:numId w:val="0"/>
        </w:numPr>
        <w:jc w:val="center"/>
      </w:pPr>
      <w:r>
        <w:rPr>
          <w:noProof/>
        </w:rPr>
        <w:drawing>
          <wp:inline distT="0" distB="0" distL="0" distR="0" wp14:anchorId="063D100B" wp14:editId="21EEEC2C">
            <wp:extent cx="4790476" cy="6561905"/>
            <wp:effectExtent l="19050" t="19050" r="10160" b="10795"/>
            <wp:docPr id="2" name="Picture 2" descr="Template for a compilation title page showing preferred order and format of required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4790476" cy="6561905"/>
                    </a:xfrm>
                    <a:prstGeom prst="rect">
                      <a:avLst/>
                    </a:prstGeom>
                    <a:ln>
                      <a:solidFill>
                        <a:schemeClr val="tx1"/>
                      </a:solidFill>
                    </a:ln>
                  </pic:spPr>
                </pic:pic>
              </a:graphicData>
            </a:graphic>
          </wp:inline>
        </w:drawing>
      </w:r>
    </w:p>
    <w:p w14:paraId="1DFAF5CD" w14:textId="00DC1D13" w:rsidR="00C33B0F" w:rsidRPr="00FD274F" w:rsidRDefault="00C33B0F" w:rsidP="00C33B0F">
      <w:pPr>
        <w:pStyle w:val="BodyNum"/>
      </w:pPr>
      <w:r w:rsidRPr="00FD274F">
        <w:t>Other reference information can be included in the front matter, including a table of contents even if there is no such table in the principal instrument. OPC’s current practice is to reserve the reverse of the title page (the verso title page) for a short user guide to explain wh</w:t>
      </w:r>
      <w:r w:rsidR="00D20742" w:rsidRPr="00FD274F">
        <w:t>at</w:t>
      </w:r>
      <w:r w:rsidRPr="00FD274F">
        <w:t xml:space="preserve"> the compilation incorporates (for details, see </w:t>
      </w:r>
      <w:r w:rsidR="00392147" w:rsidRPr="00633C14">
        <w:t>I</w:t>
      </w:r>
      <w:r w:rsidRPr="00633C14">
        <w:t xml:space="preserve">llustration </w:t>
      </w:r>
      <w:r w:rsidR="009B5657" w:rsidRPr="00633C14">
        <w:t>5</w:t>
      </w:r>
      <w:r w:rsidR="00077A94" w:rsidRPr="00633C14">
        <w:t>B</w:t>
      </w:r>
      <w:r w:rsidRPr="00633C14">
        <w:t>).</w:t>
      </w:r>
    </w:p>
    <w:p w14:paraId="3FB468FA" w14:textId="77777777" w:rsidR="00C33B0F" w:rsidRPr="00FD274F" w:rsidRDefault="00C33B0F" w:rsidP="00FC7069">
      <w:pPr>
        <w:pStyle w:val="BodyNum"/>
        <w:keepNext/>
        <w:numPr>
          <w:ilvl w:val="0"/>
          <w:numId w:val="0"/>
        </w:numPr>
        <w:rPr>
          <w:b/>
        </w:rPr>
      </w:pPr>
      <w:r w:rsidRPr="00FD274F">
        <w:rPr>
          <w:b/>
        </w:rPr>
        <w:lastRenderedPageBreak/>
        <w:t xml:space="preserve">Illustration </w:t>
      </w:r>
      <w:r w:rsidR="009B5657" w:rsidRPr="00FD274F">
        <w:rPr>
          <w:b/>
        </w:rPr>
        <w:t>5</w:t>
      </w:r>
      <w:r w:rsidRPr="00FD274F">
        <w:rPr>
          <w:b/>
        </w:rPr>
        <w:t>B—sample reverse of title page showing user guide</w:t>
      </w:r>
    </w:p>
    <w:p w14:paraId="0A9AEC08" w14:textId="50963D0E" w:rsidR="00FA0E42" w:rsidRPr="00FD274F" w:rsidRDefault="00FA0E42" w:rsidP="00077A94">
      <w:pPr>
        <w:pStyle w:val="BodyNum"/>
        <w:numPr>
          <w:ilvl w:val="0"/>
          <w:numId w:val="0"/>
        </w:numPr>
        <w:jc w:val="center"/>
        <w:rPr>
          <w:b/>
        </w:rPr>
      </w:pPr>
      <w:r>
        <w:rPr>
          <w:noProof/>
        </w:rPr>
        <w:drawing>
          <wp:inline distT="0" distB="0" distL="0" distR="0" wp14:anchorId="2EB13208" wp14:editId="04B99F8F">
            <wp:extent cx="5040000" cy="4683600"/>
            <wp:effectExtent l="19050" t="19050" r="27305" b="22225"/>
            <wp:docPr id="1" name="Picture 1" descr="Template headed About this compilation, showing possible wording for a compilation us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a:stretch>
                      <a:fillRect/>
                    </a:stretch>
                  </pic:blipFill>
                  <pic:spPr>
                    <a:xfrm>
                      <a:off x="0" y="0"/>
                      <a:ext cx="5040000" cy="4683600"/>
                    </a:xfrm>
                    <a:prstGeom prst="rect">
                      <a:avLst/>
                    </a:prstGeom>
                    <a:ln>
                      <a:solidFill>
                        <a:schemeClr val="tx1"/>
                      </a:solidFill>
                    </a:ln>
                  </pic:spPr>
                </pic:pic>
              </a:graphicData>
            </a:graphic>
          </wp:inline>
        </w:drawing>
      </w:r>
    </w:p>
    <w:p w14:paraId="42A69276" w14:textId="7EDF7452" w:rsidR="00C33B0F" w:rsidRPr="00FD274F" w:rsidRDefault="00C33B0F" w:rsidP="00C33B0F">
      <w:pPr>
        <w:pStyle w:val="BodyNum"/>
      </w:pPr>
      <w:r w:rsidRPr="00FD274F">
        <w:t xml:space="preserve">The compilation number and compilation date should also be recorded in the footer </w:t>
      </w:r>
      <w:r w:rsidR="009B5657" w:rsidRPr="00FD274F">
        <w:t>of each page (se</w:t>
      </w:r>
      <w:r w:rsidR="009B5657" w:rsidRPr="00633C14">
        <w:t xml:space="preserve">e </w:t>
      </w:r>
      <w:r w:rsidR="00392147" w:rsidRPr="00633C14">
        <w:t>I</w:t>
      </w:r>
      <w:r w:rsidR="009B5657" w:rsidRPr="00633C14">
        <w:t>llustration 5</w:t>
      </w:r>
      <w:r w:rsidRPr="00633C14">
        <w:t>C).</w:t>
      </w:r>
    </w:p>
    <w:p w14:paraId="0B4D999A" w14:textId="77777777" w:rsidR="00077A94" w:rsidRPr="00FD274F" w:rsidRDefault="00C33B0F" w:rsidP="00FC7069">
      <w:pPr>
        <w:pStyle w:val="BodyNum"/>
        <w:keepNext/>
        <w:numPr>
          <w:ilvl w:val="0"/>
          <w:numId w:val="0"/>
        </w:numPr>
        <w:rPr>
          <w:b/>
        </w:rPr>
      </w:pPr>
      <w:r w:rsidRPr="00FD274F">
        <w:rPr>
          <w:b/>
        </w:rPr>
        <w:t xml:space="preserve">Illustration </w:t>
      </w:r>
      <w:r w:rsidR="009B5657" w:rsidRPr="00FD274F">
        <w:rPr>
          <w:b/>
        </w:rPr>
        <w:t>5</w:t>
      </w:r>
      <w:r w:rsidRPr="00FD274F">
        <w:rPr>
          <w:b/>
        </w:rPr>
        <w:t>C—sample page footer</w:t>
      </w:r>
    </w:p>
    <w:p w14:paraId="4191E5B1" w14:textId="022D715E" w:rsidR="00F55387" w:rsidRPr="00FD274F" w:rsidRDefault="00F55387" w:rsidP="00077A94">
      <w:pPr>
        <w:pStyle w:val="BodyNum"/>
        <w:numPr>
          <w:ilvl w:val="0"/>
          <w:numId w:val="0"/>
        </w:numPr>
        <w:jc w:val="center"/>
        <w:rPr>
          <w:b/>
        </w:rPr>
      </w:pPr>
      <w:r>
        <w:rPr>
          <w:noProof/>
        </w:rPr>
        <w:drawing>
          <wp:inline distT="0" distB="0" distL="0" distR="0" wp14:anchorId="2462C70B" wp14:editId="5FC1D5F2">
            <wp:extent cx="5400000" cy="730800"/>
            <wp:effectExtent l="19050" t="19050" r="10795" b="12700"/>
            <wp:docPr id="11" name="Picture 11" descr="Template footer displaying Example Instrument 2024, page number 1, compilation number 8 and compilation date 1 January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5400000" cy="730800"/>
                    </a:xfrm>
                    <a:prstGeom prst="rect">
                      <a:avLst/>
                    </a:prstGeom>
                    <a:ln>
                      <a:solidFill>
                        <a:schemeClr val="tx1"/>
                      </a:solidFill>
                    </a:ln>
                  </pic:spPr>
                </pic:pic>
              </a:graphicData>
            </a:graphic>
          </wp:inline>
        </w:drawing>
      </w:r>
    </w:p>
    <w:p w14:paraId="1A656BEE" w14:textId="77777777" w:rsidR="0084047D" w:rsidRPr="00FD274F" w:rsidRDefault="0084047D" w:rsidP="00CD6FA3">
      <w:pPr>
        <w:pStyle w:val="BodyNum"/>
        <w:keepNext/>
      </w:pPr>
      <w:r w:rsidRPr="00FD274F">
        <w:t xml:space="preserve">The </w:t>
      </w:r>
      <w:r w:rsidRPr="00FD274F">
        <w:rPr>
          <w:b/>
          <w:i/>
        </w:rPr>
        <w:t>body</w:t>
      </w:r>
      <w:r w:rsidRPr="00FD274F">
        <w:t xml:space="preserve"> of the compilation shows the text of the principal instrument as in force as at the compilation date. Before updating the text, it is important to identify which amendments to incorporate. As the sample user guide above suggests, only those amendments that have commenced at the compilation date </w:t>
      </w:r>
      <w:r w:rsidR="00BF5238" w:rsidRPr="00FD274F">
        <w:t xml:space="preserve">can </w:t>
      </w:r>
      <w:r w:rsidRPr="00FD274F">
        <w:t>be incorporated into the text. The following should be noted in the endnotes, but not incorporated into the text:</w:t>
      </w:r>
    </w:p>
    <w:p w14:paraId="3FEA53CA" w14:textId="1ADF6EBA" w:rsidR="0084047D" w:rsidRPr="00FD274F" w:rsidRDefault="0084047D" w:rsidP="0084047D">
      <w:pPr>
        <w:pStyle w:val="BodyPara"/>
      </w:pPr>
      <w:r w:rsidRPr="00FD274F">
        <w:t>any amendment that has not commenced at the compilation date (s</w:t>
      </w:r>
      <w:r w:rsidRPr="00633C14">
        <w:t xml:space="preserve">ee also paragraph </w:t>
      </w:r>
      <w:r w:rsidR="007873C4" w:rsidRPr="004709B9">
        <w:fldChar w:fldCharType="begin"/>
      </w:r>
      <w:r w:rsidR="007873C4" w:rsidRPr="00633C14">
        <w:instrText xml:space="preserve"> REF _Ref444854800 \r \h </w:instrText>
      </w:r>
      <w:r w:rsidR="00F308D0" w:rsidRPr="00633C14">
        <w:instrText xml:space="preserve"> \* MERGEFORMAT </w:instrText>
      </w:r>
      <w:r w:rsidR="007873C4" w:rsidRPr="004709B9">
        <w:fldChar w:fldCharType="separate"/>
      </w:r>
      <w:r w:rsidR="00833171">
        <w:t>202(b)</w:t>
      </w:r>
      <w:r w:rsidR="007873C4" w:rsidRPr="004709B9">
        <w:fldChar w:fldCharType="end"/>
      </w:r>
      <w:proofErr w:type="gramStart"/>
      <w:r w:rsidR="00942F8D" w:rsidRPr="00633C14">
        <w:t>);</w:t>
      </w:r>
      <w:proofErr w:type="gramEnd"/>
    </w:p>
    <w:p w14:paraId="1B9D4D6B" w14:textId="1E10853B" w:rsidR="0084047D" w:rsidRPr="00FD274F" w:rsidRDefault="0084047D" w:rsidP="0084047D">
      <w:pPr>
        <w:pStyle w:val="BodyPara"/>
      </w:pPr>
      <w:r w:rsidRPr="00FD274F">
        <w:lastRenderedPageBreak/>
        <w:t>any application, saving or transitional provision that is not incorporated into the principal instrument by an amendme</w:t>
      </w:r>
      <w:r w:rsidRPr="00633C14">
        <w:t xml:space="preserve">nt (see also paragraph </w:t>
      </w:r>
      <w:r w:rsidRPr="004709B9">
        <w:fldChar w:fldCharType="begin"/>
      </w:r>
      <w:r w:rsidRPr="00633C14">
        <w:instrText xml:space="preserve"> REF _Ref367447079 \r \h </w:instrText>
      </w:r>
      <w:r w:rsidR="00F308D0" w:rsidRPr="00633C14">
        <w:instrText xml:space="preserve"> \* MERGEFORMAT </w:instrText>
      </w:r>
      <w:r w:rsidRPr="004709B9">
        <w:fldChar w:fldCharType="separate"/>
      </w:r>
      <w:r w:rsidR="00833171">
        <w:t>201(d)</w:t>
      </w:r>
      <w:r w:rsidRPr="004709B9">
        <w:fldChar w:fldCharType="end"/>
      </w:r>
      <w:proofErr w:type="gramStart"/>
      <w:r w:rsidRPr="00633C14">
        <w:t>);</w:t>
      </w:r>
      <w:proofErr w:type="gramEnd"/>
    </w:p>
    <w:p w14:paraId="7CAFBDF6" w14:textId="4C7B1393" w:rsidR="0084047D" w:rsidRPr="00FD274F" w:rsidRDefault="0084047D" w:rsidP="0084047D">
      <w:pPr>
        <w:pStyle w:val="BodyPara"/>
      </w:pPr>
      <w:r w:rsidRPr="00FD274F">
        <w:t>any amendment that cannot be incorporated because it is misdescribed and the rule</w:t>
      </w:r>
      <w:r w:rsidR="009C4251">
        <w:noBreakHyphen/>
      </w:r>
      <w:r w:rsidRPr="00FD274F">
        <w:t>maker’s intention is uncle</w:t>
      </w:r>
      <w:r w:rsidRPr="00633C14">
        <w:t xml:space="preserve">ar (see also paragraphs </w:t>
      </w:r>
      <w:r w:rsidR="00445382">
        <w:fldChar w:fldCharType="begin"/>
      </w:r>
      <w:r w:rsidR="00445382">
        <w:instrText xml:space="preserve"> REF _Ref110331473 \r \h </w:instrText>
      </w:r>
      <w:r w:rsidR="00445382">
        <w:fldChar w:fldCharType="separate"/>
      </w:r>
      <w:r w:rsidR="00833171">
        <w:t>204</w:t>
      </w:r>
      <w:r w:rsidR="00445382">
        <w:fldChar w:fldCharType="end"/>
      </w:r>
      <w:r w:rsidR="009B5657" w:rsidRPr="00633C14">
        <w:t xml:space="preserve"> and </w:t>
      </w:r>
      <w:r w:rsidRPr="004709B9">
        <w:fldChar w:fldCharType="begin"/>
      </w:r>
      <w:r w:rsidRPr="00633C14">
        <w:instrText xml:space="preserve"> REF _Ref428882137 \r \h  \* MERGEFORMAT </w:instrText>
      </w:r>
      <w:r w:rsidRPr="004709B9">
        <w:fldChar w:fldCharType="separate"/>
      </w:r>
      <w:r w:rsidR="00833171">
        <w:t>205</w:t>
      </w:r>
      <w:r w:rsidRPr="004709B9">
        <w:fldChar w:fldCharType="end"/>
      </w:r>
      <w:r w:rsidR="00942F8D" w:rsidRPr="00633C14">
        <w:t>);</w:t>
      </w:r>
    </w:p>
    <w:p w14:paraId="7D177A21" w14:textId="77777777" w:rsidR="0084047D" w:rsidRPr="00FD274F" w:rsidRDefault="0084047D" w:rsidP="0084047D">
      <w:pPr>
        <w:pStyle w:val="BodyPara"/>
      </w:pPr>
      <w:r w:rsidRPr="00FD274F">
        <w:t>the expiry or cessation of a provision—a provision should only be removed from the text if it has been repealed</w:t>
      </w:r>
      <w:r w:rsidR="00BE6ED1">
        <w:t xml:space="preserve"> by using the word “repeal”, “revoke” or “rescind”</w:t>
      </w:r>
      <w:r w:rsidRPr="00FD274F">
        <w:t>.</w:t>
      </w:r>
    </w:p>
    <w:p w14:paraId="42130FF2" w14:textId="44130EEC" w:rsidR="00CF1FC1" w:rsidRPr="00F972C8" w:rsidRDefault="00CF1FC1" w:rsidP="002F347F">
      <w:pPr>
        <w:pStyle w:val="BodyNum"/>
        <w:rPr>
          <w:szCs w:val="24"/>
        </w:rPr>
      </w:pPr>
      <w:r w:rsidRPr="00FD274F">
        <w:t xml:space="preserve">It is not necessary to note or incorporate modifications, that is, </w:t>
      </w:r>
      <w:r w:rsidR="00671909">
        <w:t>changes</w:t>
      </w:r>
      <w:r w:rsidR="0057693D">
        <w:t xml:space="preserve"> </w:t>
      </w:r>
      <w:r w:rsidR="00DC5A85">
        <w:t>affect</w:t>
      </w:r>
      <w:r w:rsidR="00C9666C">
        <w:t>ing</w:t>
      </w:r>
      <w:r w:rsidR="00DC5A85">
        <w:t xml:space="preserve"> the operation of an instrument without directly amending its text</w:t>
      </w:r>
      <w:r w:rsidR="0057693D">
        <w:t xml:space="preserve"> (</w:t>
      </w:r>
      <w:r w:rsidR="00DC5A85">
        <w:t>including by notionally adding, omitting or substituting words of provisions</w:t>
      </w:r>
      <w:r w:rsidR="0057693D">
        <w:t xml:space="preserve">) </w:t>
      </w:r>
      <w:r w:rsidR="00DC5A85">
        <w:t>or</w:t>
      </w:r>
      <w:r w:rsidR="0057693D">
        <w:t xml:space="preserve"> </w:t>
      </w:r>
      <w:r w:rsidR="00DC5A85">
        <w:t>apply</w:t>
      </w:r>
      <w:r w:rsidR="00C9666C">
        <w:t>ing</w:t>
      </w:r>
      <w:r w:rsidR="00DC5A85">
        <w:t xml:space="preserve"> to particular locations or cases.</w:t>
      </w:r>
      <w:r w:rsidR="00F972C8">
        <w:t xml:space="preserve"> </w:t>
      </w:r>
      <w:r w:rsidRPr="00FD274F">
        <w:t>Links to and from the modifying legislation will normally be create</w:t>
      </w:r>
      <w:r w:rsidRPr="00F972C8">
        <w:rPr>
          <w:szCs w:val="24"/>
        </w:rPr>
        <w:t xml:space="preserve">d when that legislation is registered but, if this is not the case, please let OPC know by using the </w:t>
      </w:r>
      <w:hyperlink r:id="rId313" w:history="1">
        <w:r w:rsidRPr="00F972C8">
          <w:rPr>
            <w:rStyle w:val="Hyperlink"/>
            <w:szCs w:val="24"/>
          </w:rPr>
          <w:t>feedback form</w:t>
        </w:r>
      </w:hyperlink>
      <w:r w:rsidRPr="00F972C8">
        <w:rPr>
          <w:szCs w:val="24"/>
        </w:rPr>
        <w:t xml:space="preserve"> on the Register (public) website or email</w:t>
      </w:r>
      <w:r w:rsidR="000962E7">
        <w:rPr>
          <w:szCs w:val="24"/>
        </w:rPr>
        <w:t>ing</w:t>
      </w:r>
      <w:r w:rsidRPr="00F972C8">
        <w:rPr>
          <w:szCs w:val="24"/>
        </w:rPr>
        <w:t xml:space="preserve"> </w:t>
      </w:r>
      <w:hyperlink r:id="rId314" w:history="1">
        <w:hyperlink r:id="rId315" w:history="1">
          <w:r w:rsidRPr="00F972C8">
            <w:rPr>
              <w:rStyle w:val="Hyperlink"/>
              <w:rFonts w:eastAsiaTheme="minorHAnsi"/>
              <w:szCs w:val="24"/>
              <w:lang w:eastAsia="en-US"/>
            </w:rPr>
            <w:t>lodge@legislation.gov.au</w:t>
          </w:r>
        </w:hyperlink>
      </w:hyperlink>
      <w:r w:rsidRPr="00F972C8">
        <w:rPr>
          <w:szCs w:val="24"/>
        </w:rPr>
        <w:t>.</w:t>
      </w:r>
    </w:p>
    <w:p w14:paraId="2AEF359B" w14:textId="77777777" w:rsidR="0084047D" w:rsidRPr="00FD274F" w:rsidRDefault="0084047D" w:rsidP="0084047D">
      <w:pPr>
        <w:pStyle w:val="BodyNum"/>
      </w:pPr>
      <w:r w:rsidRPr="00FD274F">
        <w:t>It is important to take a systematic approach to incorporating amendments into the text of the principal instrument. In particular:</w:t>
      </w:r>
    </w:p>
    <w:p w14:paraId="35E8348E" w14:textId="77777777" w:rsidR="0084047D" w:rsidRPr="00FD274F" w:rsidRDefault="0084047D" w:rsidP="0084047D">
      <w:pPr>
        <w:pStyle w:val="BodyPara"/>
      </w:pPr>
      <w:r w:rsidRPr="00FD274F">
        <w:t>any automatic numbering that may have been used must be turned off—otherwise any insertions or omissions may not be shown with the correct provision numbers; and</w:t>
      </w:r>
    </w:p>
    <w:p w14:paraId="2834FCBC" w14:textId="77777777" w:rsidR="0084047D" w:rsidRPr="00FD274F" w:rsidRDefault="0084047D" w:rsidP="0084047D">
      <w:pPr>
        <w:pStyle w:val="BodyPara"/>
      </w:pPr>
      <w:r w:rsidRPr="00FD274F">
        <w:t xml:space="preserve">styles or equivalent formatting devices should be used to format text wherever practicable—this will deliver a consistent look and feel, and make it easy </w:t>
      </w:r>
      <w:r w:rsidR="000A2841" w:rsidRPr="00FD274F">
        <w:t>to up</w:t>
      </w:r>
      <w:r w:rsidR="00942F8D">
        <w:t>date any table of contents; and</w:t>
      </w:r>
    </w:p>
    <w:p w14:paraId="61B31A21" w14:textId="0F78C161" w:rsidR="00CF1FC1" w:rsidRPr="00FD274F" w:rsidRDefault="00CF1FC1" w:rsidP="00CF1FC1">
      <w:pPr>
        <w:pStyle w:val="BodyPara"/>
      </w:pPr>
      <w:r w:rsidRPr="00FD274F">
        <w:t>any solely commencing, amending or repealing provisions in the instrument should be checked to establish whether they should be removed in accordance with the automatic repeal provisions in Par</w:t>
      </w:r>
      <w:r w:rsidRPr="004709B9">
        <w:t xml:space="preserve">t 3 of Chapter 3 of the </w:t>
      </w:r>
      <w:hyperlink r:id="rId316" w:history="1">
        <w:r w:rsidRPr="004709B9">
          <w:rPr>
            <w:rStyle w:val="Hyperlink"/>
          </w:rPr>
          <w:t>LA</w:t>
        </w:r>
      </w:hyperlink>
      <w:r w:rsidRPr="004709B9">
        <w:t>.</w:t>
      </w:r>
    </w:p>
    <w:p w14:paraId="41E24D24" w14:textId="1C4939A6" w:rsidR="0084047D" w:rsidRPr="00FD274F" w:rsidRDefault="0084047D" w:rsidP="0084047D">
      <w:pPr>
        <w:pStyle w:val="BodyNum"/>
      </w:pPr>
      <w:r w:rsidRPr="00FD274F">
        <w:t xml:space="preserve">After the amendments have been incorporated into the text, it is important to document the changes made to the text, the authority for making the changes and other matters. This information should be set out in </w:t>
      </w:r>
      <w:r w:rsidRPr="00FD274F">
        <w:rPr>
          <w:b/>
          <w:i/>
        </w:rPr>
        <w:t>endnotes</w:t>
      </w:r>
      <w:r w:rsidRPr="00FD274F">
        <w:t xml:space="preserve">, that is, notes after the body of a compilation. OPC’s current practice is to include </w:t>
      </w:r>
      <w:r w:rsidR="00D528C0" w:rsidRPr="00FD274F">
        <w:t xml:space="preserve">at least </w:t>
      </w:r>
      <w:r w:rsidRPr="00FD274F">
        <w:t>4 endnotes, and to explain the purpose and structure of the endnotes in the first endnote (se</w:t>
      </w:r>
      <w:r w:rsidRPr="00FE07C4">
        <w:t xml:space="preserve">e </w:t>
      </w:r>
      <w:r w:rsidR="00392147" w:rsidRPr="00FE07C4">
        <w:t>I</w:t>
      </w:r>
      <w:r w:rsidRPr="00FE07C4">
        <w:t xml:space="preserve">llustration </w:t>
      </w:r>
      <w:r w:rsidR="009B5657" w:rsidRPr="00FE07C4">
        <w:t>5</w:t>
      </w:r>
      <w:r w:rsidR="00942F8D" w:rsidRPr="00FE07C4">
        <w:t>D).</w:t>
      </w:r>
    </w:p>
    <w:p w14:paraId="21B62736" w14:textId="77777777" w:rsidR="0084047D" w:rsidRPr="00FD274F" w:rsidRDefault="0084047D" w:rsidP="007D6093">
      <w:pPr>
        <w:spacing w:line="240" w:lineRule="auto"/>
        <w:rPr>
          <w:b/>
        </w:rPr>
      </w:pPr>
      <w:r w:rsidRPr="00FD274F">
        <w:rPr>
          <w:b/>
        </w:rPr>
        <w:br w:type="page"/>
      </w:r>
      <w:r w:rsidR="009B5657" w:rsidRPr="00FD274F">
        <w:rPr>
          <w:b/>
        </w:rPr>
        <w:lastRenderedPageBreak/>
        <w:t>Illustration 5</w:t>
      </w:r>
      <w:r w:rsidRPr="00FD274F">
        <w:rPr>
          <w:b/>
        </w:rPr>
        <w:t xml:space="preserve">D—sample </w:t>
      </w:r>
      <w:r w:rsidR="00942F8D">
        <w:rPr>
          <w:b/>
        </w:rPr>
        <w:t>E</w:t>
      </w:r>
      <w:r w:rsidR="00E06893">
        <w:rPr>
          <w:b/>
        </w:rPr>
        <w:t>ndnote 1—About the endnotes</w:t>
      </w:r>
    </w:p>
    <w:p w14:paraId="3AB70719" w14:textId="5AE4EA98" w:rsidR="00205E75" w:rsidRDefault="00205E75" w:rsidP="00845FE6">
      <w:pPr>
        <w:pStyle w:val="notedraft"/>
        <w:jc w:val="center"/>
        <w:rPr>
          <w:i w:val="0"/>
          <w:highlight w:val="green"/>
        </w:rPr>
      </w:pPr>
      <w:r>
        <w:rPr>
          <w:noProof/>
        </w:rPr>
        <w:drawing>
          <wp:inline distT="0" distB="0" distL="0" distR="0" wp14:anchorId="419BD25C" wp14:editId="2E0982E7">
            <wp:extent cx="5438775" cy="5323205"/>
            <wp:effectExtent l="19050" t="19050" r="28575" b="10795"/>
            <wp:docPr id="7" name="Picture 7" descr="Template headed Endnotes, showing possible wording for a user guide about endnotes 1 to 4 and misdescribed amend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7"/>
                    <a:srcRect r="1528"/>
                    <a:stretch/>
                  </pic:blipFill>
                  <pic:spPr bwMode="auto">
                    <a:xfrm>
                      <a:off x="0" y="0"/>
                      <a:ext cx="5439392" cy="532380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A886055" w14:textId="4E01A7F5" w:rsidR="00CF1FC1" w:rsidRDefault="00CF1FC1" w:rsidP="00CF1FC1">
      <w:pPr>
        <w:pStyle w:val="BodyNum"/>
      </w:pPr>
      <w:r w:rsidRPr="000B3456">
        <w:rPr>
          <w:szCs w:val="24"/>
        </w:rPr>
        <w:t>Endnote 2, the abbreviation key, meets the requirement o</w:t>
      </w:r>
      <w:r w:rsidRPr="004532FE">
        <w:rPr>
          <w:szCs w:val="24"/>
        </w:rPr>
        <w:t xml:space="preserve">f paragraph 7(d) of the </w:t>
      </w:r>
      <w:hyperlink r:id="rId318" w:history="1">
        <w:hyperlink r:id="rId319" w:history="1">
          <w:r w:rsidRPr="004532FE">
            <w:rPr>
              <w:rStyle w:val="Hyperlink"/>
              <w:spacing w:val="-6"/>
            </w:rPr>
            <w:t>Rule</w:t>
          </w:r>
        </w:hyperlink>
      </w:hyperlink>
      <w:r w:rsidRPr="000B3456">
        <w:rPr>
          <w:szCs w:val="24"/>
        </w:rPr>
        <w:t xml:space="preserve"> and </w:t>
      </w:r>
      <w:r w:rsidRPr="00FD274F">
        <w:t>sets out abbreviations that may be used in the endnotes. The most complex compilations prepared by OPC may use over 30 abbreviations. Agencies should use the same abbreviations as OPC to avoid confusing readers</w:t>
      </w:r>
      <w:r>
        <w:t xml:space="preserve"> (</w:t>
      </w:r>
      <w:r w:rsidRPr="00FE07C4">
        <w:t>see Illustration 5E</w:t>
      </w:r>
      <w:proofErr w:type="gramStart"/>
      <w:r w:rsidRPr="00FE07C4">
        <w:t>),</w:t>
      </w:r>
      <w:r w:rsidRPr="00FD274F">
        <w:t xml:space="preserve"> but</w:t>
      </w:r>
      <w:proofErr w:type="gramEnd"/>
      <w:r w:rsidRPr="00FD274F">
        <w:t xml:space="preserve"> may wish to specify additional abbreviations for matters not covered by the standard OPC abbreviations. OPC can provide advice on the use of abbreviations on request.</w:t>
      </w:r>
    </w:p>
    <w:p w14:paraId="54BC034E" w14:textId="77777777" w:rsidR="00845FE6" w:rsidRPr="00FD274F" w:rsidRDefault="000116BE" w:rsidP="00845FE6">
      <w:pPr>
        <w:keepNext/>
        <w:spacing w:line="240" w:lineRule="auto"/>
        <w:rPr>
          <w:b/>
        </w:rPr>
      </w:pPr>
      <w:r w:rsidRPr="00FD274F">
        <w:rPr>
          <w:b/>
        </w:rPr>
        <w:lastRenderedPageBreak/>
        <w:t>Illustration 5</w:t>
      </w:r>
      <w:r w:rsidR="00845FE6">
        <w:rPr>
          <w:b/>
        </w:rPr>
        <w:t>E</w:t>
      </w:r>
      <w:r w:rsidRPr="00FD274F">
        <w:rPr>
          <w:b/>
        </w:rPr>
        <w:t xml:space="preserve">—sample </w:t>
      </w:r>
      <w:r>
        <w:rPr>
          <w:b/>
        </w:rPr>
        <w:t>Endnote 2—Abbreviation key</w:t>
      </w:r>
    </w:p>
    <w:p w14:paraId="261ACA2B" w14:textId="37445286" w:rsidR="003C40CC" w:rsidRDefault="003C40CC" w:rsidP="00845FE6">
      <w:pPr>
        <w:pStyle w:val="BodyNum"/>
        <w:keepNext/>
        <w:numPr>
          <w:ilvl w:val="0"/>
          <w:numId w:val="0"/>
        </w:numPr>
      </w:pPr>
      <w:r>
        <w:rPr>
          <w:noProof/>
        </w:rPr>
        <w:drawing>
          <wp:inline distT="0" distB="0" distL="0" distR="0" wp14:anchorId="1B12E768" wp14:editId="56A695BF">
            <wp:extent cx="5361905" cy="5314286"/>
            <wp:effectExtent l="19050" t="19050" r="10795" b="20320"/>
            <wp:docPr id="4" name="Picture 4" descr="Template headed Endnote 2, showing an example abbreviation formatting across two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0"/>
                    <a:stretch>
                      <a:fillRect/>
                    </a:stretch>
                  </pic:blipFill>
                  <pic:spPr>
                    <a:xfrm>
                      <a:off x="0" y="0"/>
                      <a:ext cx="5361905" cy="5314286"/>
                    </a:xfrm>
                    <a:prstGeom prst="rect">
                      <a:avLst/>
                    </a:prstGeom>
                    <a:ln>
                      <a:solidFill>
                        <a:schemeClr val="tx1"/>
                      </a:solidFill>
                    </a:ln>
                  </pic:spPr>
                </pic:pic>
              </a:graphicData>
            </a:graphic>
          </wp:inline>
        </w:drawing>
      </w:r>
    </w:p>
    <w:p w14:paraId="2C20DFEF" w14:textId="3095400A" w:rsidR="00CF1FC1" w:rsidRPr="00FD274F" w:rsidRDefault="00CF1FC1" w:rsidP="00CF1FC1">
      <w:pPr>
        <w:pStyle w:val="BodyNum"/>
        <w:keepNext/>
      </w:pPr>
      <w:r w:rsidRPr="00FD274F">
        <w:t>Endnote 3, the legislation history, meets the requirement of p</w:t>
      </w:r>
      <w:r w:rsidRPr="004709B9">
        <w:t xml:space="preserve">aragraph 15P(1)(c) of the </w:t>
      </w:r>
      <w:hyperlink r:id="rId321" w:history="1">
        <w:r w:rsidRPr="004709B9">
          <w:rPr>
            <w:rStyle w:val="Hyperlink"/>
          </w:rPr>
          <w:t>LA</w:t>
        </w:r>
      </w:hyperlink>
      <w:r w:rsidRPr="004709B9">
        <w:t xml:space="preserve"> for</w:t>
      </w:r>
      <w:r w:rsidRPr="00FD274F">
        <w:t xml:space="preserve"> compilations to include commencement and other details for any Act or instrument that amends the principal instrument. It is usual to list this material starting with the principal instrument and to refer to each amending Act or instrument in chronological order of making. The endnote should contain at least the following information for the principal instrument and each amending Act or instrument (s</w:t>
      </w:r>
      <w:r w:rsidRPr="00FE07C4">
        <w:t>ee Illustration 5F):</w:t>
      </w:r>
    </w:p>
    <w:p w14:paraId="7FC4056C" w14:textId="77777777" w:rsidR="0084047D" w:rsidRPr="00FD274F" w:rsidRDefault="0084047D" w:rsidP="0084047D">
      <w:pPr>
        <w:pStyle w:val="BodyPara"/>
      </w:pPr>
      <w:r w:rsidRPr="00FD274F">
        <w:t xml:space="preserve">its full name, and any series number and year that may apply, unless some other method of citation is identified in an earlier </w:t>
      </w:r>
      <w:proofErr w:type="gramStart"/>
      <w:r w:rsidRPr="00FD274F">
        <w:t>endnote;</w:t>
      </w:r>
      <w:proofErr w:type="gramEnd"/>
    </w:p>
    <w:p w14:paraId="1E110BC1" w14:textId="77777777" w:rsidR="0084047D" w:rsidRPr="00FD274F" w:rsidRDefault="0084047D" w:rsidP="0084047D">
      <w:pPr>
        <w:pStyle w:val="BodyPara"/>
      </w:pPr>
      <w:r w:rsidRPr="00FD274F">
        <w:t xml:space="preserve">for an instrument—the instrument’s date of registration and </w:t>
      </w:r>
      <w:r w:rsidR="00506646" w:rsidRPr="00FD274F">
        <w:t xml:space="preserve">registration </w:t>
      </w:r>
      <w:r w:rsidRPr="00FD274F">
        <w:t>ID (or, if it was made before 2005, the date of gazettal and Gazette number</w:t>
      </w:r>
      <w:proofErr w:type="gramStart"/>
      <w:r w:rsidRPr="00FD274F">
        <w:t>);</w:t>
      </w:r>
      <w:proofErr w:type="gramEnd"/>
    </w:p>
    <w:p w14:paraId="0EFCA6FC" w14:textId="138B4878" w:rsidR="0084047D" w:rsidRPr="00FD274F" w:rsidRDefault="0084047D" w:rsidP="0084047D">
      <w:pPr>
        <w:pStyle w:val="BodyPara"/>
      </w:pPr>
      <w:r w:rsidRPr="00FD274F">
        <w:t>details of when it commenced—if, for example, some provisions commenced on one date and the remainder on another date, this should be spelt out</w:t>
      </w:r>
      <w:r w:rsidR="00C743D8">
        <w:t xml:space="preserve">, or if </w:t>
      </w:r>
      <w:r w:rsidR="00C743D8">
        <w:lastRenderedPageBreak/>
        <w:t>the provi</w:t>
      </w:r>
      <w:r w:rsidR="00C743D8" w:rsidRPr="00FE07C4">
        <w:t xml:space="preserve">sions commence in the future, clearly indicating this (see use of underlining in </w:t>
      </w:r>
      <w:r w:rsidR="00392147" w:rsidRPr="00FE07C4">
        <w:t>I</w:t>
      </w:r>
      <w:r w:rsidR="00C743D8" w:rsidRPr="00FE07C4">
        <w:t>llustration 5</w:t>
      </w:r>
      <w:r w:rsidR="00960AAD" w:rsidRPr="00FE07C4">
        <w:t>F</w:t>
      </w:r>
      <w:r w:rsidR="00C743D8" w:rsidRPr="00FE07C4">
        <w:t xml:space="preserve"> b</w:t>
      </w:r>
      <w:r w:rsidR="00C743D8">
        <w:t>elow</w:t>
      </w:r>
      <w:proofErr w:type="gramStart"/>
      <w:r w:rsidR="00C743D8">
        <w:t>)</w:t>
      </w:r>
      <w:r w:rsidRPr="00FD274F">
        <w:t>;</w:t>
      </w:r>
      <w:proofErr w:type="gramEnd"/>
    </w:p>
    <w:p w14:paraId="0D9ECA0C" w14:textId="77777777" w:rsidR="0084047D" w:rsidRPr="00FD274F" w:rsidRDefault="0084047D" w:rsidP="0084047D">
      <w:pPr>
        <w:pStyle w:val="BodyPara"/>
      </w:pPr>
      <w:bookmarkStart w:id="130" w:name="_Ref367447079"/>
      <w:r w:rsidRPr="00FD274F">
        <w:t xml:space="preserve">the location of any application, saving or transitional provisions that are relevant to, but not included in, the principal </w:t>
      </w:r>
      <w:proofErr w:type="gramStart"/>
      <w:r w:rsidRPr="00FD274F">
        <w:t>instrument;</w:t>
      </w:r>
      <w:bookmarkEnd w:id="130"/>
      <w:proofErr w:type="gramEnd"/>
    </w:p>
    <w:p w14:paraId="1FB9E030" w14:textId="77777777" w:rsidR="00083024" w:rsidRPr="00FD274F" w:rsidRDefault="0084047D" w:rsidP="0084047D">
      <w:pPr>
        <w:pStyle w:val="BodyPara"/>
      </w:pPr>
      <w:r w:rsidRPr="00FD274F">
        <w:t>details of any event that has affected the text of the principal instrument</w:t>
      </w:r>
      <w:r w:rsidR="00083024" w:rsidRPr="00FD274F">
        <w:t>—in the case of disallowance of a provision or amendment, the House, date and time of disallowance should be noted.</w:t>
      </w:r>
    </w:p>
    <w:p w14:paraId="38DA6343" w14:textId="59CBCB03" w:rsidR="0084047D" w:rsidRPr="00FD274F" w:rsidRDefault="0084047D" w:rsidP="00CD6FA3">
      <w:pPr>
        <w:pStyle w:val="Body"/>
        <w:keepNext/>
        <w:rPr>
          <w:b/>
        </w:rPr>
      </w:pPr>
      <w:bookmarkStart w:id="131" w:name="_Ref422926992"/>
      <w:r w:rsidRPr="00FD274F">
        <w:rPr>
          <w:b/>
        </w:rPr>
        <w:t xml:space="preserve">Illustration </w:t>
      </w:r>
      <w:r w:rsidR="009B5657" w:rsidRPr="00FD274F">
        <w:rPr>
          <w:b/>
        </w:rPr>
        <w:t>5</w:t>
      </w:r>
      <w:r w:rsidR="00960AAD">
        <w:rPr>
          <w:b/>
        </w:rPr>
        <w:t>F</w:t>
      </w:r>
      <w:r w:rsidRPr="00FD274F">
        <w:rPr>
          <w:b/>
        </w:rPr>
        <w:t>—sampl</w:t>
      </w:r>
      <w:r w:rsidR="00077A94" w:rsidRPr="00FD274F">
        <w:rPr>
          <w:b/>
        </w:rPr>
        <w:t xml:space="preserve">e </w:t>
      </w:r>
      <w:r w:rsidR="00E06893">
        <w:rPr>
          <w:b/>
        </w:rPr>
        <w:t>E</w:t>
      </w:r>
      <w:r w:rsidR="00077A94" w:rsidRPr="00FD274F">
        <w:rPr>
          <w:b/>
        </w:rPr>
        <w:t>ndnote 3—Legislation history</w:t>
      </w:r>
    </w:p>
    <w:p w14:paraId="3BA4F9A0" w14:textId="3FEE2419" w:rsidR="00DD6F9D" w:rsidRPr="00FD274F" w:rsidRDefault="00BE102E" w:rsidP="00077A94">
      <w:pPr>
        <w:pStyle w:val="Body"/>
        <w:jc w:val="center"/>
        <w:rPr>
          <w:b/>
        </w:rPr>
      </w:pPr>
      <w:r>
        <w:rPr>
          <w:noProof/>
        </w:rPr>
        <w:drawing>
          <wp:inline distT="0" distB="0" distL="0" distR="0" wp14:anchorId="2DEBAC53" wp14:editId="42B95B73">
            <wp:extent cx="5732145" cy="5048250"/>
            <wp:effectExtent l="19050" t="19050" r="20955" b="19050"/>
            <wp:docPr id="10" name="Picture 10" descr="Template headed Endnote 3 Legislation history, showing preferred order and format of required information i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2"/>
                    <a:stretch>
                      <a:fillRect/>
                    </a:stretch>
                  </pic:blipFill>
                  <pic:spPr>
                    <a:xfrm>
                      <a:off x="0" y="0"/>
                      <a:ext cx="5732145" cy="5048250"/>
                    </a:xfrm>
                    <a:prstGeom prst="rect">
                      <a:avLst/>
                    </a:prstGeom>
                    <a:ln>
                      <a:solidFill>
                        <a:schemeClr val="tx1"/>
                      </a:solidFill>
                    </a:ln>
                  </pic:spPr>
                </pic:pic>
              </a:graphicData>
            </a:graphic>
          </wp:inline>
        </w:drawing>
      </w:r>
    </w:p>
    <w:p w14:paraId="30FE09D7" w14:textId="68C697E5" w:rsidR="00CF1FC1" w:rsidRPr="00FD274F" w:rsidRDefault="00CF1FC1" w:rsidP="00CF1FC1">
      <w:pPr>
        <w:pStyle w:val="BodyNum"/>
        <w:tabs>
          <w:tab w:val="num" w:pos="1146"/>
        </w:tabs>
      </w:pPr>
      <w:bookmarkStart w:id="132" w:name="_Ref444854775"/>
      <w:bookmarkStart w:id="133" w:name="_Ref428882106"/>
      <w:r w:rsidRPr="00FD274F">
        <w:t xml:space="preserve">Endnote 4, the amendment history, meets the requirement of </w:t>
      </w:r>
      <w:r w:rsidRPr="004709B9">
        <w:t xml:space="preserve">paragraph 15P(1)(d) of the </w:t>
      </w:r>
      <w:hyperlink r:id="rId323" w:history="1">
        <w:r w:rsidRPr="004709B9">
          <w:rPr>
            <w:rStyle w:val="Hyperlink"/>
          </w:rPr>
          <w:t>LA</w:t>
        </w:r>
      </w:hyperlink>
      <w:r w:rsidRPr="004709B9">
        <w:t xml:space="preserve"> fo</w:t>
      </w:r>
      <w:r w:rsidRPr="00FD274F">
        <w:t xml:space="preserve">r compilations to include the amendment history of each amended provision. OPC generally annotates amendments to the section level or higher as appropriate. As illustrated in </w:t>
      </w:r>
      <w:r w:rsidRPr="00FE07C4">
        <w:t>Illustration 5G, t</w:t>
      </w:r>
      <w:r w:rsidRPr="00FD274F">
        <w:t>he endnote should note the nature of, and authority for, any change and in particular:</w:t>
      </w:r>
      <w:bookmarkEnd w:id="132"/>
    </w:p>
    <w:p w14:paraId="74E0464A" w14:textId="77777777" w:rsidR="0084047D" w:rsidRPr="00FD274F" w:rsidRDefault="0084047D" w:rsidP="0084047D">
      <w:pPr>
        <w:pStyle w:val="BodyPara"/>
      </w:pPr>
      <w:r w:rsidRPr="00FD274F">
        <w:lastRenderedPageBreak/>
        <w:t>identify the authority for a change by its full name unless a suitable acronym or a series number and year is identified in an earlier endnote</w:t>
      </w:r>
      <w:bookmarkEnd w:id="131"/>
      <w:bookmarkEnd w:id="133"/>
      <w:r w:rsidR="00E06893">
        <w:t>; and</w:t>
      </w:r>
    </w:p>
    <w:p w14:paraId="5AF5702E" w14:textId="77777777" w:rsidR="0084047D" w:rsidRPr="00FD274F" w:rsidRDefault="0084047D" w:rsidP="0084047D">
      <w:pPr>
        <w:pStyle w:val="BodyPara"/>
      </w:pPr>
      <w:bookmarkStart w:id="134" w:name="_Ref444854800"/>
      <w:r w:rsidRPr="00FD274F">
        <w:t>use underlining to indicate</w:t>
      </w:r>
      <w:r w:rsidR="00AB5E02">
        <w:t xml:space="preserve"> </w:t>
      </w:r>
      <w:r w:rsidRPr="00FD274F">
        <w:t>changes that have not commenced such as:</w:t>
      </w:r>
      <w:bookmarkEnd w:id="134"/>
    </w:p>
    <w:p w14:paraId="14DD72C0" w14:textId="77777777" w:rsidR="0084047D" w:rsidRPr="00FD274F" w:rsidRDefault="0084047D" w:rsidP="001D3931">
      <w:pPr>
        <w:pStyle w:val="BodySubPara"/>
        <w:contextualSpacing/>
      </w:pPr>
      <w:proofErr w:type="spellStart"/>
      <w:r w:rsidRPr="00FD274F">
        <w:t>uncommenced</w:t>
      </w:r>
      <w:proofErr w:type="spellEnd"/>
      <w:r w:rsidRPr="00FD274F">
        <w:t xml:space="preserve"> amendments; and</w:t>
      </w:r>
    </w:p>
    <w:p w14:paraId="0E87E1A8" w14:textId="6B09F96F" w:rsidR="0084047D" w:rsidRPr="00FD274F" w:rsidRDefault="0084047D" w:rsidP="001D3931">
      <w:pPr>
        <w:pStyle w:val="BodySubPara"/>
      </w:pPr>
      <w:r w:rsidRPr="00FD274F">
        <w:t>self</w:t>
      </w:r>
      <w:r w:rsidR="009C4251">
        <w:noBreakHyphen/>
      </w:r>
      <w:r w:rsidRPr="00FD274F">
        <w:t>repealing provisions that have not yet operated; and</w:t>
      </w:r>
    </w:p>
    <w:p w14:paraId="0DE89C76" w14:textId="77777777" w:rsidR="0084047D" w:rsidRPr="00FD274F" w:rsidRDefault="0084047D" w:rsidP="0047607F">
      <w:pPr>
        <w:pStyle w:val="BodyPara"/>
      </w:pPr>
      <w:r w:rsidRPr="00FD274F">
        <w:t xml:space="preserve">if a provision of the instrument as made </w:t>
      </w:r>
      <w:r w:rsidR="0047607F" w:rsidRPr="00FD274F">
        <w:t xml:space="preserve">or </w:t>
      </w:r>
      <w:r w:rsidRPr="00FD274F">
        <w:t>an amendment</w:t>
      </w:r>
      <w:r w:rsidR="0047607F" w:rsidRPr="00FD274F">
        <w:t xml:space="preserve"> to the instrument</w:t>
      </w:r>
      <w:r w:rsidRPr="00FD274F">
        <w:t xml:space="preserve"> has been disallowed</w:t>
      </w:r>
      <w:r w:rsidR="00083024" w:rsidRPr="00FD274F">
        <w:t xml:space="preserve"> in part or in full, an annotation to this effect</w:t>
      </w:r>
      <w:r w:rsidRPr="00FD274F">
        <w:t>.</w:t>
      </w:r>
    </w:p>
    <w:p w14:paraId="2FC717B6" w14:textId="536D0DD1" w:rsidR="0084047D" w:rsidRPr="00FD274F" w:rsidRDefault="009B5657" w:rsidP="00CD6FA3">
      <w:pPr>
        <w:pStyle w:val="Body"/>
        <w:keepNext/>
        <w:spacing w:after="120"/>
        <w:rPr>
          <w:b/>
        </w:rPr>
      </w:pPr>
      <w:bookmarkStart w:id="135" w:name="_Ref367446781"/>
      <w:r w:rsidRPr="00FD274F">
        <w:rPr>
          <w:b/>
        </w:rPr>
        <w:t>Illustration 5</w:t>
      </w:r>
      <w:r w:rsidR="007F0A4E">
        <w:rPr>
          <w:b/>
        </w:rPr>
        <w:t>G</w:t>
      </w:r>
      <w:r w:rsidR="0084047D" w:rsidRPr="00FD274F">
        <w:rPr>
          <w:b/>
        </w:rPr>
        <w:t xml:space="preserve">—sample </w:t>
      </w:r>
      <w:r w:rsidR="00E06893">
        <w:rPr>
          <w:b/>
        </w:rPr>
        <w:t>Endnote 4—Amendment history</w:t>
      </w:r>
    </w:p>
    <w:p w14:paraId="48F734E8" w14:textId="07FDA49B" w:rsidR="0010571F" w:rsidRPr="00FD274F" w:rsidRDefault="0000182F" w:rsidP="0084047D">
      <w:pPr>
        <w:pStyle w:val="Body"/>
        <w:ind w:left="720"/>
      </w:pPr>
      <w:r>
        <w:rPr>
          <w:noProof/>
        </w:rPr>
        <w:drawing>
          <wp:inline distT="0" distB="0" distL="0" distR="0" wp14:anchorId="28A08DD9" wp14:editId="64060861">
            <wp:extent cx="4942857" cy="5676190"/>
            <wp:effectExtent l="19050" t="19050" r="10160" b="20320"/>
            <wp:docPr id="17" name="Picture 17" descr="Example headed Endnote 4 Amendment History, showing preferred presentation of provisions and their amendments i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4"/>
                    <a:stretch>
                      <a:fillRect/>
                    </a:stretch>
                  </pic:blipFill>
                  <pic:spPr>
                    <a:xfrm>
                      <a:off x="0" y="0"/>
                      <a:ext cx="4942857" cy="5676190"/>
                    </a:xfrm>
                    <a:prstGeom prst="rect">
                      <a:avLst/>
                    </a:prstGeom>
                    <a:ln>
                      <a:solidFill>
                        <a:schemeClr val="tx1"/>
                      </a:solidFill>
                    </a:ln>
                  </pic:spPr>
                </pic:pic>
              </a:graphicData>
            </a:graphic>
          </wp:inline>
        </w:drawing>
      </w:r>
    </w:p>
    <w:p w14:paraId="46B00D15" w14:textId="52AEFCE4" w:rsidR="00473AFE" w:rsidRDefault="0000182F" w:rsidP="0084047D">
      <w:pPr>
        <w:pStyle w:val="BodyNum"/>
      </w:pPr>
      <w:bookmarkStart w:id="136" w:name="_Ref428882126"/>
      <w:r>
        <w:lastRenderedPageBreak/>
        <w:t xml:space="preserve">The amendment history captured against section 2.14 in the example </w:t>
      </w:r>
      <w:r w:rsidR="006E0DEE">
        <w:t xml:space="preserve">Endnote </w:t>
      </w:r>
      <w:r>
        <w:t>4 above indicates that subsection (3) of that section contains a future self</w:t>
      </w:r>
      <w:r w:rsidR="006A0B21">
        <w:t>-</w:t>
      </w:r>
      <w:r>
        <w:t>repeal</w:t>
      </w:r>
      <w:r w:rsidR="00473AFE">
        <w:t xml:space="preserve"> for the section as follows</w:t>
      </w:r>
      <w:r>
        <w:t>:</w:t>
      </w:r>
    </w:p>
    <w:p w14:paraId="06FF85CC" w14:textId="4EA47C05" w:rsidR="0000182F" w:rsidRDefault="005332BA" w:rsidP="005332BA">
      <w:pPr>
        <w:pStyle w:val="subsection"/>
      </w:pPr>
      <w:r>
        <w:tab/>
      </w:r>
      <w:r w:rsidR="0000182F">
        <w:t>(3)</w:t>
      </w:r>
      <w:r w:rsidR="0000182F">
        <w:tab/>
        <w:t>This section is repealed at the end of 1 December 2040</w:t>
      </w:r>
      <w:r w:rsidR="00473AFE">
        <w:t>.</w:t>
      </w:r>
    </w:p>
    <w:p w14:paraId="4D3636C7" w14:textId="77777777" w:rsidR="00134A72" w:rsidRPr="00FD274F" w:rsidRDefault="00134A72" w:rsidP="00134A72">
      <w:pPr>
        <w:pStyle w:val="BodyNum"/>
      </w:pPr>
      <w:bookmarkStart w:id="137" w:name="_Ref110331473"/>
      <w:bookmarkStart w:id="138" w:name="Chapter6"/>
      <w:bookmarkEnd w:id="135"/>
      <w:bookmarkEnd w:id="136"/>
      <w:r w:rsidRPr="00FD274F">
        <w:t>Special care is needed if an amendment does not accurately describe the amendments to be made, and it may be necessary or desirable to get legal advice on whether and how to apply the amendment. For example, it may be that an amendment:</w:t>
      </w:r>
      <w:bookmarkEnd w:id="137"/>
    </w:p>
    <w:p w14:paraId="33E06003" w14:textId="77777777" w:rsidR="00134A72" w:rsidRPr="00FD274F" w:rsidRDefault="00134A72" w:rsidP="00134A72">
      <w:pPr>
        <w:pStyle w:val="BodyPara"/>
      </w:pPr>
      <w:r w:rsidRPr="00FD274F">
        <w:t>cites an incorrect provision (e.g. subsection 296T(1) instead of 269T(1)); or</w:t>
      </w:r>
    </w:p>
    <w:p w14:paraId="41D02643" w14:textId="77777777" w:rsidR="00134A72" w:rsidRPr="00FD274F" w:rsidRDefault="00134A72" w:rsidP="00134A72">
      <w:pPr>
        <w:pStyle w:val="BodyPara"/>
      </w:pPr>
      <w:r w:rsidRPr="00FD274F">
        <w:t>cites the text of a provision incorrectly (e.g. it may provide for the omission of text ending in “a child” when the existing provision uses the term “the child”); or</w:t>
      </w:r>
    </w:p>
    <w:p w14:paraId="6958A3A4" w14:textId="77777777" w:rsidR="00134A72" w:rsidRPr="00FD274F" w:rsidRDefault="00134A72" w:rsidP="00134A72">
      <w:pPr>
        <w:pStyle w:val="BodyPara"/>
      </w:pPr>
      <w:r w:rsidRPr="00FD274F">
        <w:t>repeals and substitutes a provision that has already been repealed by some other means (such as automatic repeal).</w:t>
      </w:r>
    </w:p>
    <w:p w14:paraId="088AB97A" w14:textId="3338855E" w:rsidR="00134A72" w:rsidRPr="002D6F11" w:rsidRDefault="00134A72" w:rsidP="00134A72">
      <w:pPr>
        <w:pStyle w:val="BodyNum"/>
        <w:keepLines/>
      </w:pPr>
      <w:bookmarkStart w:id="139" w:name="_Ref428882137"/>
      <w:r w:rsidRPr="002D6F11">
        <w:t xml:space="preserve">If the amendment cannot be incorporated as a result of the misdescription, the abbreviation “(md not incorp)” should be noted in the amendment history. Formal amendments </w:t>
      </w:r>
      <w:r>
        <w:t>may</w:t>
      </w:r>
      <w:r w:rsidRPr="002D6F11">
        <w:t xml:space="preserve"> then be required to resolve the misdescription.</w:t>
      </w:r>
      <w:r>
        <w:t xml:space="preserve"> P</w:t>
      </w:r>
      <w:r w:rsidRPr="006F383F">
        <w:rPr>
          <w:szCs w:val="24"/>
        </w:rPr>
        <w:t>lease contact OPC (</w:t>
      </w:r>
      <w:hyperlink r:id="rId325" w:history="1">
        <w:hyperlink r:id="rId326" w:history="1">
          <w:r w:rsidRPr="006F383F">
            <w:rPr>
              <w:rStyle w:val="Hyperlink"/>
              <w:rFonts w:eastAsiaTheme="minorHAnsi"/>
              <w:szCs w:val="24"/>
              <w:lang w:eastAsia="en-US"/>
            </w:rPr>
            <w:t>lodge@legislation.gov.au</w:t>
          </w:r>
        </w:hyperlink>
      </w:hyperlink>
      <w:r w:rsidRPr="006F383F">
        <w:rPr>
          <w:szCs w:val="24"/>
        </w:rPr>
        <w:t xml:space="preserve"> or (02) 6120 1350)</w:t>
      </w:r>
      <w:r>
        <w:rPr>
          <w:szCs w:val="24"/>
        </w:rPr>
        <w:t xml:space="preserve"> to discuss the options when dealing with misdescribed amendments</w:t>
      </w:r>
      <w:r>
        <w:t>.</w:t>
      </w:r>
    </w:p>
    <w:p w14:paraId="4CFA2A34" w14:textId="13C752DE" w:rsidR="00134A72" w:rsidRPr="002D6F11" w:rsidRDefault="00134A72" w:rsidP="00134A72">
      <w:pPr>
        <w:pStyle w:val="BodyNum"/>
        <w:keepLines/>
      </w:pPr>
      <w:r w:rsidRPr="002D6F11">
        <w:t>Se</w:t>
      </w:r>
      <w:r w:rsidRPr="004709B9">
        <w:t xml:space="preserve">ction 15V of the </w:t>
      </w:r>
      <w:hyperlink r:id="rId327" w:history="1">
        <w:r w:rsidRPr="004709B9">
          <w:rPr>
            <w:rStyle w:val="Hyperlink"/>
          </w:rPr>
          <w:t>LA</w:t>
        </w:r>
      </w:hyperlink>
      <w:r w:rsidRPr="002D6F11">
        <w:t xml:space="preserve"> authorises First Parliamentary Counsel to make editorial and presentational changes to a compiled law </w:t>
      </w:r>
      <w:r w:rsidR="002C146F">
        <w:t>when</w:t>
      </w:r>
      <w:r w:rsidR="002C146F" w:rsidRPr="002D6F11">
        <w:t xml:space="preserve"> </w:t>
      </w:r>
      <w:r w:rsidRPr="002D6F11">
        <w:t>preparing a compilation of the law for registration, including giving effect to misdescribed amendments as intended. The changes must not change the effect of the law. Approval for an editorial change can only be sought when OPC is preparing the compilation on behalf of an agency.</w:t>
      </w:r>
    </w:p>
    <w:p w14:paraId="3431DF2A" w14:textId="77777777" w:rsidR="00134A72" w:rsidRPr="002D6F11" w:rsidRDefault="00134A72" w:rsidP="00134A72">
      <w:pPr>
        <w:pStyle w:val="BodyNum"/>
        <w:keepLines/>
      </w:pPr>
      <w:r w:rsidRPr="002D6F11">
        <w:t>If OPC is preparing the compilation on behalf of an agency and an editorial change is required, OPC will contact the agency regarding the issue and seek approval for the cost of each editorial change. Depending on the complexity of the editorial change(s) required and any other issues identified in the quality assurance process, additional compilation preparation time may also be required.</w:t>
      </w:r>
    </w:p>
    <w:bookmarkEnd w:id="139"/>
    <w:p w14:paraId="784B12AA" w14:textId="77777777" w:rsidR="00134A72" w:rsidRPr="00FD274F" w:rsidRDefault="00134A72" w:rsidP="00134A72">
      <w:pPr>
        <w:pStyle w:val="BodyNum"/>
      </w:pPr>
      <w:r w:rsidRPr="00FD274F">
        <w:t>An additional Endnote 5, miscellaneous, is not mandatory but may be used if there are other matters that may be relevant to the compilation. For example, if the principal instrument applies, adopts or incorporates another document by reference, it may be appropriate to include a note about any changes in:</w:t>
      </w:r>
    </w:p>
    <w:p w14:paraId="7317FDBD" w14:textId="77777777" w:rsidR="00134A72" w:rsidRPr="00FD274F" w:rsidRDefault="00134A72" w:rsidP="00134A72">
      <w:pPr>
        <w:pStyle w:val="BodyPara"/>
      </w:pPr>
      <w:r w:rsidRPr="00FD274F">
        <w:t>the availability or location of the other document; or</w:t>
      </w:r>
    </w:p>
    <w:p w14:paraId="7A6E30C5" w14:textId="25BE2B59" w:rsidR="00134A72" w:rsidRPr="00FD274F" w:rsidRDefault="00134A72" w:rsidP="00134A72">
      <w:pPr>
        <w:pStyle w:val="BodyPara"/>
      </w:pPr>
      <w:r w:rsidRPr="00FD274F">
        <w:t xml:space="preserve">the content or currency of the document—for example, a new version may have been issued but the old version continues to apply to the principal instrument consistent with </w:t>
      </w:r>
      <w:r w:rsidRPr="004709B9">
        <w:t xml:space="preserve">section 14 of the </w:t>
      </w:r>
      <w:hyperlink r:id="rId328" w:history="1">
        <w:r w:rsidRPr="004709B9">
          <w:rPr>
            <w:rStyle w:val="Hyperlink"/>
          </w:rPr>
          <w:t>LA</w:t>
        </w:r>
      </w:hyperlink>
      <w:r w:rsidRPr="004709B9">
        <w:t>.</w:t>
      </w:r>
    </w:p>
    <w:p w14:paraId="7051F22B" w14:textId="6F6D2EB4" w:rsidR="00134A72" w:rsidRPr="00FD274F" w:rsidRDefault="00134A72" w:rsidP="00134A72">
      <w:pPr>
        <w:pStyle w:val="BodyNum"/>
        <w:rPr>
          <w:szCs w:val="24"/>
        </w:rPr>
      </w:pPr>
      <w:r w:rsidRPr="00FD274F">
        <w:rPr>
          <w:szCs w:val="22"/>
        </w:rPr>
        <w:t xml:space="preserve">For information and </w:t>
      </w:r>
      <w:r w:rsidRPr="00FD274F">
        <w:rPr>
          <w:szCs w:val="24"/>
        </w:rPr>
        <w:t>assistance on compilations, please contact OPC (</w:t>
      </w:r>
      <w:hyperlink r:id="rId329" w:history="1">
        <w:hyperlink r:id="rId330" w:history="1">
          <w:r w:rsidRPr="00FD274F">
            <w:rPr>
              <w:rStyle w:val="Hyperlink"/>
              <w:rFonts w:eastAsiaTheme="minorHAnsi"/>
              <w:szCs w:val="24"/>
              <w:lang w:eastAsia="en-US"/>
            </w:rPr>
            <w:t>lodge@legislation.gov.au</w:t>
          </w:r>
        </w:hyperlink>
      </w:hyperlink>
      <w:r w:rsidRPr="00FD274F">
        <w:rPr>
          <w:szCs w:val="24"/>
        </w:rPr>
        <w:t xml:space="preserve"> or (02) 6120 1350).</w:t>
      </w:r>
    </w:p>
    <w:p w14:paraId="12C45E86" w14:textId="77777777" w:rsidR="00134A72" w:rsidRPr="00FD274F" w:rsidRDefault="00134A72" w:rsidP="00134A72">
      <w:pPr>
        <w:pStyle w:val="Head3"/>
      </w:pPr>
      <w:bookmarkStart w:id="140" w:name="_Toc183694682"/>
      <w:r w:rsidRPr="00FD274F">
        <w:lastRenderedPageBreak/>
        <w:t>Scope to correct errors and make other changes</w:t>
      </w:r>
      <w:bookmarkEnd w:id="140"/>
    </w:p>
    <w:p w14:paraId="126AFABF" w14:textId="5F48F46D" w:rsidR="00134A72" w:rsidRPr="00FD274F" w:rsidRDefault="00134A72" w:rsidP="00134A72">
      <w:pPr>
        <w:pStyle w:val="BodyNum"/>
      </w:pPr>
      <w:bookmarkStart w:id="141" w:name="_Ref441240649"/>
      <w:r w:rsidRPr="00FD274F">
        <w:t xml:space="preserve">It is possible to make editorial changes and other changes to an instrument as part of preparing a compilation (for examples, </w:t>
      </w:r>
      <w:r w:rsidRPr="004709B9">
        <w:t xml:space="preserve">see sections 15V and 15X of the </w:t>
      </w:r>
      <w:hyperlink r:id="rId331" w:history="1">
        <w:r w:rsidRPr="004709B9">
          <w:rPr>
            <w:rStyle w:val="Hyperlink"/>
          </w:rPr>
          <w:t>LA</w:t>
        </w:r>
      </w:hyperlink>
      <w:r w:rsidRPr="004709B9">
        <w:t>).</w:t>
      </w:r>
      <w:r w:rsidRPr="00FD274F">
        <w:t xml:space="preserve"> However, t</w:t>
      </w:r>
      <w:bookmarkEnd w:id="141"/>
      <w:r w:rsidRPr="00FD274F">
        <w:t>his power:</w:t>
      </w:r>
    </w:p>
    <w:p w14:paraId="2D22307A" w14:textId="77777777" w:rsidR="00134A72" w:rsidRPr="00FD274F" w:rsidRDefault="00134A72" w:rsidP="00134A72">
      <w:pPr>
        <w:pStyle w:val="BodyPara"/>
      </w:pPr>
      <w:r w:rsidRPr="00FD274F">
        <w:t xml:space="preserve">can only be used by the First Parliamentary Counsel—there is no scope for </w:t>
      </w:r>
      <w:r>
        <w:t>agencies to make</w:t>
      </w:r>
      <w:r w:rsidRPr="00FD274F">
        <w:t xml:space="preserve"> editorial changes in an agency</w:t>
      </w:r>
      <w:r>
        <w:noBreakHyphen/>
      </w:r>
      <w:r w:rsidRPr="00FD274F">
        <w:t xml:space="preserve">prepared compilation of a legislative instrument or a notifiable instrument; </w:t>
      </w:r>
      <w:r>
        <w:t>and</w:t>
      </w:r>
    </w:p>
    <w:p w14:paraId="13AA8FEA" w14:textId="77777777" w:rsidR="00134A72" w:rsidRPr="00FD274F" w:rsidRDefault="00134A72" w:rsidP="00134A72">
      <w:pPr>
        <w:pStyle w:val="BodyPara"/>
      </w:pPr>
      <w:r w:rsidRPr="00FD274F">
        <w:t>cannot be used to change the effect of an instrument; and</w:t>
      </w:r>
    </w:p>
    <w:p w14:paraId="115FC473" w14:textId="77777777" w:rsidR="00134A72" w:rsidRPr="00FD274F" w:rsidRDefault="00134A72" w:rsidP="00134A72">
      <w:pPr>
        <w:pStyle w:val="BodyPara"/>
      </w:pPr>
      <w:r w:rsidRPr="00FD274F">
        <w:t xml:space="preserve">may not be appropriate if, for example, a law requires consultation with or approval from another jurisdiction such as </w:t>
      </w:r>
      <w:proofErr w:type="gramStart"/>
      <w:r w:rsidRPr="00FD274F">
        <w:t>New Zealand, or</w:t>
      </w:r>
      <w:proofErr w:type="gramEnd"/>
      <w:r w:rsidRPr="00FD274F">
        <w:t xml:space="preserve"> involves a referral of pow</w:t>
      </w:r>
      <w:r>
        <w:t>er from States and Territories.</w:t>
      </w:r>
    </w:p>
    <w:p w14:paraId="22002B59" w14:textId="5319518F" w:rsidR="00134A72" w:rsidRPr="00FD274F" w:rsidRDefault="00134A72" w:rsidP="00134A72">
      <w:pPr>
        <w:pStyle w:val="BodyNum"/>
        <w:rPr>
          <w:szCs w:val="24"/>
        </w:rPr>
      </w:pPr>
      <w:bookmarkStart w:id="142" w:name="_Ref441240651"/>
      <w:r w:rsidRPr="00FD274F">
        <w:t>If your a</w:t>
      </w:r>
      <w:r w:rsidRPr="00FD274F">
        <w:rPr>
          <w:szCs w:val="24"/>
        </w:rPr>
        <w:t>gency would like to nominate an instrument for editorial changes, please email OPC (</w:t>
      </w:r>
      <w:hyperlink r:id="rId332" w:history="1">
        <w:hyperlink r:id="rId333" w:history="1">
          <w:r w:rsidRPr="00FD274F">
            <w:rPr>
              <w:rStyle w:val="Hyperlink"/>
              <w:rFonts w:eastAsiaTheme="minorHAnsi"/>
              <w:szCs w:val="24"/>
              <w:lang w:eastAsia="en-US"/>
            </w:rPr>
            <w:t>lodge@legislation.gov.au</w:t>
          </w:r>
        </w:hyperlink>
      </w:hyperlink>
      <w:r w:rsidRPr="00C15392">
        <w:t>)</w:t>
      </w:r>
      <w:r w:rsidRPr="00FD274F">
        <w:rPr>
          <w:rStyle w:val="Hyperlink"/>
          <w:szCs w:val="24"/>
        </w:rPr>
        <w:t xml:space="preserve"> </w:t>
      </w:r>
      <w:r w:rsidRPr="00FD274F">
        <w:rPr>
          <w:szCs w:val="24"/>
        </w:rPr>
        <w:t>with more information about what changes are sought</w:t>
      </w:r>
      <w:r>
        <w:rPr>
          <w:szCs w:val="24"/>
        </w:rPr>
        <w:t xml:space="preserve"> and</w:t>
      </w:r>
      <w:r w:rsidRPr="00FD274F">
        <w:rPr>
          <w:szCs w:val="24"/>
        </w:rPr>
        <w:t xml:space="preserve"> why the changes are desirable</w:t>
      </w:r>
      <w:r>
        <w:rPr>
          <w:szCs w:val="24"/>
        </w:rPr>
        <w:t>.</w:t>
      </w:r>
      <w:r w:rsidRPr="00FD274F">
        <w:rPr>
          <w:szCs w:val="24"/>
        </w:rPr>
        <w:t xml:space="preserve"> Fees may apply for the preparation of associated compilations, if the First Parliamentary Counsel agrees that changes can and should be made.</w:t>
      </w:r>
      <w:bookmarkEnd w:id="142"/>
    </w:p>
    <w:p w14:paraId="7B8BB851" w14:textId="77777777" w:rsidR="00134A72" w:rsidRPr="00FD274F" w:rsidRDefault="00134A72" w:rsidP="00134A72">
      <w:pPr>
        <w:pStyle w:val="Head3"/>
      </w:pPr>
      <w:bookmarkStart w:id="143" w:name="_Toc183694683"/>
      <w:r w:rsidRPr="00FD274F">
        <w:t>How to lodge compilations for registration</w:t>
      </w:r>
      <w:bookmarkEnd w:id="143"/>
    </w:p>
    <w:p w14:paraId="3A2AE41A" w14:textId="0D5ABFBB" w:rsidR="00134A72" w:rsidRPr="00FD274F" w:rsidRDefault="00134A72" w:rsidP="00134A72">
      <w:pPr>
        <w:pStyle w:val="BodyNum"/>
        <w:rPr>
          <w:spacing w:val="-4"/>
        </w:rPr>
      </w:pPr>
      <w:r w:rsidRPr="00FD274F">
        <w:rPr>
          <w:spacing w:val="-4"/>
        </w:rPr>
        <w:t>The processes for, and fees associated with, lodging a compilation for registration are very similar to those for lodging a legislative instrument. For current guidance and help on these matters, see the</w:t>
      </w:r>
      <w:r>
        <w:rPr>
          <w:spacing w:val="-4"/>
        </w:rPr>
        <w:t xml:space="preserve"> home page of the</w:t>
      </w:r>
      <w:r w:rsidRPr="00FD274F">
        <w:rPr>
          <w:spacing w:val="-4"/>
        </w:rPr>
        <w:t xml:space="preserve"> </w:t>
      </w:r>
      <w:hyperlink r:id="rId334" w:history="1">
        <w:r w:rsidRPr="00FD274F">
          <w:rPr>
            <w:rStyle w:val="Hyperlink"/>
            <w:spacing w:val="-4"/>
          </w:rPr>
          <w:t>lodgement facility</w:t>
        </w:r>
      </w:hyperlink>
      <w:r w:rsidRPr="00FD274F">
        <w:rPr>
          <w:spacing w:val="-4"/>
        </w:rPr>
        <w:t xml:space="preserve"> or contact the </w:t>
      </w:r>
      <w:r w:rsidR="006B148A">
        <w:rPr>
          <w:spacing w:val="-4"/>
        </w:rPr>
        <w:t>Lodgement</w:t>
      </w:r>
      <w:r w:rsidRPr="00FD274F">
        <w:rPr>
          <w:spacing w:val="-4"/>
        </w:rPr>
        <w:t xml:space="preserve"> Help Desk on (02) 6120 1350.</w:t>
      </w:r>
    </w:p>
    <w:p w14:paraId="53577847" w14:textId="3C1CE15C" w:rsidR="0057232B" w:rsidRDefault="00134A72" w:rsidP="00D51C95">
      <w:pPr>
        <w:pStyle w:val="BodyNum"/>
        <w:sectPr w:rsidR="0057232B" w:rsidSect="003D7DCE">
          <w:headerReference w:type="default" r:id="rId335"/>
          <w:pgSz w:w="11907" w:h="16839" w:code="9"/>
          <w:pgMar w:top="1440" w:right="1440" w:bottom="1418" w:left="1440" w:header="720" w:footer="720" w:gutter="0"/>
          <w:pgNumType w:start="38"/>
          <w:cols w:sep="1" w:space="567"/>
          <w:docGrid w:linePitch="360"/>
        </w:sectPr>
      </w:pPr>
      <w:r w:rsidRPr="00FD274F">
        <w:t xml:space="preserve">Please note an agency’s responsibility for a </w:t>
      </w:r>
      <w:r w:rsidRPr="0057232B">
        <w:rPr>
          <w:spacing w:val="-4"/>
        </w:rPr>
        <w:t>compilation</w:t>
      </w:r>
      <w:r w:rsidRPr="00FD274F">
        <w:t xml:space="preserve"> does not end with its lodgement. If it emerges that a compilation is incomplete or inaccurate, it must be withdrawn as soon as practicable (</w:t>
      </w:r>
      <w:hyperlink r:id="rId336" w:history="1">
        <w:hyperlink r:id="rId337" w:history="1">
          <w:r w:rsidRPr="0057232B">
            <w:rPr>
              <w:rStyle w:val="Hyperlink"/>
              <w:spacing w:val="-6"/>
            </w:rPr>
            <w:t>Rule</w:t>
          </w:r>
        </w:hyperlink>
      </w:hyperlink>
      <w:r w:rsidRPr="004532FE">
        <w:t xml:space="preserve"> s 6(3)).</w:t>
      </w:r>
      <w:r w:rsidRPr="00FD274F">
        <w:t xml:space="preserve"> If that is no longer possible, then the error must be notified to OPC without d</w:t>
      </w:r>
      <w:r w:rsidRPr="004709B9">
        <w:t>elay (</w:t>
      </w:r>
      <w:hyperlink r:id="rId338" w:history="1">
        <w:r w:rsidRPr="004709B9">
          <w:rPr>
            <w:rStyle w:val="Hyperlink"/>
          </w:rPr>
          <w:t>LA</w:t>
        </w:r>
      </w:hyperlink>
      <w:r w:rsidRPr="004709B9">
        <w:t xml:space="preserve"> s 15L(1)(e)).</w:t>
      </w:r>
      <w:r w:rsidRPr="00FD274F">
        <w:t xml:space="preserve"> Further guidance on how to report events affecting the accuracy and completeness of the Register is provided </w:t>
      </w:r>
      <w:r w:rsidRPr="00FE07C4">
        <w:t xml:space="preserve">in </w:t>
      </w:r>
      <w:hyperlink w:anchor="Chapter6" w:history="1">
        <w:r w:rsidRPr="00FE07C4">
          <w:rPr>
            <w:rStyle w:val="Hyperlink"/>
          </w:rPr>
          <w:t>Chapter 6</w:t>
        </w:r>
      </w:hyperlink>
      <w:r w:rsidRPr="0057232B">
        <w:rPr>
          <w:spacing w:val="-4"/>
        </w:rPr>
        <w:t>.</w:t>
      </w:r>
      <w:bookmarkStart w:id="144" w:name="_Hlk175124791"/>
      <w:bookmarkEnd w:id="105"/>
      <w:bookmarkEnd w:id="138"/>
    </w:p>
    <w:p w14:paraId="27FD1D2B" w14:textId="269DD751" w:rsidR="00A83991" w:rsidRPr="00FD274F" w:rsidRDefault="00A83991" w:rsidP="00A83991">
      <w:pPr>
        <w:pStyle w:val="Head2"/>
        <w:keepNext w:val="0"/>
        <w:pageBreakBefore/>
      </w:pPr>
      <w:bookmarkStart w:id="145" w:name="_Toc183694684"/>
      <w:r w:rsidRPr="00FD274F">
        <w:lastRenderedPageBreak/>
        <w:t>Chapter 6—Keeping the Register up</w:t>
      </w:r>
      <w:r>
        <w:noBreakHyphen/>
      </w:r>
      <w:r w:rsidRPr="00FD274F">
        <w:t>to</w:t>
      </w:r>
      <w:r>
        <w:noBreakHyphen/>
      </w:r>
      <w:r w:rsidRPr="00FD274F">
        <w:t>date</w:t>
      </w:r>
      <w:bookmarkEnd w:id="145"/>
    </w:p>
    <w:p w14:paraId="3454C1BB" w14:textId="77777777" w:rsidR="00A83991" w:rsidRPr="00FD274F" w:rsidRDefault="00A83991" w:rsidP="00A83991">
      <w:pPr>
        <w:pStyle w:val="SundryBoxHeadBold"/>
      </w:pPr>
      <w:r>
        <w:t>Main points</w:t>
      </w:r>
    </w:p>
    <w:p w14:paraId="3298E4DF" w14:textId="77777777" w:rsidR="00A83991" w:rsidRPr="00FD274F" w:rsidRDefault="00A83991" w:rsidP="00A83991">
      <w:pPr>
        <w:pStyle w:val="SundryBoxBullet"/>
      </w:pPr>
      <w:r w:rsidRPr="00FD274F">
        <w:t>•</w:t>
      </w:r>
      <w:r w:rsidRPr="00FD274F">
        <w:tab/>
        <w:t>An agency’s responsibility for an instrument does not end when the instrument is lodged for registration.</w:t>
      </w:r>
    </w:p>
    <w:p w14:paraId="2E9112DC" w14:textId="77777777" w:rsidR="00A83991" w:rsidRPr="00FD274F" w:rsidRDefault="00A83991" w:rsidP="00A83991">
      <w:pPr>
        <w:pStyle w:val="SundryBoxBullet"/>
      </w:pPr>
      <w:r w:rsidRPr="00FD274F">
        <w:t>•</w:t>
      </w:r>
      <w:r w:rsidRPr="00FD274F">
        <w:tab/>
        <w:t xml:space="preserve">Agencies need to </w:t>
      </w:r>
      <w:proofErr w:type="gramStart"/>
      <w:r w:rsidRPr="00FD274F">
        <w:t>take action</w:t>
      </w:r>
      <w:proofErr w:type="gramEnd"/>
      <w:r w:rsidRPr="00FD274F">
        <w:t xml:space="preserve"> if a lodgement is found to contain errors or if an event affects the accuracy an</w:t>
      </w:r>
      <w:r>
        <w:t>d completeness of the Register.</w:t>
      </w:r>
    </w:p>
    <w:p w14:paraId="0E8D3F37" w14:textId="77777777" w:rsidR="00A83991" w:rsidRPr="00FD274F" w:rsidRDefault="00A83991" w:rsidP="00A83991">
      <w:pPr>
        <w:pStyle w:val="Head3"/>
      </w:pPr>
      <w:bookmarkStart w:id="146" w:name="_Toc183694685"/>
      <w:r>
        <w:t>General</w:t>
      </w:r>
      <w:bookmarkEnd w:id="146"/>
    </w:p>
    <w:p w14:paraId="5BBEEAC9" w14:textId="60A349C4" w:rsidR="00A83991" w:rsidRPr="00FD274F" w:rsidRDefault="00A83991" w:rsidP="00A83991">
      <w:pPr>
        <w:pStyle w:val="BodyNum"/>
      </w:pPr>
      <w:r w:rsidRPr="00FD274F">
        <w:t>The Register is an important resource for courts and other users</w:t>
      </w:r>
      <w:r w:rsidR="004076ED">
        <w:t>.</w:t>
      </w:r>
      <w:r w:rsidRPr="00FD274F">
        <w:t xml:space="preserve"> </w:t>
      </w:r>
      <w:r w:rsidR="004076ED">
        <w:t>Section</w:t>
      </w:r>
      <w:r w:rsidR="004076ED" w:rsidRPr="00927913">
        <w:t xml:space="preserve"> </w:t>
      </w:r>
      <w:r w:rsidRPr="00927913">
        <w:t xml:space="preserve">15B of the </w:t>
      </w:r>
      <w:hyperlink r:id="rId339" w:history="1">
        <w:r w:rsidRPr="00927913">
          <w:rPr>
            <w:rStyle w:val="Hyperlink"/>
          </w:rPr>
          <w:t>LA</w:t>
        </w:r>
      </w:hyperlink>
      <w:r w:rsidRPr="00FD274F">
        <w:t xml:space="preserve"> provides that it is “for all purposes, taken to be a complete and accurate record of all registered Acts, legislative instruments and notifiable instruments”.</w:t>
      </w:r>
    </w:p>
    <w:p w14:paraId="4641F7A3" w14:textId="432DCA8D" w:rsidR="00A83991" w:rsidRPr="00FD274F" w:rsidRDefault="00A83991" w:rsidP="00A83991">
      <w:pPr>
        <w:pStyle w:val="BodyNum"/>
      </w:pPr>
      <w:r w:rsidRPr="00FD274F">
        <w:t>Users of the Register are also subject to special legal protections. S</w:t>
      </w:r>
      <w:r w:rsidRPr="00927913">
        <w:t xml:space="preserve">ubsection 15D(3) of the </w:t>
      </w:r>
      <w:hyperlink r:id="rId340" w:history="1">
        <w:hyperlink r:id="rId341" w:history="1">
          <w:r w:rsidRPr="00927913">
            <w:rPr>
              <w:rStyle w:val="Hyperlink"/>
            </w:rPr>
            <w:t>LA</w:t>
          </w:r>
        </w:hyperlink>
        <w:r w:rsidRPr="00927913">
          <w:t xml:space="preserve"> </w:t>
        </w:r>
      </w:hyperlink>
      <w:r w:rsidRPr="00927913">
        <w:t>provi</w:t>
      </w:r>
      <w:r w:rsidRPr="00FD274F">
        <w:t xml:space="preserve">des that, if the Register is erroneous because of a mistake or omission and the Register is </w:t>
      </w:r>
      <w:r>
        <w:t>rectified</w:t>
      </w:r>
      <w:r w:rsidRPr="00FD274F">
        <w:t xml:space="preserve"> to correct the error, the </w:t>
      </w:r>
      <w:r>
        <w:t>rectification</w:t>
      </w:r>
      <w:r w:rsidRPr="00FD274F">
        <w:t xml:space="preserve"> does not:</w:t>
      </w:r>
    </w:p>
    <w:p w14:paraId="6BC60127" w14:textId="77777777" w:rsidR="00A83991" w:rsidRPr="00FD274F" w:rsidRDefault="00A83991" w:rsidP="00A83991">
      <w:pPr>
        <w:pStyle w:val="BodyPara"/>
      </w:pPr>
      <w:r>
        <w:t>affect any right or privilege that was acquired, or that accrued, because of reliance on the content of the Register before the rectification was made; or</w:t>
      </w:r>
    </w:p>
    <w:p w14:paraId="26272650" w14:textId="77777777" w:rsidR="00A83991" w:rsidRPr="00FD274F" w:rsidRDefault="00A83991" w:rsidP="00A83991">
      <w:pPr>
        <w:pStyle w:val="BodyPara"/>
      </w:pPr>
      <w:r w:rsidRPr="00FD274F">
        <w:t xml:space="preserve">impose or increase any obligation or liability incurred before the </w:t>
      </w:r>
      <w:r>
        <w:t>rectification</w:t>
      </w:r>
      <w:r w:rsidRPr="00FD274F">
        <w:t xml:space="preserve"> was made.</w:t>
      </w:r>
    </w:p>
    <w:p w14:paraId="46F58954" w14:textId="77777777" w:rsidR="00A83991" w:rsidRPr="00FD274F" w:rsidRDefault="00A83991" w:rsidP="00A83991">
      <w:pPr>
        <w:pStyle w:val="BodyNum"/>
      </w:pPr>
      <w:r w:rsidRPr="00FD274F">
        <w:t>In other words, there is a clear expectation that agencies and OPC will work together to keep the Register up</w:t>
      </w:r>
      <w:r>
        <w:noBreakHyphen/>
      </w:r>
      <w:r w:rsidRPr="00FD274F">
        <w:t>to</w:t>
      </w:r>
      <w:r>
        <w:noBreakHyphen/>
      </w:r>
      <w:r w:rsidRPr="00FD274F">
        <w:t>date.</w:t>
      </w:r>
    </w:p>
    <w:p w14:paraId="54A2332E" w14:textId="77777777" w:rsidR="00A83991" w:rsidRPr="00FD274F" w:rsidRDefault="00A83991" w:rsidP="00A83991">
      <w:pPr>
        <w:pStyle w:val="Head3"/>
      </w:pPr>
      <w:bookmarkStart w:id="147" w:name="_Toc183694686"/>
      <w:r w:rsidRPr="00FD274F">
        <w:t>Agencies must act on lodgements found to contain errors</w:t>
      </w:r>
      <w:bookmarkEnd w:id="147"/>
    </w:p>
    <w:p w14:paraId="6D92597A" w14:textId="4EC0671A" w:rsidR="00A83991" w:rsidRPr="00FD274F" w:rsidRDefault="00A83991" w:rsidP="00A83991">
      <w:pPr>
        <w:pStyle w:val="BodyNum"/>
      </w:pPr>
      <w:r w:rsidRPr="00FD274F">
        <w:t xml:space="preserve">Although OPC performs basic checks on every document that is registered, agencies are responsible for ensuring that the documents they lodge for registration are complete and accurate. Consequently, if it emerges that a lodgement is incomplete or inaccurate, the person who lodged it must withdraw it as soon as practicable (see </w:t>
      </w:r>
      <w:hyperlink r:id="rId342" w:history="1">
        <w:r w:rsidRPr="0049119D">
          <w:rPr>
            <w:rStyle w:val="Hyperlink"/>
            <w:spacing w:val="-6"/>
          </w:rPr>
          <w:t>Rule</w:t>
        </w:r>
      </w:hyperlink>
      <w:r w:rsidRPr="0049119D">
        <w:t xml:space="preserve"> s 6(3)). T</w:t>
      </w:r>
      <w:r w:rsidRPr="00FD274F">
        <w:t>his can be done:</w:t>
      </w:r>
    </w:p>
    <w:p w14:paraId="227FA17F" w14:textId="46402F28" w:rsidR="00A83991" w:rsidRPr="00FD274F" w:rsidRDefault="00A83991" w:rsidP="00A83991">
      <w:pPr>
        <w:pStyle w:val="BodyPara"/>
        <w:rPr>
          <w:szCs w:val="24"/>
        </w:rPr>
      </w:pPr>
      <w:r w:rsidRPr="00FD274F">
        <w:t>by using the online</w:t>
      </w:r>
      <w:r w:rsidRPr="00FD274F">
        <w:rPr>
          <w:szCs w:val="24"/>
        </w:rPr>
        <w:t xml:space="preserve"> lodgement facility at </w:t>
      </w:r>
      <w:hyperlink r:id="rId343" w:history="1">
        <w:r w:rsidRPr="0049119D">
          <w:rPr>
            <w:rStyle w:val="Hyperlink"/>
            <w:szCs w:val="24"/>
          </w:rPr>
          <w:t>https://lodge.legislation.gov.au</w:t>
        </w:r>
      </w:hyperlink>
      <w:r w:rsidRPr="0049119D">
        <w:rPr>
          <w:szCs w:val="24"/>
        </w:rPr>
        <w:t>;</w:t>
      </w:r>
      <w:r>
        <w:rPr>
          <w:szCs w:val="24"/>
        </w:rPr>
        <w:t xml:space="preserve"> or</w:t>
      </w:r>
    </w:p>
    <w:p w14:paraId="15634880" w14:textId="56C58815" w:rsidR="00A83991" w:rsidRPr="00FD274F" w:rsidRDefault="00A83991" w:rsidP="00A83991">
      <w:pPr>
        <w:pStyle w:val="BodyPara"/>
        <w:rPr>
          <w:szCs w:val="24"/>
        </w:rPr>
      </w:pPr>
      <w:r w:rsidRPr="00FD274F">
        <w:rPr>
          <w:szCs w:val="24"/>
        </w:rPr>
        <w:t xml:space="preserve">by emailing </w:t>
      </w:r>
      <w:hyperlink r:id="rId344" w:history="1">
        <w:hyperlink r:id="rId345" w:history="1">
          <w:r w:rsidRPr="00FD274F">
            <w:rPr>
              <w:rStyle w:val="Hyperlink"/>
              <w:rFonts w:eastAsiaTheme="minorHAnsi"/>
              <w:szCs w:val="24"/>
              <w:lang w:eastAsia="en-US"/>
            </w:rPr>
            <w:t>lodge@legislation.gov.au</w:t>
          </w:r>
        </w:hyperlink>
      </w:hyperlink>
      <w:r w:rsidRPr="00FD274F">
        <w:rPr>
          <w:szCs w:val="24"/>
        </w:rPr>
        <w:t>.</w:t>
      </w:r>
    </w:p>
    <w:p w14:paraId="1CE1154B" w14:textId="23DAB329" w:rsidR="00A83991" w:rsidRPr="00FD274F" w:rsidRDefault="00A83991" w:rsidP="00A83991">
      <w:pPr>
        <w:pStyle w:val="BodyNum"/>
        <w:rPr>
          <w:szCs w:val="24"/>
        </w:rPr>
      </w:pPr>
      <w:r w:rsidRPr="00FD274F">
        <w:t>It may be that it is not possible to withdraw a lodgement e.g. because it has already been registered. If so, this must be notified to OPC without delay in accordance with paragrap</w:t>
      </w:r>
      <w:r w:rsidRPr="00927913">
        <w:t xml:space="preserve">h 15L(1)(e) of the </w:t>
      </w:r>
      <w:hyperlink r:id="rId346" w:history="1">
        <w:r w:rsidRPr="00927913">
          <w:rPr>
            <w:rStyle w:val="Hyperlink"/>
          </w:rPr>
          <w:t>LA</w:t>
        </w:r>
      </w:hyperlink>
      <w:r w:rsidRPr="00927913">
        <w:t>. Th</w:t>
      </w:r>
      <w:r w:rsidRPr="00FD274F">
        <w:t>is does not require a log</w:t>
      </w:r>
      <w:r>
        <w:noBreakHyphen/>
      </w:r>
      <w:r w:rsidRPr="00FD274F">
        <w:t>on</w:t>
      </w:r>
      <w:r w:rsidRPr="00FD274F">
        <w:rPr>
          <w:szCs w:val="24"/>
        </w:rPr>
        <w:t xml:space="preserve"> and can be done by any member of the public by using the </w:t>
      </w:r>
      <w:hyperlink r:id="rId347" w:history="1">
        <w:r w:rsidRPr="0049119D">
          <w:rPr>
            <w:rStyle w:val="Hyperlink"/>
            <w:szCs w:val="24"/>
          </w:rPr>
          <w:t>Feedback form</w:t>
        </w:r>
      </w:hyperlink>
      <w:r w:rsidRPr="0049119D">
        <w:rPr>
          <w:szCs w:val="24"/>
        </w:rPr>
        <w:t xml:space="preserve"> o</w:t>
      </w:r>
      <w:r w:rsidRPr="00FD274F">
        <w:rPr>
          <w:szCs w:val="24"/>
        </w:rPr>
        <w:t xml:space="preserve">n the Register website or emailing </w:t>
      </w:r>
      <w:hyperlink r:id="rId348" w:history="1">
        <w:r w:rsidRPr="00FD274F">
          <w:rPr>
            <w:rStyle w:val="Hyperlink"/>
            <w:rFonts w:eastAsiaTheme="minorHAnsi"/>
            <w:szCs w:val="24"/>
            <w:lang w:eastAsia="en-US"/>
          </w:rPr>
          <w:t>lodge@legislation.gov.au</w:t>
        </w:r>
      </w:hyperlink>
      <w:r w:rsidRPr="00FD274F">
        <w:rPr>
          <w:rFonts w:eastAsiaTheme="minorHAnsi"/>
          <w:color w:val="1F497D"/>
          <w:szCs w:val="24"/>
          <w:lang w:eastAsia="en-US"/>
        </w:rPr>
        <w:t>.</w:t>
      </w:r>
    </w:p>
    <w:p w14:paraId="05F169A8" w14:textId="77777777" w:rsidR="00A83991" w:rsidRPr="00FD274F" w:rsidRDefault="00A83991" w:rsidP="00A83991">
      <w:pPr>
        <w:pStyle w:val="Head3"/>
      </w:pPr>
      <w:bookmarkStart w:id="148" w:name="_Toc183694687"/>
      <w:r w:rsidRPr="00FD274F">
        <w:lastRenderedPageBreak/>
        <w:t>Agencies must notify other events affecting the Register</w:t>
      </w:r>
      <w:bookmarkEnd w:id="148"/>
    </w:p>
    <w:p w14:paraId="196F0C1B" w14:textId="561D60B8" w:rsidR="00A83991" w:rsidRPr="00FD274F" w:rsidRDefault="00A83991" w:rsidP="00A83991">
      <w:pPr>
        <w:pStyle w:val="BodyNum"/>
      </w:pPr>
      <w:r w:rsidRPr="00FD274F">
        <w:t xml:space="preserve">As part of its registration services, OPC routinely monitors a range of ‘downstream’ processes that may affect the accuracy and completeness of registered laws. </w:t>
      </w:r>
      <w:r w:rsidR="00CC252C">
        <w:t>OPC will update the Register without notifications for the following events</w:t>
      </w:r>
      <w:r w:rsidRPr="00FD274F">
        <w:t>:</w:t>
      </w:r>
    </w:p>
    <w:p w14:paraId="54302983" w14:textId="77777777" w:rsidR="00A83991" w:rsidRPr="00FD274F" w:rsidRDefault="00A83991" w:rsidP="00A83991">
      <w:pPr>
        <w:pStyle w:val="BodyPara"/>
      </w:pPr>
      <w:r w:rsidRPr="00FD274F">
        <w:t xml:space="preserve">the occurrence of a specified day or </w:t>
      </w:r>
      <w:proofErr w:type="gramStart"/>
      <w:r w:rsidRPr="00FD274F">
        <w:t>time;</w:t>
      </w:r>
      <w:proofErr w:type="gramEnd"/>
    </w:p>
    <w:p w14:paraId="56B55CA5" w14:textId="19F9399A" w:rsidR="00A83991" w:rsidRPr="00FD274F" w:rsidRDefault="00A83991" w:rsidP="00A83991">
      <w:pPr>
        <w:pStyle w:val="BodyPara"/>
      </w:pPr>
      <w:r w:rsidRPr="00FD274F">
        <w:t>the commencement of, or changes in the commencement</w:t>
      </w:r>
      <w:r w:rsidR="00FF6E8A">
        <w:t xml:space="preserve"> of</w:t>
      </w:r>
      <w:r w:rsidRPr="00FD274F">
        <w:t>, a registered law where the commencement is linked to either:</w:t>
      </w:r>
    </w:p>
    <w:p w14:paraId="06B00434" w14:textId="77777777" w:rsidR="00A83991" w:rsidRPr="00FD274F" w:rsidRDefault="00A83991" w:rsidP="00A83991">
      <w:pPr>
        <w:pStyle w:val="BodySubPara"/>
      </w:pPr>
      <w:r w:rsidRPr="00FD274F">
        <w:t>the commencement of another registered law; or</w:t>
      </w:r>
    </w:p>
    <w:p w14:paraId="299E05B3" w14:textId="0EA4436B" w:rsidR="00A83991" w:rsidRPr="00927913" w:rsidRDefault="00A83991" w:rsidP="00A83991">
      <w:pPr>
        <w:pStyle w:val="BodySubPara"/>
      </w:pPr>
      <w:r w:rsidRPr="00FD274F">
        <w:t xml:space="preserve">a commencement instrument that has been lodged for registration </w:t>
      </w:r>
      <w:r w:rsidRPr="00927913">
        <w:t>(</w:t>
      </w:r>
      <w:hyperlink r:id="rId349" w:history="1">
        <w:r w:rsidRPr="00927913">
          <w:rPr>
            <w:rStyle w:val="Hyperlink"/>
          </w:rPr>
          <w:t>LA</w:t>
        </w:r>
      </w:hyperlink>
      <w:r w:rsidRPr="00927913">
        <w:t xml:space="preserve"> s 15L(2)(a)</w:t>
      </w:r>
      <w:proofErr w:type="gramStart"/>
      <w:r w:rsidRPr="00927913">
        <w:t>);</w:t>
      </w:r>
      <w:proofErr w:type="gramEnd"/>
    </w:p>
    <w:p w14:paraId="2E4D7075" w14:textId="3C40B3A4" w:rsidR="00A83991" w:rsidRDefault="00A83991" w:rsidP="00A83991">
      <w:pPr>
        <w:pStyle w:val="BodyPara"/>
      </w:pPr>
      <w:r w:rsidRPr="00FD274F">
        <w:t>required compilation events as described i</w:t>
      </w:r>
      <w:r w:rsidRPr="002D74A6">
        <w:t xml:space="preserve">n paragraph </w:t>
      </w:r>
      <w:r w:rsidRPr="00927913">
        <w:fldChar w:fldCharType="begin"/>
      </w:r>
      <w:r w:rsidRPr="002D74A6">
        <w:instrText xml:space="preserve"> REF _Ref441240710 \r \h  \* MERGEFORMAT </w:instrText>
      </w:r>
      <w:r w:rsidRPr="00927913">
        <w:fldChar w:fldCharType="separate"/>
      </w:r>
      <w:r w:rsidR="00833171">
        <w:t>175</w:t>
      </w:r>
      <w:r w:rsidRPr="00927913">
        <w:fldChar w:fldCharType="end"/>
      </w:r>
      <w:r w:rsidRPr="00FD274F">
        <w:t xml:space="preserve"> (</w:t>
      </w:r>
      <w:hyperlink r:id="rId350" w:history="1">
        <w:r w:rsidRPr="00927913">
          <w:rPr>
            <w:rStyle w:val="Hyperlink"/>
          </w:rPr>
          <w:t>LA</w:t>
        </w:r>
      </w:hyperlink>
      <w:r w:rsidRPr="00927913">
        <w:t xml:space="preserve"> s 15L(2)(b));</w:t>
      </w:r>
    </w:p>
    <w:p w14:paraId="6BDFF678" w14:textId="53798740" w:rsidR="00A83991" w:rsidRPr="00FD274F" w:rsidRDefault="00A83991" w:rsidP="00A83991">
      <w:pPr>
        <w:pStyle w:val="BodyPara"/>
      </w:pPr>
      <w:r>
        <w:t>the disallowance of legislative instrumen</w:t>
      </w:r>
      <w:r w:rsidRPr="00927913">
        <w:t>ts (</w:t>
      </w:r>
      <w:hyperlink r:id="rId351" w:history="1">
        <w:r w:rsidRPr="00927913">
          <w:rPr>
            <w:rStyle w:val="Hyperlink"/>
          </w:rPr>
          <w:t>LA</w:t>
        </w:r>
      </w:hyperlink>
      <w:r w:rsidRPr="00927913">
        <w:t xml:space="preserve"> s 15L(2)(c)</w:t>
      </w:r>
      <w:proofErr w:type="gramStart"/>
      <w:r w:rsidRPr="00927913">
        <w:t>);</w:t>
      </w:r>
      <w:proofErr w:type="gramEnd"/>
    </w:p>
    <w:p w14:paraId="09FF3BC1" w14:textId="78469077" w:rsidR="00A83991" w:rsidRPr="00FD274F" w:rsidRDefault="00A83991" w:rsidP="00A83991">
      <w:pPr>
        <w:pStyle w:val="BodyPara"/>
      </w:pPr>
      <w:r w:rsidRPr="00FD274F">
        <w:t xml:space="preserve">the automatic repeal </w:t>
      </w:r>
      <w:r w:rsidRPr="00927913">
        <w:t>of a registered law that is solely commencing, amending or repealing under Part 3 of Chapter 3 of the LA (</w:t>
      </w:r>
      <w:hyperlink r:id="rId352" w:history="1">
        <w:r w:rsidRPr="00927913">
          <w:rPr>
            <w:rStyle w:val="Hyperlink"/>
          </w:rPr>
          <w:t>LA</w:t>
        </w:r>
      </w:hyperlink>
      <w:r w:rsidRPr="00927913">
        <w:t xml:space="preserve"> s 15L(2)(d)(</w:t>
      </w:r>
      <w:proofErr w:type="spellStart"/>
      <w:r w:rsidRPr="00927913">
        <w:t>i</w:t>
      </w:r>
      <w:proofErr w:type="spellEnd"/>
      <w:r w:rsidRPr="00927913">
        <w:t>));</w:t>
      </w:r>
    </w:p>
    <w:p w14:paraId="1FA40CCB" w14:textId="46212CDA" w:rsidR="00A83991" w:rsidRPr="00FD274F" w:rsidRDefault="00A83991" w:rsidP="00A83991">
      <w:pPr>
        <w:pStyle w:val="BodyPara"/>
      </w:pPr>
      <w:r w:rsidRPr="00FD274F">
        <w:t xml:space="preserve">the sunsetting of legislative instruments </w:t>
      </w:r>
      <w:r w:rsidRPr="00927913">
        <w:t>(</w:t>
      </w:r>
      <w:hyperlink r:id="rId353" w:history="1">
        <w:r w:rsidRPr="00927913">
          <w:rPr>
            <w:rStyle w:val="Hyperlink"/>
          </w:rPr>
          <w:t>LA</w:t>
        </w:r>
      </w:hyperlink>
      <w:r w:rsidRPr="00927913">
        <w:t xml:space="preserve"> s 15L(2)(d)(ii)</w:t>
      </w:r>
      <w:proofErr w:type="gramStart"/>
      <w:r w:rsidRPr="00927913">
        <w:t>)</w:t>
      </w:r>
      <w:r w:rsidRPr="00FD274F">
        <w:t>;</w:t>
      </w:r>
      <w:proofErr w:type="gramEnd"/>
    </w:p>
    <w:p w14:paraId="738B8BA1" w14:textId="01C27859" w:rsidR="00A83991" w:rsidRPr="00FD274F" w:rsidRDefault="00A83991" w:rsidP="00A83991">
      <w:pPr>
        <w:pStyle w:val="BodyPara"/>
      </w:pPr>
      <w:r w:rsidRPr="00FD274F">
        <w:t>any other event prescribed by the rules (</w:t>
      </w:r>
      <w:hyperlink r:id="rId354" w:history="1">
        <w:r w:rsidRPr="00927913">
          <w:rPr>
            <w:rStyle w:val="Hyperlink"/>
          </w:rPr>
          <w:t>LA</w:t>
        </w:r>
      </w:hyperlink>
      <w:r w:rsidRPr="00927913">
        <w:t xml:space="preserve"> s 15L(2)(e)).</w:t>
      </w:r>
    </w:p>
    <w:p w14:paraId="4B788F0E" w14:textId="1C8F96F2" w:rsidR="00A83991" w:rsidRPr="00FD274F" w:rsidRDefault="00A83991" w:rsidP="00A83991">
      <w:pPr>
        <w:pStyle w:val="BodyNum"/>
        <w:rPr>
          <w:szCs w:val="24"/>
        </w:rPr>
      </w:pPr>
      <w:r w:rsidRPr="00FD274F">
        <w:t xml:space="preserve">OPC is not, however, able to monitor all of the events that could affect instruments and other registered laws. OPC relies on agencies to monitor and notify </w:t>
      </w:r>
      <w:r>
        <w:t xml:space="preserve">OPC of </w:t>
      </w:r>
      <w:r w:rsidRPr="00FD274F">
        <w:t>other events that may affect registered laws in accordance with subsec</w:t>
      </w:r>
      <w:r w:rsidRPr="00927913">
        <w:t xml:space="preserve">tion 15L(1) of the </w:t>
      </w:r>
      <w:hyperlink r:id="rId355" w:history="1">
        <w:r w:rsidRPr="00927913">
          <w:rPr>
            <w:rStyle w:val="Hyperlink"/>
          </w:rPr>
          <w:t>LA</w:t>
        </w:r>
      </w:hyperlink>
      <w:r w:rsidRPr="00927913">
        <w:t>. A</w:t>
      </w:r>
      <w:r w:rsidRPr="00FD274F">
        <w:t>gencies are required to notify OPC of any othe</w:t>
      </w:r>
      <w:r>
        <w:t>r event that has the effect of:</w:t>
      </w:r>
    </w:p>
    <w:p w14:paraId="6B14F7C1" w14:textId="4B9E86A0" w:rsidR="00A83991" w:rsidRPr="00FD274F" w:rsidRDefault="00A83991" w:rsidP="00A83991">
      <w:pPr>
        <w:pStyle w:val="BodyPara"/>
      </w:pPr>
      <w:r w:rsidRPr="00FD274F">
        <w:t>commencing a registered la</w:t>
      </w:r>
      <w:r w:rsidRPr="00927913">
        <w:t>w (</w:t>
      </w:r>
      <w:hyperlink r:id="rId356" w:history="1">
        <w:r w:rsidRPr="00927913">
          <w:rPr>
            <w:rStyle w:val="Hyperlink"/>
          </w:rPr>
          <w:t>LA</w:t>
        </w:r>
      </w:hyperlink>
      <w:r w:rsidRPr="00927913">
        <w:t xml:space="preserve"> s 15L(1)(a)); or</w:t>
      </w:r>
    </w:p>
    <w:p w14:paraId="1E71A7FE" w14:textId="2735AEC4" w:rsidR="00A83991" w:rsidRPr="00610DF6" w:rsidRDefault="00A83991" w:rsidP="00A83991">
      <w:pPr>
        <w:pStyle w:val="BodyPara"/>
      </w:pPr>
      <w:r w:rsidRPr="00610DF6">
        <w:t xml:space="preserve">amending the text of a registered law as in force as a result of the automatic repeal provisions under </w:t>
      </w:r>
      <w:r w:rsidRPr="00927913">
        <w:t>section 48C or 48D</w:t>
      </w:r>
      <w:r>
        <w:t xml:space="preserve"> of the </w:t>
      </w:r>
      <w:hyperlink r:id="rId357" w:history="1">
        <w:r w:rsidRPr="00927913">
          <w:rPr>
            <w:rStyle w:val="Hyperlink"/>
          </w:rPr>
          <w:t>LA</w:t>
        </w:r>
      </w:hyperlink>
      <w:r w:rsidRPr="00927913">
        <w:t>,</w:t>
      </w:r>
      <w:r w:rsidRPr="00610DF6">
        <w:t xml:space="preserve"> or modifying the text of a registered law as in force (see also </w:t>
      </w:r>
      <w:r w:rsidRPr="00A37B0D">
        <w:t xml:space="preserve">paragraph </w:t>
      </w:r>
      <w:r w:rsidRPr="00927913">
        <w:fldChar w:fldCharType="begin"/>
      </w:r>
      <w:r w:rsidRPr="00A37B0D">
        <w:instrText xml:space="preserve"> REF _Ref444859371 \r \h  \* MERGEFORMAT </w:instrText>
      </w:r>
      <w:r w:rsidRPr="00927913">
        <w:fldChar w:fldCharType="separate"/>
      </w:r>
      <w:r w:rsidR="00833171">
        <w:t>177</w:t>
      </w:r>
      <w:r w:rsidRPr="00927913">
        <w:fldChar w:fldCharType="end"/>
      </w:r>
      <w:r>
        <w:t xml:space="preserve"> </w:t>
      </w:r>
      <w:r w:rsidRPr="00610DF6">
        <w:t xml:space="preserve">on </w:t>
      </w:r>
      <w:r w:rsidRPr="00927913">
        <w:t>discretionary compilation events) (</w:t>
      </w:r>
      <w:hyperlink r:id="rId358" w:history="1">
        <w:r w:rsidRPr="00927913">
          <w:rPr>
            <w:rStyle w:val="Hyperlink"/>
          </w:rPr>
          <w:t>LA</w:t>
        </w:r>
      </w:hyperlink>
      <w:r w:rsidRPr="00927913">
        <w:t xml:space="preserve"> s 15L(1)(b)); or</w:t>
      </w:r>
    </w:p>
    <w:p w14:paraId="09467EF0" w14:textId="69FE7558" w:rsidR="00A83991" w:rsidRPr="00FD274F" w:rsidRDefault="00A83991" w:rsidP="00A83991">
      <w:pPr>
        <w:pStyle w:val="BodyPara"/>
      </w:pPr>
      <w:r w:rsidRPr="00FD274F">
        <w:t>repealing a registered law</w:t>
      </w:r>
      <w:r>
        <w:t xml:space="preserve"> or a provision of a registered law</w:t>
      </w:r>
      <w:r w:rsidRPr="00FD274F">
        <w:t xml:space="preserve">, or otherwise causing a registered law </w:t>
      </w:r>
      <w:r>
        <w:t xml:space="preserve">or provision </w:t>
      </w:r>
      <w:r w:rsidRPr="00FD274F">
        <w:t>to cease to be in force (</w:t>
      </w:r>
      <w:hyperlink r:id="rId359" w:history="1">
        <w:r w:rsidRPr="00927913">
          <w:rPr>
            <w:rStyle w:val="Hyperlink"/>
          </w:rPr>
          <w:t>LA</w:t>
        </w:r>
      </w:hyperlink>
      <w:r w:rsidRPr="00927913">
        <w:rPr>
          <w:rStyle w:val="Hyperlink"/>
        </w:rPr>
        <w:t xml:space="preserve"> </w:t>
      </w:r>
      <w:r w:rsidRPr="00927913">
        <w:t>s 15L(1)(c));</w:t>
      </w:r>
      <w:r w:rsidRPr="00FD274F">
        <w:t xml:space="preserve"> or</w:t>
      </w:r>
    </w:p>
    <w:p w14:paraId="7080717C" w14:textId="0574C812" w:rsidR="00A83991" w:rsidRPr="00FD274F" w:rsidRDefault="00A83991" w:rsidP="00A83991">
      <w:pPr>
        <w:pStyle w:val="BodyPara"/>
      </w:pPr>
      <w:r w:rsidRPr="00FD274F">
        <w:t>rendering a registered law invalid or unenforceable (</w:t>
      </w:r>
      <w:hyperlink r:id="rId360" w:history="1">
        <w:r w:rsidRPr="00927913">
          <w:rPr>
            <w:rStyle w:val="Hyperlink"/>
          </w:rPr>
          <w:t>LA</w:t>
        </w:r>
      </w:hyperlink>
      <w:r w:rsidRPr="00927913">
        <w:rPr>
          <w:rStyle w:val="Hyperlink"/>
        </w:rPr>
        <w:t xml:space="preserve"> </w:t>
      </w:r>
      <w:r w:rsidRPr="00927913">
        <w:t>s 15L(1)(d)</w:t>
      </w:r>
      <w:r w:rsidRPr="00FD274F">
        <w:t>)</w:t>
      </w:r>
      <w:r>
        <w:t xml:space="preserve"> (e.g. as a result of a </w:t>
      </w:r>
      <w:r w:rsidR="00450617">
        <w:t>c</w:t>
      </w:r>
      <w:r>
        <w:t xml:space="preserve">ourt or </w:t>
      </w:r>
      <w:r w:rsidR="00450617">
        <w:t>t</w:t>
      </w:r>
      <w:r>
        <w:t>ribunal decision)</w:t>
      </w:r>
      <w:r w:rsidRPr="00FD274F">
        <w:t>.</w:t>
      </w:r>
    </w:p>
    <w:p w14:paraId="0A8E9A03" w14:textId="77777777" w:rsidR="00A83991" w:rsidRPr="00FD274F" w:rsidRDefault="00A83991" w:rsidP="00A83991">
      <w:pPr>
        <w:pStyle w:val="BodyNum"/>
        <w:rPr>
          <w:szCs w:val="24"/>
        </w:rPr>
      </w:pPr>
      <w:r w:rsidRPr="00FD274F">
        <w:rPr>
          <w:szCs w:val="24"/>
        </w:rPr>
        <w:t xml:space="preserve">Examples of events that agencies must notify </w:t>
      </w:r>
      <w:r>
        <w:rPr>
          <w:szCs w:val="24"/>
        </w:rPr>
        <w:t xml:space="preserve">OPC of </w:t>
      </w:r>
      <w:r w:rsidRPr="00FD274F">
        <w:rPr>
          <w:szCs w:val="24"/>
        </w:rPr>
        <w:t>are as follows:</w:t>
      </w:r>
    </w:p>
    <w:p w14:paraId="1BB7113A" w14:textId="77777777" w:rsidR="00A83991" w:rsidRPr="00FD274F" w:rsidRDefault="00A83991" w:rsidP="00A83991">
      <w:pPr>
        <w:pStyle w:val="BodyPara"/>
      </w:pPr>
      <w:r w:rsidRPr="00FD274F">
        <w:t xml:space="preserve">the commencement of State </w:t>
      </w:r>
      <w:r>
        <w:t xml:space="preserve">or Territory </w:t>
      </w:r>
      <w:r w:rsidRPr="00FD274F">
        <w:t>law</w:t>
      </w:r>
      <w:r>
        <w:t>s</w:t>
      </w:r>
      <w:r w:rsidRPr="00FD274F">
        <w:t xml:space="preserve"> or of an international treaty, where this triggers the commencement of a registered </w:t>
      </w:r>
      <w:proofErr w:type="gramStart"/>
      <w:r w:rsidRPr="00FD274F">
        <w:t>law;</w:t>
      </w:r>
      <w:proofErr w:type="gramEnd"/>
    </w:p>
    <w:p w14:paraId="591C9105" w14:textId="09239826" w:rsidR="00A83991" w:rsidRPr="00FD274F" w:rsidRDefault="00A83991" w:rsidP="00A83991">
      <w:pPr>
        <w:pStyle w:val="BodyPara"/>
      </w:pPr>
      <w:r w:rsidRPr="00FD274F">
        <w:lastRenderedPageBreak/>
        <w:t xml:space="preserve">the implied amendment of a registered law </w:t>
      </w:r>
      <w:r w:rsidR="00C71203">
        <w:t>(</w:t>
      </w:r>
      <w:r w:rsidRPr="00FD274F">
        <w:t>for example, by an amendment that is broadly framed and that does not specify each law that is amended</w:t>
      </w:r>
      <w:proofErr w:type="gramStart"/>
      <w:r w:rsidR="0085013C">
        <w:t>)</w:t>
      </w:r>
      <w:r w:rsidRPr="00FD274F">
        <w:t>;</w:t>
      </w:r>
      <w:proofErr w:type="gramEnd"/>
    </w:p>
    <w:p w14:paraId="37F45A70" w14:textId="35909D0E" w:rsidR="00A83991" w:rsidRPr="00FD274F" w:rsidRDefault="00A83991" w:rsidP="00A83991">
      <w:pPr>
        <w:pStyle w:val="BodyPara"/>
      </w:pPr>
      <w:r w:rsidRPr="00FD274F">
        <w:t xml:space="preserve">the implied repeal of a law </w:t>
      </w:r>
      <w:r w:rsidR="0085013C">
        <w:t>(</w:t>
      </w:r>
      <w:r w:rsidRPr="00FD274F">
        <w:t>for example, by the repeal of an instrument’s enabling legislation or provision</w:t>
      </w:r>
      <w:proofErr w:type="gramStart"/>
      <w:r w:rsidR="0085013C">
        <w:t>)</w:t>
      </w:r>
      <w:r w:rsidRPr="00FD274F">
        <w:t>;</w:t>
      </w:r>
      <w:proofErr w:type="gramEnd"/>
    </w:p>
    <w:p w14:paraId="343E4A90" w14:textId="77777777" w:rsidR="00A83991" w:rsidRPr="00FD274F" w:rsidRDefault="00A83991" w:rsidP="00A83991">
      <w:pPr>
        <w:pStyle w:val="BodyPara"/>
      </w:pPr>
      <w:r w:rsidRPr="00FD274F">
        <w:t>the preservation of an instrument by a saving, application or transitional provision despite the repeal of its enabling legislation or provision.</w:t>
      </w:r>
    </w:p>
    <w:p w14:paraId="54BF41EA" w14:textId="4C4D0C83" w:rsidR="00A83991" w:rsidRPr="00FD274F" w:rsidRDefault="00A83991" w:rsidP="00A83991">
      <w:pPr>
        <w:pStyle w:val="BodyNum"/>
        <w:rPr>
          <w:szCs w:val="24"/>
        </w:rPr>
      </w:pPr>
      <w:r w:rsidRPr="00FD274F">
        <w:t>Agencies are asked to notify OPC of even</w:t>
      </w:r>
      <w:r w:rsidRPr="00FD274F">
        <w:rPr>
          <w:szCs w:val="24"/>
        </w:rPr>
        <w:t xml:space="preserve">ts by emailing </w:t>
      </w:r>
      <w:hyperlink r:id="rId361" w:history="1">
        <w:hyperlink r:id="rId362" w:history="1">
          <w:r w:rsidRPr="00FD274F">
            <w:rPr>
              <w:rStyle w:val="Hyperlink"/>
              <w:rFonts w:eastAsiaTheme="minorHAnsi"/>
              <w:szCs w:val="24"/>
              <w:lang w:eastAsia="en-US"/>
            </w:rPr>
            <w:t>lodge@legislation.gov.au</w:t>
          </w:r>
        </w:hyperlink>
      </w:hyperlink>
      <w:r w:rsidRPr="00FD274F">
        <w:rPr>
          <w:szCs w:val="24"/>
        </w:rPr>
        <w:t xml:space="preserve"> and to attach or provide links to documentary evidence of the relevant event, such as a court judgement or a written statement from an SES employee </w:t>
      </w:r>
      <w:r w:rsidRPr="0049119D">
        <w:rPr>
          <w:szCs w:val="24"/>
        </w:rPr>
        <w:t>(</w:t>
      </w:r>
      <w:hyperlink r:id="rId363" w:history="1">
        <w:hyperlink r:id="rId364" w:history="1">
          <w:r w:rsidRPr="0049119D">
            <w:rPr>
              <w:rStyle w:val="Hyperlink"/>
              <w:spacing w:val="-6"/>
            </w:rPr>
            <w:t>Rule</w:t>
          </w:r>
        </w:hyperlink>
      </w:hyperlink>
      <w:r w:rsidRPr="0049119D">
        <w:rPr>
          <w:szCs w:val="24"/>
        </w:rPr>
        <w:t xml:space="preserve"> s 13). T</w:t>
      </w:r>
      <w:r w:rsidRPr="00FD274F">
        <w:rPr>
          <w:szCs w:val="24"/>
        </w:rPr>
        <w:t>his evidence may be registered and</w:t>
      </w:r>
      <w:r w:rsidR="003F10D0">
        <w:rPr>
          <w:szCs w:val="24"/>
        </w:rPr>
        <w:t>,</w:t>
      </w:r>
      <w:r w:rsidRPr="00FD274F">
        <w:rPr>
          <w:szCs w:val="24"/>
        </w:rPr>
        <w:t xml:space="preserve"> as such, must not contain classified or sensitive information.</w:t>
      </w:r>
    </w:p>
    <w:p w14:paraId="48509269" w14:textId="77777777" w:rsidR="00A83991" w:rsidRPr="00FD274F" w:rsidRDefault="00A83991" w:rsidP="00A83991">
      <w:pPr>
        <w:pStyle w:val="Head3"/>
      </w:pPr>
      <w:bookmarkStart w:id="149" w:name="_Toc183694688"/>
      <w:r w:rsidRPr="00FD274F">
        <w:t>If an error is found in the Register</w:t>
      </w:r>
      <w:bookmarkEnd w:id="149"/>
    </w:p>
    <w:p w14:paraId="1344F198" w14:textId="321CACBD" w:rsidR="00950497" w:rsidRDefault="00950497" w:rsidP="00A83991">
      <w:pPr>
        <w:pStyle w:val="BodyNum"/>
        <w:rPr>
          <w:spacing w:val="-4"/>
        </w:rPr>
      </w:pPr>
      <w:bookmarkStart w:id="150" w:name="_Ref442361469"/>
      <w:r>
        <w:rPr>
          <w:spacing w:val="-4"/>
        </w:rPr>
        <w:t xml:space="preserve">Errors </w:t>
      </w:r>
      <w:r w:rsidR="00DB63DB">
        <w:rPr>
          <w:spacing w:val="-4"/>
        </w:rPr>
        <w:t xml:space="preserve">found in </w:t>
      </w:r>
      <w:r>
        <w:rPr>
          <w:spacing w:val="-4"/>
        </w:rPr>
        <w:t xml:space="preserve">the Register broadly fall into </w:t>
      </w:r>
      <w:r w:rsidR="00E86BB6">
        <w:rPr>
          <w:spacing w:val="-4"/>
        </w:rPr>
        <w:t xml:space="preserve">three </w:t>
      </w:r>
      <w:r>
        <w:rPr>
          <w:spacing w:val="-4"/>
        </w:rPr>
        <w:t xml:space="preserve">categories: </w:t>
      </w:r>
      <w:r w:rsidR="00335D9A">
        <w:rPr>
          <w:spacing w:val="-4"/>
        </w:rPr>
        <w:t>metadata, textual</w:t>
      </w:r>
      <w:r w:rsidR="00E86BB6">
        <w:rPr>
          <w:spacing w:val="-4"/>
        </w:rPr>
        <w:t xml:space="preserve"> and </w:t>
      </w:r>
      <w:r w:rsidR="00335D9A">
        <w:rPr>
          <w:spacing w:val="-4"/>
        </w:rPr>
        <w:t>presentational</w:t>
      </w:r>
      <w:r w:rsidR="0053212C">
        <w:rPr>
          <w:spacing w:val="-4"/>
        </w:rPr>
        <w:t>.</w:t>
      </w:r>
      <w:r w:rsidR="00123745">
        <w:rPr>
          <w:spacing w:val="-4"/>
        </w:rPr>
        <w:t xml:space="preserve"> Each of these categories of error require different approaches to resolve the issues </w:t>
      </w:r>
      <w:r w:rsidR="0094492C">
        <w:rPr>
          <w:spacing w:val="-4"/>
        </w:rPr>
        <w:t xml:space="preserve">as </w:t>
      </w:r>
      <w:r w:rsidR="00123745">
        <w:rPr>
          <w:spacing w:val="-4"/>
        </w:rPr>
        <w:t>laid out in the table below.</w:t>
      </w:r>
    </w:p>
    <w:p w14:paraId="2D050278" w14:textId="77777777" w:rsidR="00123745" w:rsidRPr="00123745" w:rsidRDefault="00123745" w:rsidP="001237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731"/>
        <w:gridCol w:w="2659"/>
        <w:gridCol w:w="2693"/>
        <w:gridCol w:w="1843"/>
      </w:tblGrid>
      <w:tr w:rsidR="00C85914" w:rsidRPr="00FD274F" w14:paraId="6B1E71B1" w14:textId="39BED72A" w:rsidTr="003C18DE">
        <w:trPr>
          <w:tblHeader/>
        </w:trPr>
        <w:tc>
          <w:tcPr>
            <w:tcW w:w="1731" w:type="dxa"/>
            <w:tcBorders>
              <w:top w:val="single" w:sz="12" w:space="0" w:color="auto"/>
              <w:bottom w:val="single" w:sz="12" w:space="0" w:color="auto"/>
            </w:tcBorders>
          </w:tcPr>
          <w:p w14:paraId="58CFFF17" w14:textId="7018AC0F" w:rsidR="00C85914" w:rsidRPr="00FD274F" w:rsidRDefault="00C85914" w:rsidP="00C85914">
            <w:pPr>
              <w:pStyle w:val="TableHeading"/>
            </w:pPr>
            <w:r>
              <w:t>Category of error</w:t>
            </w:r>
          </w:p>
        </w:tc>
        <w:tc>
          <w:tcPr>
            <w:tcW w:w="2659" w:type="dxa"/>
            <w:tcBorders>
              <w:top w:val="single" w:sz="12" w:space="0" w:color="auto"/>
              <w:bottom w:val="single" w:sz="12" w:space="0" w:color="auto"/>
            </w:tcBorders>
            <w:shd w:val="clear" w:color="auto" w:fill="auto"/>
          </w:tcPr>
          <w:p w14:paraId="3E7A0BAB" w14:textId="7C71C3F9" w:rsidR="00C85914" w:rsidRPr="00FD274F" w:rsidRDefault="0090098B" w:rsidP="00C85914">
            <w:pPr>
              <w:pStyle w:val="TableHeading"/>
            </w:pPr>
            <w:r>
              <w:t>Description</w:t>
            </w:r>
          </w:p>
        </w:tc>
        <w:tc>
          <w:tcPr>
            <w:tcW w:w="2693" w:type="dxa"/>
            <w:tcBorders>
              <w:top w:val="single" w:sz="12" w:space="0" w:color="auto"/>
              <w:bottom w:val="single" w:sz="12" w:space="0" w:color="auto"/>
            </w:tcBorders>
          </w:tcPr>
          <w:p w14:paraId="45EF4ED6" w14:textId="0B8CC900" w:rsidR="00C85914" w:rsidRDefault="00C85914" w:rsidP="00C85914">
            <w:pPr>
              <w:pStyle w:val="TableHeading"/>
            </w:pPr>
            <w:r>
              <w:t>Example</w:t>
            </w:r>
            <w:r w:rsidR="002D3ECC">
              <w:t>(s)</w:t>
            </w:r>
          </w:p>
        </w:tc>
        <w:tc>
          <w:tcPr>
            <w:tcW w:w="1843" w:type="dxa"/>
            <w:tcBorders>
              <w:top w:val="single" w:sz="12" w:space="0" w:color="auto"/>
              <w:bottom w:val="single" w:sz="12" w:space="0" w:color="auto"/>
            </w:tcBorders>
          </w:tcPr>
          <w:p w14:paraId="695140C5" w14:textId="53DE4D19" w:rsidR="00C85914" w:rsidRDefault="00C85914" w:rsidP="00C85914">
            <w:pPr>
              <w:pStyle w:val="TableHeading"/>
            </w:pPr>
            <w:r>
              <w:t>Action required</w:t>
            </w:r>
          </w:p>
        </w:tc>
      </w:tr>
      <w:tr w:rsidR="00C85914" w:rsidRPr="00FD274F" w14:paraId="3720449C" w14:textId="6D2EAF96" w:rsidTr="003C18DE">
        <w:tc>
          <w:tcPr>
            <w:tcW w:w="1731" w:type="dxa"/>
            <w:tcBorders>
              <w:top w:val="single" w:sz="12" w:space="0" w:color="auto"/>
            </w:tcBorders>
          </w:tcPr>
          <w:p w14:paraId="09FC7396" w14:textId="0BA3F6FF" w:rsidR="00C85914" w:rsidRPr="00FD274F" w:rsidRDefault="00C85914" w:rsidP="00C85914">
            <w:pPr>
              <w:pStyle w:val="Tabletext"/>
            </w:pPr>
            <w:r>
              <w:t>Metadata</w:t>
            </w:r>
          </w:p>
        </w:tc>
        <w:tc>
          <w:tcPr>
            <w:tcW w:w="2659" w:type="dxa"/>
            <w:tcBorders>
              <w:top w:val="single" w:sz="12" w:space="0" w:color="auto"/>
            </w:tcBorders>
            <w:shd w:val="clear" w:color="auto" w:fill="auto"/>
          </w:tcPr>
          <w:p w14:paraId="34EB04B4" w14:textId="27D8C6E5" w:rsidR="00C85914" w:rsidRPr="00FD274F" w:rsidRDefault="00A10CAF" w:rsidP="00C85914">
            <w:pPr>
              <w:pStyle w:val="Tabletext"/>
            </w:pPr>
            <w:r>
              <w:t xml:space="preserve">Information presented on the Register about </w:t>
            </w:r>
            <w:r w:rsidR="002D3ECC">
              <w:t>the content of legislation</w:t>
            </w:r>
          </w:p>
        </w:tc>
        <w:tc>
          <w:tcPr>
            <w:tcW w:w="2693" w:type="dxa"/>
            <w:tcBorders>
              <w:top w:val="single" w:sz="12" w:space="0" w:color="auto"/>
            </w:tcBorders>
          </w:tcPr>
          <w:p w14:paraId="6E96EE5D" w14:textId="4C5DE7DA" w:rsidR="00C85914" w:rsidRDefault="00CA302C" w:rsidP="00C85914">
            <w:pPr>
              <w:pStyle w:val="Tabletext"/>
            </w:pPr>
            <w:r>
              <w:t>Administering department listed incorrectly, status is appearing as no longer in force</w:t>
            </w:r>
            <w:r w:rsidR="003C18DE">
              <w:t xml:space="preserve"> prior to the repeal date</w:t>
            </w:r>
          </w:p>
        </w:tc>
        <w:tc>
          <w:tcPr>
            <w:tcW w:w="1843" w:type="dxa"/>
            <w:tcBorders>
              <w:top w:val="single" w:sz="12" w:space="0" w:color="auto"/>
            </w:tcBorders>
          </w:tcPr>
          <w:p w14:paraId="33130E85" w14:textId="54060F5A" w:rsidR="00C85914" w:rsidRDefault="0090098B" w:rsidP="00C85914">
            <w:pPr>
              <w:pStyle w:val="Tabletext"/>
            </w:pPr>
            <w:r>
              <w:t>Notify OPC*</w:t>
            </w:r>
            <w:r w:rsidR="00627737">
              <w:t xml:space="preserve"> to request that metadata be updated</w:t>
            </w:r>
          </w:p>
        </w:tc>
      </w:tr>
      <w:tr w:rsidR="00C85914" w:rsidRPr="00FD274F" w14:paraId="27A6C0CF" w14:textId="7D20D60F" w:rsidTr="003C18DE">
        <w:tc>
          <w:tcPr>
            <w:tcW w:w="1731" w:type="dxa"/>
            <w:tcBorders>
              <w:bottom w:val="single" w:sz="4" w:space="0" w:color="auto"/>
            </w:tcBorders>
          </w:tcPr>
          <w:p w14:paraId="6BF4D8A1" w14:textId="1C4E82A9" w:rsidR="00C85914" w:rsidRPr="00FD274F" w:rsidRDefault="00C85914" w:rsidP="00C85914">
            <w:pPr>
              <w:pStyle w:val="Tabletext"/>
            </w:pPr>
            <w:r>
              <w:t>Textual</w:t>
            </w:r>
          </w:p>
        </w:tc>
        <w:tc>
          <w:tcPr>
            <w:tcW w:w="2659" w:type="dxa"/>
            <w:tcBorders>
              <w:bottom w:val="single" w:sz="4" w:space="0" w:color="auto"/>
            </w:tcBorders>
            <w:shd w:val="clear" w:color="auto" w:fill="auto"/>
          </w:tcPr>
          <w:p w14:paraId="20CE60C3" w14:textId="77777777" w:rsidR="00C85914" w:rsidRDefault="00522819" w:rsidP="00C85914">
            <w:pPr>
              <w:pStyle w:val="Tabletext"/>
            </w:pPr>
            <w:r>
              <w:t>Text of the document in the Register is not the same as the text as made or assented to</w:t>
            </w:r>
          </w:p>
          <w:p w14:paraId="2B278F07" w14:textId="44A824AB" w:rsidR="00522819" w:rsidRPr="00FD274F" w:rsidRDefault="00522819" w:rsidP="00C85914">
            <w:pPr>
              <w:pStyle w:val="Tabletext"/>
            </w:pPr>
            <w:r>
              <w:t xml:space="preserve">Text of the document </w:t>
            </w:r>
            <w:r w:rsidR="003F4443">
              <w:t xml:space="preserve">in the Register </w:t>
            </w:r>
            <w:r>
              <w:t xml:space="preserve">is incorrect as a result of </w:t>
            </w:r>
            <w:r w:rsidR="003F4443">
              <w:t>the compilation process</w:t>
            </w:r>
          </w:p>
        </w:tc>
        <w:tc>
          <w:tcPr>
            <w:tcW w:w="2693" w:type="dxa"/>
            <w:tcBorders>
              <w:bottom w:val="single" w:sz="4" w:space="0" w:color="auto"/>
            </w:tcBorders>
          </w:tcPr>
          <w:p w14:paraId="47C36B9F" w14:textId="13C394D0" w:rsidR="00D23074" w:rsidRDefault="00D23074" w:rsidP="00C85914">
            <w:pPr>
              <w:pStyle w:val="Tabletext"/>
            </w:pPr>
            <w:r>
              <w:t xml:space="preserve">An earlier </w:t>
            </w:r>
            <w:r w:rsidR="003F4443">
              <w:t xml:space="preserve">electronic version </w:t>
            </w:r>
            <w:r>
              <w:t xml:space="preserve">rather than the final signed version </w:t>
            </w:r>
            <w:r w:rsidR="003F4443">
              <w:t>lodged for registration</w:t>
            </w:r>
            <w:r>
              <w:t xml:space="preserve">, </w:t>
            </w:r>
            <w:r w:rsidR="00CA302C">
              <w:t>a compilation where one of the amendments was not incorporated</w:t>
            </w:r>
          </w:p>
        </w:tc>
        <w:tc>
          <w:tcPr>
            <w:tcW w:w="1843" w:type="dxa"/>
            <w:tcBorders>
              <w:bottom w:val="single" w:sz="4" w:space="0" w:color="auto"/>
            </w:tcBorders>
          </w:tcPr>
          <w:p w14:paraId="6FC1042B" w14:textId="1B87C310" w:rsidR="00C85914" w:rsidRDefault="00BE7F6D" w:rsidP="00C85914">
            <w:pPr>
              <w:pStyle w:val="Tabletext"/>
            </w:pPr>
            <w:r>
              <w:t>Notify OPC*</w:t>
            </w:r>
            <w:r w:rsidR="00627737">
              <w:t xml:space="preserve"> to discuss rectifying the document</w:t>
            </w:r>
          </w:p>
        </w:tc>
      </w:tr>
      <w:tr w:rsidR="003C18DE" w:rsidRPr="00FD274F" w14:paraId="492E06C4" w14:textId="77777777" w:rsidTr="003C18DE">
        <w:tc>
          <w:tcPr>
            <w:tcW w:w="1731" w:type="dxa"/>
            <w:tcBorders>
              <w:bottom w:val="single" w:sz="12" w:space="0" w:color="auto"/>
            </w:tcBorders>
          </w:tcPr>
          <w:p w14:paraId="3F89DEE3" w14:textId="32519A88" w:rsidR="003C18DE" w:rsidRDefault="003C18DE" w:rsidP="003C18DE">
            <w:pPr>
              <w:pStyle w:val="Tabletext"/>
            </w:pPr>
            <w:r>
              <w:t>Presentational</w:t>
            </w:r>
          </w:p>
        </w:tc>
        <w:tc>
          <w:tcPr>
            <w:tcW w:w="2659" w:type="dxa"/>
            <w:tcBorders>
              <w:bottom w:val="single" w:sz="12" w:space="0" w:color="auto"/>
            </w:tcBorders>
            <w:shd w:val="clear" w:color="auto" w:fill="auto"/>
          </w:tcPr>
          <w:p w14:paraId="27387A91" w14:textId="6A555C7A" w:rsidR="003C18DE" w:rsidRDefault="003C18DE" w:rsidP="003C18DE">
            <w:pPr>
              <w:pStyle w:val="Tabletext"/>
            </w:pPr>
            <w:r>
              <w:t>An aspect of the document</w:t>
            </w:r>
            <w:r w:rsidR="00917C16">
              <w:t xml:space="preserve"> in the Register</w:t>
            </w:r>
            <w:r>
              <w:t xml:space="preserve"> relating to its form and not its substance is not properly presented</w:t>
            </w:r>
          </w:p>
        </w:tc>
        <w:tc>
          <w:tcPr>
            <w:tcW w:w="2693" w:type="dxa"/>
            <w:tcBorders>
              <w:bottom w:val="single" w:sz="12" w:space="0" w:color="auto"/>
            </w:tcBorders>
          </w:tcPr>
          <w:p w14:paraId="3CC2C6D2" w14:textId="1A5C9956" w:rsidR="003C18DE" w:rsidRDefault="003C18DE" w:rsidP="003C18DE">
            <w:pPr>
              <w:pStyle w:val="Tabletext"/>
            </w:pPr>
            <w:r>
              <w:t>Missing headers, additional blank pages</w:t>
            </w:r>
          </w:p>
        </w:tc>
        <w:tc>
          <w:tcPr>
            <w:tcW w:w="1843" w:type="dxa"/>
            <w:tcBorders>
              <w:bottom w:val="single" w:sz="12" w:space="0" w:color="auto"/>
            </w:tcBorders>
          </w:tcPr>
          <w:p w14:paraId="17523E55" w14:textId="701DC73D" w:rsidR="003C18DE" w:rsidRDefault="003C18DE" w:rsidP="003C18DE">
            <w:pPr>
              <w:pStyle w:val="Tabletext"/>
            </w:pPr>
            <w:r>
              <w:t>Notify OPC* to discuss replacing the document</w:t>
            </w:r>
          </w:p>
        </w:tc>
      </w:tr>
    </w:tbl>
    <w:p w14:paraId="1F9B6275" w14:textId="7E941D2E" w:rsidR="0090098B" w:rsidRPr="00123745" w:rsidRDefault="0090098B" w:rsidP="00123745">
      <w:pPr>
        <w:pStyle w:val="Tabletext"/>
      </w:pPr>
      <w:r>
        <w:t xml:space="preserve">*Please notify us by emailing </w:t>
      </w:r>
      <w:r w:rsidR="00061000">
        <w:t xml:space="preserve">the </w:t>
      </w:r>
      <w:r w:rsidR="00BE7F6D">
        <w:t xml:space="preserve">details to </w:t>
      </w:r>
      <w:hyperlink r:id="rId365" w:history="1">
        <w:hyperlink r:id="rId366" w:history="1">
          <w:r w:rsidR="00BE7F6D" w:rsidRPr="00FD274F">
            <w:rPr>
              <w:rStyle w:val="Hyperlink"/>
              <w:rFonts w:eastAsiaTheme="minorHAnsi"/>
              <w:szCs w:val="24"/>
              <w:lang w:eastAsia="en-US"/>
            </w:rPr>
            <w:t>lodge@legislation.gov.au</w:t>
          </w:r>
        </w:hyperlink>
      </w:hyperlink>
      <w:r>
        <w:t xml:space="preserve"> or calling </w:t>
      </w:r>
      <w:r w:rsidRPr="00FD274F">
        <w:t xml:space="preserve">the </w:t>
      </w:r>
      <w:r>
        <w:t>Lodgement</w:t>
      </w:r>
      <w:r w:rsidRPr="00FD274F">
        <w:t xml:space="preserve"> Help Desk on (02) 6120 1350</w:t>
      </w:r>
      <w:r w:rsidR="00061000">
        <w:t xml:space="preserve"> to discuss the issue</w:t>
      </w:r>
      <w:r w:rsidR="00BE7F6D">
        <w:t>.</w:t>
      </w:r>
    </w:p>
    <w:p w14:paraId="71F27093" w14:textId="42F7C16D" w:rsidR="00E86BB6" w:rsidRDefault="003C18DE" w:rsidP="00A83991">
      <w:pPr>
        <w:pStyle w:val="BodyNum"/>
        <w:rPr>
          <w:spacing w:val="-4"/>
        </w:rPr>
      </w:pPr>
      <w:r>
        <w:rPr>
          <w:spacing w:val="-4"/>
        </w:rPr>
        <w:t xml:space="preserve">Errors relating to the </w:t>
      </w:r>
      <w:r w:rsidR="00917C16">
        <w:rPr>
          <w:spacing w:val="-4"/>
        </w:rPr>
        <w:t>substance</w:t>
      </w:r>
      <w:r w:rsidR="000336F6">
        <w:rPr>
          <w:spacing w:val="-4"/>
        </w:rPr>
        <w:t xml:space="preserve">, content or underlying policy </w:t>
      </w:r>
      <w:r w:rsidR="00917C16">
        <w:rPr>
          <w:spacing w:val="-4"/>
        </w:rPr>
        <w:t xml:space="preserve">of legislation </w:t>
      </w:r>
      <w:r w:rsidR="00EA1216">
        <w:rPr>
          <w:spacing w:val="-4"/>
        </w:rPr>
        <w:t xml:space="preserve">sits outside OPC’s scope and </w:t>
      </w:r>
      <w:r w:rsidR="00917C16">
        <w:rPr>
          <w:spacing w:val="-4"/>
        </w:rPr>
        <w:t>should be addressed to the relevant administering department.</w:t>
      </w:r>
    </w:p>
    <w:p w14:paraId="560DAF45" w14:textId="13305EA2" w:rsidR="00A83991" w:rsidRPr="00FD274F" w:rsidRDefault="00A83991" w:rsidP="00A83991">
      <w:pPr>
        <w:pStyle w:val="BodyNum"/>
        <w:rPr>
          <w:spacing w:val="-4"/>
        </w:rPr>
      </w:pPr>
      <w:r w:rsidRPr="00FD274F">
        <w:rPr>
          <w:spacing w:val="-4"/>
        </w:rPr>
        <w:t>If an agency or another user of the Register notifies OPC of an error in the Register</w:t>
      </w:r>
      <w:r>
        <w:rPr>
          <w:spacing w:val="-4"/>
        </w:rPr>
        <w:t xml:space="preserve"> that arises because the text of the document in the Register is not the same as the text as made or assented to or the document was not compiled correctly</w:t>
      </w:r>
      <w:r w:rsidRPr="00FD274F">
        <w:rPr>
          <w:spacing w:val="-4"/>
        </w:rPr>
        <w:t xml:space="preserve">, the matter will be investigated consistent with the First Parliamentary Counsel’s obligation to </w:t>
      </w:r>
      <w:r>
        <w:rPr>
          <w:spacing w:val="-4"/>
        </w:rPr>
        <w:t xml:space="preserve">rectify </w:t>
      </w:r>
      <w:r w:rsidRPr="00FD274F">
        <w:rPr>
          <w:spacing w:val="-4"/>
        </w:rPr>
        <w:t>errors under s</w:t>
      </w:r>
      <w:r w:rsidRPr="005633BF">
        <w:rPr>
          <w:spacing w:val="-4"/>
        </w:rPr>
        <w:t xml:space="preserve">ubsection 15D(1) of the </w:t>
      </w:r>
      <w:hyperlink r:id="rId367" w:history="1">
        <w:r w:rsidRPr="005633BF">
          <w:rPr>
            <w:rStyle w:val="Hyperlink"/>
          </w:rPr>
          <w:t>LA</w:t>
        </w:r>
      </w:hyperlink>
      <w:r w:rsidRPr="005633BF">
        <w:rPr>
          <w:spacing w:val="-4"/>
        </w:rPr>
        <w:t>.</w:t>
      </w:r>
      <w:r w:rsidRPr="00FD274F">
        <w:rPr>
          <w:spacing w:val="-4"/>
        </w:rPr>
        <w:t xml:space="preserve"> A </w:t>
      </w:r>
      <w:r>
        <w:rPr>
          <w:spacing w:val="-4"/>
        </w:rPr>
        <w:t>rectification</w:t>
      </w:r>
      <w:r w:rsidRPr="00FD274F">
        <w:rPr>
          <w:spacing w:val="-4"/>
        </w:rPr>
        <w:t xml:space="preserve"> may be appropriate if, for example:</w:t>
      </w:r>
      <w:bookmarkEnd w:id="150"/>
    </w:p>
    <w:p w14:paraId="6609BDD6" w14:textId="77777777" w:rsidR="00A83991" w:rsidRPr="00FD274F" w:rsidRDefault="00A83991" w:rsidP="00A83991">
      <w:pPr>
        <w:pStyle w:val="BodyPara"/>
      </w:pPr>
      <w:r w:rsidRPr="00FD274F">
        <w:lastRenderedPageBreak/>
        <w:t>a symbol or mathematical formula is not displaying correctly in the authoris</w:t>
      </w:r>
      <w:r>
        <w:t>ed version of an instrument; or</w:t>
      </w:r>
    </w:p>
    <w:p w14:paraId="1EC4976E" w14:textId="77777777" w:rsidR="00A83991" w:rsidRPr="00FD274F" w:rsidRDefault="00A83991" w:rsidP="00A83991">
      <w:pPr>
        <w:pStyle w:val="BodyPara"/>
      </w:pPr>
      <w:r w:rsidRPr="00FD274F">
        <w:t>an amendment has not been incorporated into a compilation correctly or in a timely manner (for example, because commencement was tied to an event that</w:t>
      </w:r>
      <w:r>
        <w:t xml:space="preserve"> was not notified promptly); or</w:t>
      </w:r>
    </w:p>
    <w:p w14:paraId="76F224E2" w14:textId="77777777" w:rsidR="00A83991" w:rsidRPr="00FD274F" w:rsidRDefault="00A83991" w:rsidP="00A83991">
      <w:pPr>
        <w:pStyle w:val="BodyPara"/>
      </w:pPr>
      <w:r>
        <w:t>an electronic version of a disallowable legislative instrument registered on the Register does not accurately reflect the text of the original document as made by the rule</w:t>
      </w:r>
      <w:r>
        <w:noBreakHyphen/>
        <w:t>maker.</w:t>
      </w:r>
    </w:p>
    <w:p w14:paraId="427DEEB5" w14:textId="31EE59BD" w:rsidR="00A83991" w:rsidRPr="005633BF" w:rsidRDefault="00A83991" w:rsidP="00A83991">
      <w:pPr>
        <w:pStyle w:val="BodyNum"/>
      </w:pPr>
      <w:r w:rsidRPr="00FD274F">
        <w:t xml:space="preserve">If a </w:t>
      </w:r>
      <w:r>
        <w:t>rectification</w:t>
      </w:r>
      <w:r w:rsidRPr="00FD274F">
        <w:t xml:space="preserve"> </w:t>
      </w:r>
      <w:r w:rsidR="00906FA5">
        <w:t xml:space="preserve">or a replacement </w:t>
      </w:r>
      <w:r w:rsidRPr="00FD274F">
        <w:t xml:space="preserve">is made, both the </w:t>
      </w:r>
      <w:r>
        <w:t>rectified</w:t>
      </w:r>
      <w:r w:rsidR="00906FA5">
        <w:t xml:space="preserve"> or replaced version</w:t>
      </w:r>
      <w:r w:rsidRPr="00FD274F">
        <w:t xml:space="preserve"> and the original document remain on the Register to enable users to assess the legal effect of changes. The Register is also annotated to show that a </w:t>
      </w:r>
      <w:r w:rsidR="00906FA5">
        <w:t xml:space="preserve">replacement </w:t>
      </w:r>
      <w:r w:rsidRPr="00FD274F">
        <w:t xml:space="preserve">has been made and to outline </w:t>
      </w:r>
      <w:r w:rsidR="004412EE">
        <w:t xml:space="preserve">the </w:t>
      </w:r>
      <w:r>
        <w:t>rectification</w:t>
      </w:r>
      <w:r w:rsidRPr="00FD274F">
        <w:t xml:space="preserve"> </w:t>
      </w:r>
      <w:r w:rsidR="004412EE">
        <w:t xml:space="preserve">or replacement </w:t>
      </w:r>
      <w:r w:rsidRPr="00FD274F">
        <w:t xml:space="preserve">in general terms </w:t>
      </w:r>
      <w:r w:rsidRPr="005633BF">
        <w:t>(</w:t>
      </w:r>
      <w:hyperlink r:id="rId368" w:history="1">
        <w:r w:rsidRPr="005633BF">
          <w:rPr>
            <w:rStyle w:val="Hyperlink"/>
          </w:rPr>
          <w:t>LA</w:t>
        </w:r>
      </w:hyperlink>
      <w:r w:rsidRPr="005633BF">
        <w:rPr>
          <w:rStyle w:val="Hyperlink"/>
        </w:rPr>
        <w:t xml:space="preserve"> </w:t>
      </w:r>
      <w:r w:rsidRPr="005633BF">
        <w:t>s 15D(2)).</w:t>
      </w:r>
    </w:p>
    <w:p w14:paraId="743B724A" w14:textId="789432B9" w:rsidR="00A83991" w:rsidRPr="005D53B9" w:rsidRDefault="00A83991" w:rsidP="00A83991">
      <w:pPr>
        <w:pStyle w:val="BodyNum"/>
      </w:pPr>
      <w:r w:rsidRPr="00FD274F">
        <w:t xml:space="preserve">A </w:t>
      </w:r>
      <w:r>
        <w:t>rectification</w:t>
      </w:r>
      <w:r w:rsidRPr="00FD274F">
        <w:t xml:space="preserve"> may not be appropriate in every instance. For example, if the text of an instrument contains a typographic</w:t>
      </w:r>
      <w:r>
        <w:t>al</w:t>
      </w:r>
      <w:r w:rsidRPr="00FD274F">
        <w:t xml:space="preserve"> error but the text is consistent with the text made by the rule</w:t>
      </w:r>
      <w:r>
        <w:noBreakHyphen/>
      </w:r>
      <w:r w:rsidRPr="00FD274F">
        <w:t>maker, the error cannot be corrected under sectio</w:t>
      </w:r>
      <w:r w:rsidRPr="005633BF">
        <w:t xml:space="preserve">n 15D of the </w:t>
      </w:r>
      <w:hyperlink r:id="rId369" w:history="1">
        <w:r w:rsidRPr="005633BF">
          <w:rPr>
            <w:rStyle w:val="Hyperlink"/>
          </w:rPr>
          <w:t>LA</w:t>
        </w:r>
      </w:hyperlink>
      <w:r w:rsidRPr="005633BF">
        <w:t>.</w:t>
      </w:r>
      <w:r w:rsidRPr="00FD274F">
        <w:t xml:space="preserve"> However, in this example, it may be possible for OPC to prepare a compilation that incorporates an editorial change that fixes the error. For more information on OPC’s editorial powers, see </w:t>
      </w:r>
      <w:r w:rsidRPr="005D53B9">
        <w:t xml:space="preserve">paragraphs </w:t>
      </w:r>
      <w:r w:rsidRPr="005633BF">
        <w:fldChar w:fldCharType="begin"/>
      </w:r>
      <w:r w:rsidRPr="005D53B9">
        <w:instrText xml:space="preserve"> REF _Ref441240649 \r \h  \* MERGEFORMAT </w:instrText>
      </w:r>
      <w:r w:rsidRPr="005633BF">
        <w:fldChar w:fldCharType="separate"/>
      </w:r>
      <w:r w:rsidR="00833171">
        <w:t>210</w:t>
      </w:r>
      <w:r w:rsidRPr="005633BF">
        <w:fldChar w:fldCharType="end"/>
      </w:r>
      <w:r w:rsidRPr="005D53B9">
        <w:t xml:space="preserve"> and </w:t>
      </w:r>
      <w:r w:rsidRPr="005633BF">
        <w:fldChar w:fldCharType="begin"/>
      </w:r>
      <w:r w:rsidRPr="005D53B9">
        <w:instrText xml:space="preserve"> REF _Ref441240651 \r \h  \* MERGEFORMAT </w:instrText>
      </w:r>
      <w:r w:rsidRPr="005633BF">
        <w:fldChar w:fldCharType="separate"/>
      </w:r>
      <w:r w:rsidR="00833171">
        <w:t>211</w:t>
      </w:r>
      <w:r w:rsidRPr="005633BF">
        <w:fldChar w:fldCharType="end"/>
      </w:r>
      <w:r w:rsidRPr="005D53B9">
        <w:t>.</w:t>
      </w:r>
    </w:p>
    <w:p w14:paraId="279C673D" w14:textId="77777777" w:rsidR="00A83991" w:rsidRDefault="00A83991" w:rsidP="00A83991">
      <w:pPr>
        <w:pStyle w:val="Head3"/>
      </w:pPr>
      <w:bookmarkStart w:id="151" w:name="_Toc183694689"/>
      <w:r>
        <w:t>Rectification of disallowable legislative instruments</w:t>
      </w:r>
      <w:bookmarkEnd w:id="151"/>
    </w:p>
    <w:p w14:paraId="3631476F" w14:textId="2CD1BF82" w:rsidR="00A83991" w:rsidRDefault="00A83991" w:rsidP="00A83991">
      <w:pPr>
        <w:pStyle w:val="BodyNum"/>
      </w:pPr>
      <w:bookmarkStart w:id="152" w:name="_Ref2948989"/>
      <w:r>
        <w:t>If a disallowable legislative instrument is rectified after the original version was tabled</w:t>
      </w:r>
      <w:r w:rsidR="00780039">
        <w:t>,</w:t>
      </w:r>
      <w:r>
        <w:t xml:space="preserve"> then the rectified instrument must be re</w:t>
      </w:r>
      <w:r>
        <w:noBreakHyphen/>
        <w:t xml:space="preserve">tabled in each House of the Parliament within 6 sitting days after the rectification </w:t>
      </w:r>
      <w:r w:rsidRPr="00FD274F">
        <w:t>(</w:t>
      </w:r>
      <w:hyperlink r:id="rId370" w:history="1">
        <w:r w:rsidRPr="005633BF">
          <w:rPr>
            <w:rStyle w:val="Hyperlink"/>
          </w:rPr>
          <w:t>LA</w:t>
        </w:r>
      </w:hyperlink>
      <w:r w:rsidRPr="005633BF">
        <w:rPr>
          <w:rStyle w:val="Hyperlink"/>
        </w:rPr>
        <w:t xml:space="preserve"> </w:t>
      </w:r>
      <w:r w:rsidRPr="005633BF">
        <w:t>s 15DA(2)).</w:t>
      </w:r>
      <w:bookmarkEnd w:id="152"/>
    </w:p>
    <w:p w14:paraId="1B8E309D" w14:textId="05ACB2C0" w:rsidR="00A83991" w:rsidRDefault="00A83991" w:rsidP="00A83991">
      <w:pPr>
        <w:pStyle w:val="BodyNum"/>
      </w:pPr>
      <w:bookmarkStart w:id="153" w:name="_Ref2949471"/>
      <w:r>
        <w:t>If the disallowable legislative instrument has already been disallowed in full by a House of the Parliament</w:t>
      </w:r>
      <w:r w:rsidR="00780039">
        <w:t>,</w:t>
      </w:r>
      <w:r>
        <w:t xml:space="preserve"> then the re</w:t>
      </w:r>
      <w:r>
        <w:noBreakHyphen/>
        <w:t>tabled instrument is not subject to a new disallowance perio</w:t>
      </w:r>
      <w:r w:rsidRPr="005633BF">
        <w:t>d (</w:t>
      </w:r>
      <w:hyperlink r:id="rId371" w:history="1">
        <w:r w:rsidRPr="005633BF">
          <w:rPr>
            <w:rStyle w:val="Hyperlink"/>
          </w:rPr>
          <w:t>LA</w:t>
        </w:r>
      </w:hyperlink>
      <w:r w:rsidRPr="005633BF">
        <w:rPr>
          <w:rStyle w:val="Hyperlink"/>
        </w:rPr>
        <w:t xml:space="preserve"> </w:t>
      </w:r>
      <w:r w:rsidRPr="005633BF">
        <w:t>s 15DA(4)). I</w:t>
      </w:r>
      <w:r>
        <w:t>n all other cases, a rectified disallowable legislative instrument extends or starts a new disallowance peri</w:t>
      </w:r>
      <w:r w:rsidRPr="005633BF">
        <w:t>od (</w:t>
      </w:r>
      <w:hyperlink r:id="rId372" w:history="1">
        <w:r w:rsidRPr="005633BF">
          <w:rPr>
            <w:rStyle w:val="Hyperlink"/>
          </w:rPr>
          <w:t>LA</w:t>
        </w:r>
      </w:hyperlink>
      <w:r w:rsidRPr="005633BF">
        <w:rPr>
          <w:rStyle w:val="Hyperlink"/>
        </w:rPr>
        <w:t xml:space="preserve"> </w:t>
      </w:r>
      <w:r w:rsidRPr="005633BF">
        <w:t>s 15DA(3</w:t>
      </w:r>
      <w:r w:rsidRPr="00FD274F">
        <w:t>)</w:t>
      </w:r>
      <w:r>
        <w:t>).</w:t>
      </w:r>
      <w:bookmarkEnd w:id="153"/>
    </w:p>
    <w:p w14:paraId="38EBAEDC" w14:textId="77777777" w:rsidR="00A83991" w:rsidRDefault="00A83991" w:rsidP="00A83991">
      <w:pPr>
        <w:pStyle w:val="BodyNum"/>
      </w:pPr>
      <w:bookmarkStart w:id="154" w:name="_Ref2949476"/>
      <w:r>
        <w:t>The following table summarises the impact of rectification on parliamentary processes for disallowable legislative instruments.</w:t>
      </w:r>
      <w:bookmarkEnd w:id="154"/>
    </w:p>
    <w:p w14:paraId="449FEDC3" w14:textId="77777777" w:rsidR="00A83991" w:rsidRPr="00DF6481" w:rsidRDefault="00A83991" w:rsidP="00A83991"/>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13"/>
        <w:gridCol w:w="4513"/>
      </w:tblGrid>
      <w:tr w:rsidR="00A83991" w:rsidRPr="00FD274F" w14:paraId="44A6040D" w14:textId="77777777" w:rsidTr="008373F5">
        <w:trPr>
          <w:cantSplit/>
          <w:tblHeader/>
        </w:trPr>
        <w:tc>
          <w:tcPr>
            <w:tcW w:w="4513" w:type="dxa"/>
            <w:tcBorders>
              <w:top w:val="single" w:sz="12" w:space="0" w:color="auto"/>
              <w:bottom w:val="single" w:sz="12" w:space="0" w:color="auto"/>
            </w:tcBorders>
          </w:tcPr>
          <w:p w14:paraId="46712263" w14:textId="77777777" w:rsidR="00A83991" w:rsidRPr="00FD274F" w:rsidRDefault="00A83991" w:rsidP="00A83991">
            <w:pPr>
              <w:pStyle w:val="TableHeading"/>
            </w:pPr>
            <w:r w:rsidRPr="00526C3D">
              <w:t>Time of rectification</w:t>
            </w:r>
          </w:p>
        </w:tc>
        <w:tc>
          <w:tcPr>
            <w:tcW w:w="4513" w:type="dxa"/>
            <w:tcBorders>
              <w:top w:val="single" w:sz="12" w:space="0" w:color="auto"/>
              <w:bottom w:val="single" w:sz="12" w:space="0" w:color="auto"/>
            </w:tcBorders>
            <w:shd w:val="clear" w:color="auto" w:fill="auto"/>
          </w:tcPr>
          <w:p w14:paraId="7D4113EA" w14:textId="77777777" w:rsidR="00A83991" w:rsidRPr="00FD274F" w:rsidRDefault="00A83991" w:rsidP="00A83991">
            <w:pPr>
              <w:pStyle w:val="TableHeading"/>
            </w:pPr>
            <w:r>
              <w:t>Action</w:t>
            </w:r>
          </w:p>
        </w:tc>
      </w:tr>
      <w:tr w:rsidR="00A83991" w:rsidRPr="00FD274F" w14:paraId="6B372E95" w14:textId="77777777" w:rsidTr="008373F5">
        <w:trPr>
          <w:cantSplit/>
        </w:trPr>
        <w:tc>
          <w:tcPr>
            <w:tcW w:w="4513" w:type="dxa"/>
            <w:tcBorders>
              <w:top w:val="single" w:sz="12" w:space="0" w:color="auto"/>
            </w:tcBorders>
          </w:tcPr>
          <w:p w14:paraId="2FF62CEF" w14:textId="77777777" w:rsidR="00A83991" w:rsidRPr="00FD274F" w:rsidRDefault="00A83991" w:rsidP="00A83991">
            <w:pPr>
              <w:pStyle w:val="Tabletext"/>
            </w:pPr>
            <w:r>
              <w:t>The instrument is rectified before the original instrument has been tabled</w:t>
            </w:r>
          </w:p>
        </w:tc>
        <w:tc>
          <w:tcPr>
            <w:tcW w:w="4513" w:type="dxa"/>
            <w:tcBorders>
              <w:top w:val="single" w:sz="12" w:space="0" w:color="auto"/>
            </w:tcBorders>
            <w:shd w:val="clear" w:color="auto" w:fill="auto"/>
          </w:tcPr>
          <w:p w14:paraId="122687DF" w14:textId="77777777" w:rsidR="00A83991" w:rsidRPr="00FD274F" w:rsidRDefault="00A83991" w:rsidP="00A83991">
            <w:pPr>
              <w:pStyle w:val="Tabletext"/>
            </w:pPr>
            <w:r>
              <w:t xml:space="preserve">The rectified instrument is </w:t>
            </w:r>
            <w:proofErr w:type="gramStart"/>
            <w:r>
              <w:t>tabled</w:t>
            </w:r>
            <w:proofErr w:type="gramEnd"/>
            <w:r>
              <w:t xml:space="preserve"> and normal parliamentary processes occur</w:t>
            </w:r>
          </w:p>
        </w:tc>
      </w:tr>
      <w:tr w:rsidR="00A83991" w:rsidRPr="00FD274F" w14:paraId="74FCC091" w14:textId="77777777" w:rsidTr="008373F5">
        <w:trPr>
          <w:cantSplit/>
        </w:trPr>
        <w:tc>
          <w:tcPr>
            <w:tcW w:w="4513" w:type="dxa"/>
            <w:tcBorders>
              <w:bottom w:val="single" w:sz="4" w:space="0" w:color="auto"/>
            </w:tcBorders>
          </w:tcPr>
          <w:p w14:paraId="3F02E94A" w14:textId="77777777" w:rsidR="00A83991" w:rsidRPr="00FD274F" w:rsidRDefault="00A83991" w:rsidP="00A83991">
            <w:pPr>
              <w:pStyle w:val="Tabletext"/>
            </w:pPr>
            <w:r>
              <w:t>The instrument is rectified after the original instrument has been tabled and the disallowance period has begun but no motion to disallow is on foot</w:t>
            </w:r>
          </w:p>
        </w:tc>
        <w:tc>
          <w:tcPr>
            <w:tcW w:w="4513" w:type="dxa"/>
            <w:tcBorders>
              <w:bottom w:val="single" w:sz="4" w:space="0" w:color="auto"/>
            </w:tcBorders>
            <w:shd w:val="clear" w:color="auto" w:fill="auto"/>
          </w:tcPr>
          <w:p w14:paraId="6DBC89BB" w14:textId="77777777" w:rsidR="00A83991" w:rsidRPr="00FD274F" w:rsidRDefault="00A83991" w:rsidP="00A83991">
            <w:pPr>
              <w:pStyle w:val="Tabletext"/>
            </w:pPr>
            <w:r>
              <w:t>The rectified instrument is re</w:t>
            </w:r>
            <w:r>
              <w:noBreakHyphen/>
            </w:r>
            <w:proofErr w:type="gramStart"/>
            <w:r>
              <w:t>tabled</w:t>
            </w:r>
            <w:proofErr w:type="gramEnd"/>
            <w:r>
              <w:t xml:space="preserve"> and the disallowance period restarts (thereby extending) the disallowance period</w:t>
            </w:r>
          </w:p>
        </w:tc>
      </w:tr>
      <w:tr w:rsidR="00A83991" w:rsidRPr="00FD274F" w14:paraId="3B311259" w14:textId="77777777" w:rsidTr="008373F5">
        <w:trPr>
          <w:cantSplit/>
        </w:trPr>
        <w:tc>
          <w:tcPr>
            <w:tcW w:w="4513" w:type="dxa"/>
          </w:tcPr>
          <w:p w14:paraId="1F7481C6" w14:textId="77777777" w:rsidR="00A83991" w:rsidRDefault="00A83991" w:rsidP="00A83991">
            <w:pPr>
              <w:pStyle w:val="Tabletext"/>
            </w:pPr>
            <w:r>
              <w:t>The instrument is rectified after the original instrument has been tabled, the disallowance period has begun and notice of a motion to disallow is on foot</w:t>
            </w:r>
          </w:p>
        </w:tc>
        <w:tc>
          <w:tcPr>
            <w:tcW w:w="4513" w:type="dxa"/>
            <w:shd w:val="clear" w:color="auto" w:fill="auto"/>
          </w:tcPr>
          <w:p w14:paraId="53A34F96" w14:textId="77777777" w:rsidR="00A83991" w:rsidRDefault="00A83991" w:rsidP="00A83991">
            <w:pPr>
              <w:pStyle w:val="Tabletext"/>
            </w:pPr>
            <w:r>
              <w:t>The rectified instrument is re</w:t>
            </w:r>
            <w:r>
              <w:noBreakHyphen/>
            </w:r>
            <w:proofErr w:type="gramStart"/>
            <w:r>
              <w:t>tabled</w:t>
            </w:r>
            <w:proofErr w:type="gramEnd"/>
            <w:r>
              <w:t xml:space="preserve"> and the disallowance period restarts (thereby extending) the disallowance period. The notice of motion is taken to have been given on the sitting day after the rectified instrument is tabled</w:t>
            </w:r>
          </w:p>
        </w:tc>
      </w:tr>
      <w:tr w:rsidR="00A83991" w:rsidRPr="00FD274F" w14:paraId="37BDD611" w14:textId="77777777" w:rsidTr="008373F5">
        <w:trPr>
          <w:cantSplit/>
        </w:trPr>
        <w:tc>
          <w:tcPr>
            <w:tcW w:w="4513" w:type="dxa"/>
          </w:tcPr>
          <w:p w14:paraId="6499A68A" w14:textId="77777777" w:rsidR="00A83991" w:rsidRPr="00FD274F" w:rsidRDefault="00A83991" w:rsidP="00A83991">
            <w:pPr>
              <w:pStyle w:val="Tabletext"/>
            </w:pPr>
            <w:r>
              <w:lastRenderedPageBreak/>
              <w:t>The instrument is rectified after the original instrument has been tabled and the instrument has been disallowed in full</w:t>
            </w:r>
          </w:p>
        </w:tc>
        <w:tc>
          <w:tcPr>
            <w:tcW w:w="4513" w:type="dxa"/>
            <w:shd w:val="clear" w:color="auto" w:fill="auto"/>
          </w:tcPr>
          <w:p w14:paraId="7596DD89" w14:textId="77777777" w:rsidR="00A83991" w:rsidRPr="00FD274F" w:rsidRDefault="00A83991" w:rsidP="00A83991">
            <w:pPr>
              <w:pStyle w:val="Tabletext"/>
            </w:pPr>
            <w:r>
              <w:t>The rectified instrument is re</w:t>
            </w:r>
            <w:r>
              <w:noBreakHyphen/>
              <w:t>tabled but the disallowance period does not restart as the instrument has already been disallowed in full</w:t>
            </w:r>
          </w:p>
        </w:tc>
      </w:tr>
      <w:tr w:rsidR="00A83991" w:rsidRPr="00FD274F" w14:paraId="6FEB9024" w14:textId="77777777" w:rsidTr="008373F5">
        <w:trPr>
          <w:cantSplit/>
        </w:trPr>
        <w:tc>
          <w:tcPr>
            <w:tcW w:w="4513" w:type="dxa"/>
          </w:tcPr>
          <w:p w14:paraId="08CA296A" w14:textId="77777777" w:rsidR="00A83991" w:rsidRDefault="00A83991" w:rsidP="00A83991">
            <w:pPr>
              <w:pStyle w:val="Tabletext"/>
            </w:pPr>
            <w:r>
              <w:t>The instrument is rectified after the original instrument has been tabled, the disallowance period has begun and a motion to disallow the instrument in part has been passed</w:t>
            </w:r>
          </w:p>
        </w:tc>
        <w:tc>
          <w:tcPr>
            <w:tcW w:w="4513" w:type="dxa"/>
            <w:shd w:val="clear" w:color="auto" w:fill="auto"/>
          </w:tcPr>
          <w:p w14:paraId="4EA375D0" w14:textId="77777777" w:rsidR="00A83991" w:rsidRDefault="00A83991" w:rsidP="00A83991">
            <w:pPr>
              <w:pStyle w:val="Tabletext"/>
            </w:pPr>
            <w:r>
              <w:t>The rectified instrument is re</w:t>
            </w:r>
            <w:r>
              <w:noBreakHyphen/>
              <w:t>tabled and the disallowance period restarts for the provisions of the instrument that have not already been disallowed</w:t>
            </w:r>
          </w:p>
        </w:tc>
      </w:tr>
      <w:tr w:rsidR="00A83991" w:rsidRPr="00FD274F" w14:paraId="4E6D0DF9" w14:textId="77777777" w:rsidTr="008373F5">
        <w:trPr>
          <w:cantSplit/>
        </w:trPr>
        <w:tc>
          <w:tcPr>
            <w:tcW w:w="4513" w:type="dxa"/>
            <w:tcBorders>
              <w:bottom w:val="single" w:sz="12" w:space="0" w:color="auto"/>
            </w:tcBorders>
          </w:tcPr>
          <w:p w14:paraId="3B059E47" w14:textId="77777777" w:rsidR="00A83991" w:rsidRDefault="00A83991" w:rsidP="00A83991">
            <w:pPr>
              <w:pStyle w:val="Tabletext"/>
            </w:pPr>
            <w:r>
              <w:t>The instrument is rectified after the original instrument has been tabled, the original disallowance period has ended and for solely amending or repealing instruments or provisions, s</w:t>
            </w:r>
            <w:r w:rsidRPr="005633BF">
              <w:t>ection 48A or 48C of the LA has ope</w:t>
            </w:r>
            <w:r>
              <w:t>rated and automatically repealed the instrument or provisions of the instrument</w:t>
            </w:r>
          </w:p>
        </w:tc>
        <w:tc>
          <w:tcPr>
            <w:tcW w:w="4513" w:type="dxa"/>
            <w:tcBorders>
              <w:bottom w:val="single" w:sz="12" w:space="0" w:color="auto"/>
            </w:tcBorders>
            <w:shd w:val="clear" w:color="auto" w:fill="auto"/>
          </w:tcPr>
          <w:p w14:paraId="6195E488" w14:textId="77777777" w:rsidR="00A83991" w:rsidRDefault="00A83991" w:rsidP="00A83991">
            <w:pPr>
              <w:pStyle w:val="Tabletext"/>
            </w:pPr>
            <w:r>
              <w:t>The rectified instrument is re</w:t>
            </w:r>
            <w:r>
              <w:noBreakHyphen/>
              <w:t>tabled, the automatic repeal of the instrument or provisions of the instrument under s</w:t>
            </w:r>
            <w:r w:rsidRPr="005633BF">
              <w:t>ections 48A or 48C of the LA i</w:t>
            </w:r>
            <w:r>
              <w:t>s taken not to have occurred and a new disallowance period begins</w:t>
            </w:r>
          </w:p>
        </w:tc>
      </w:tr>
    </w:tbl>
    <w:p w14:paraId="48BDD7C2" w14:textId="77777777" w:rsidR="00A83991" w:rsidRPr="00FD274F" w:rsidRDefault="00A83991" w:rsidP="00A83991">
      <w:pPr>
        <w:pStyle w:val="Head3"/>
      </w:pPr>
      <w:bookmarkStart w:id="155" w:name="_Toc183694690"/>
      <w:r w:rsidRPr="00FD274F">
        <w:t>Scope for redaction or removal of registered documents</w:t>
      </w:r>
      <w:bookmarkEnd w:id="155"/>
    </w:p>
    <w:p w14:paraId="4374DF57" w14:textId="26191518" w:rsidR="008D21D5" w:rsidRPr="008D21D5" w:rsidRDefault="007A4898" w:rsidP="00B96441">
      <w:pPr>
        <w:pStyle w:val="BodyNum"/>
        <w:rPr>
          <w:rStyle w:val="Hyperlink"/>
          <w:color w:val="auto"/>
        </w:rPr>
      </w:pPr>
      <w:bookmarkStart w:id="156" w:name="_Ref435529190"/>
      <w:r>
        <w:t>There is limited scope for redaction</w:t>
      </w:r>
      <w:r w:rsidR="00EA154F">
        <w:t xml:space="preserve"> (blacking out)</w:t>
      </w:r>
      <w:r>
        <w:t xml:space="preserve"> of </w:t>
      </w:r>
      <w:r w:rsidR="00336CA3">
        <w:t>content on the Register.</w:t>
      </w:r>
      <w:r w:rsidR="001905DD">
        <w:t xml:space="preserve"> Section 6A of the </w:t>
      </w:r>
      <w:hyperlink r:id="rId373" w:history="1">
        <w:hyperlink r:id="rId374" w:history="1">
          <w:r w:rsidR="001905DD" w:rsidRPr="0049119D">
            <w:rPr>
              <w:rStyle w:val="Hyperlink"/>
              <w:spacing w:val="-6"/>
            </w:rPr>
            <w:t>Rule</w:t>
          </w:r>
        </w:hyperlink>
      </w:hyperlink>
      <w:r w:rsidR="001905DD" w:rsidRPr="009B5976">
        <w:rPr>
          <w:rStyle w:val="Hyperlink"/>
          <w:color w:val="auto"/>
          <w:spacing w:val="-6"/>
        </w:rPr>
        <w:t xml:space="preserve"> pro</w:t>
      </w:r>
      <w:r w:rsidR="00E002C7" w:rsidRPr="009B5976">
        <w:rPr>
          <w:rStyle w:val="Hyperlink"/>
          <w:color w:val="auto"/>
          <w:spacing w:val="-6"/>
        </w:rPr>
        <w:t xml:space="preserve">vides that First Parliamentary Counsel may redact personal information (within the meaning of the </w:t>
      </w:r>
      <w:hyperlink r:id="rId375" w:history="1">
        <w:r w:rsidR="006B2FE8" w:rsidRPr="002E3F8C">
          <w:rPr>
            <w:rStyle w:val="Hyperlink"/>
            <w:i/>
          </w:rPr>
          <w:t>Privacy Act 1988</w:t>
        </w:r>
      </w:hyperlink>
      <w:r w:rsidR="00E002C7" w:rsidRPr="006B2FE8">
        <w:rPr>
          <w:rStyle w:val="Hyperlink"/>
          <w:color w:val="auto"/>
          <w:spacing w:val="-6"/>
        </w:rPr>
        <w:t xml:space="preserve">) from </w:t>
      </w:r>
      <w:r w:rsidR="00B96441" w:rsidRPr="006B2FE8">
        <w:rPr>
          <w:rStyle w:val="Hyperlink"/>
          <w:color w:val="auto"/>
          <w:spacing w:val="-6"/>
        </w:rPr>
        <w:t xml:space="preserve">a </w:t>
      </w:r>
      <w:r w:rsidR="00E002C7" w:rsidRPr="006B2FE8">
        <w:rPr>
          <w:rStyle w:val="Hyperlink"/>
          <w:color w:val="auto"/>
          <w:spacing w:val="-6"/>
        </w:rPr>
        <w:t>document</w:t>
      </w:r>
      <w:r w:rsidR="00B96441" w:rsidRPr="006B2FE8">
        <w:rPr>
          <w:rStyle w:val="Hyperlink"/>
          <w:color w:val="auto"/>
          <w:spacing w:val="-6"/>
        </w:rPr>
        <w:t xml:space="preserve"> on the Register, other than a legislative or notifiable instrument.</w:t>
      </w:r>
    </w:p>
    <w:p w14:paraId="6EF0F4E6" w14:textId="499FE2C1" w:rsidR="009B5976" w:rsidRDefault="009B5976" w:rsidP="00B96441">
      <w:pPr>
        <w:pStyle w:val="BodyNum"/>
        <w:rPr>
          <w:rStyle w:val="Hyperlink"/>
          <w:color w:val="auto"/>
        </w:rPr>
      </w:pPr>
      <w:r>
        <w:rPr>
          <w:rStyle w:val="Hyperlink"/>
          <w:color w:val="auto"/>
        </w:rPr>
        <w:t xml:space="preserve">Neither the </w:t>
      </w:r>
      <w:hyperlink r:id="rId376" w:history="1">
        <w:r w:rsidRPr="005633BF">
          <w:rPr>
            <w:rStyle w:val="Hyperlink"/>
          </w:rPr>
          <w:t>LA</w:t>
        </w:r>
      </w:hyperlink>
      <w:r>
        <w:rPr>
          <w:rStyle w:val="Hyperlink"/>
        </w:rPr>
        <w:t xml:space="preserve"> </w:t>
      </w:r>
      <w:r>
        <w:rPr>
          <w:rStyle w:val="Hyperlink"/>
          <w:color w:val="auto"/>
        </w:rPr>
        <w:t xml:space="preserve">nor the </w:t>
      </w:r>
      <w:hyperlink r:id="rId377" w:history="1">
        <w:hyperlink r:id="rId378" w:history="1">
          <w:r w:rsidRPr="0049119D">
            <w:rPr>
              <w:rStyle w:val="Hyperlink"/>
              <w:spacing w:val="-6"/>
            </w:rPr>
            <w:t>Rule</w:t>
          </w:r>
        </w:hyperlink>
      </w:hyperlink>
      <w:r>
        <w:rPr>
          <w:rStyle w:val="Hyperlink"/>
          <w:color w:val="auto"/>
        </w:rPr>
        <w:t xml:space="preserve"> make provision for the removal of any document that is required to be registered, </w:t>
      </w:r>
      <w:r w:rsidR="00302E78">
        <w:rPr>
          <w:rStyle w:val="Hyperlink"/>
          <w:color w:val="auto"/>
        </w:rPr>
        <w:t>so it is important</w:t>
      </w:r>
      <w:r w:rsidR="00D16C95">
        <w:rPr>
          <w:rStyle w:val="Hyperlink"/>
          <w:color w:val="auto"/>
        </w:rPr>
        <w:t xml:space="preserve"> that</w:t>
      </w:r>
      <w:r w:rsidR="00BD2897">
        <w:rPr>
          <w:rStyle w:val="Hyperlink"/>
          <w:color w:val="auto"/>
        </w:rPr>
        <w:t xml:space="preserve"> any material lodged for registration is appropriate for </w:t>
      </w:r>
      <w:r w:rsidR="007E13AF">
        <w:rPr>
          <w:rStyle w:val="Hyperlink"/>
          <w:color w:val="auto"/>
        </w:rPr>
        <w:t>public access.</w:t>
      </w:r>
    </w:p>
    <w:p w14:paraId="5F136C62" w14:textId="363D821D" w:rsidR="00A83991" w:rsidRPr="00FD274F" w:rsidRDefault="00A83991" w:rsidP="00A83991">
      <w:pPr>
        <w:pStyle w:val="BodyNum"/>
      </w:pPr>
      <w:bookmarkStart w:id="157" w:name="_Ref184283856"/>
      <w:r w:rsidRPr="00FD274F">
        <w:t xml:space="preserve">If your agency has </w:t>
      </w:r>
      <w:r w:rsidR="00302E78">
        <w:t xml:space="preserve">any </w:t>
      </w:r>
      <w:r w:rsidRPr="00FD274F">
        <w:t>concerns about the content of a registered document, please contact OPC (</w:t>
      </w:r>
      <w:hyperlink r:id="rId379" w:history="1">
        <w:hyperlink r:id="rId380" w:history="1">
          <w:r w:rsidRPr="00FD274F">
            <w:rPr>
              <w:rStyle w:val="Hyperlink"/>
              <w:rFonts w:eastAsiaTheme="minorHAnsi"/>
              <w:szCs w:val="24"/>
              <w:lang w:eastAsia="en-US"/>
            </w:rPr>
            <w:t>lodge@legislation.gov.au</w:t>
          </w:r>
        </w:hyperlink>
      </w:hyperlink>
      <w:r w:rsidR="00D95E8D">
        <w:rPr>
          <w:rStyle w:val="Hyperlink"/>
          <w:rFonts w:eastAsiaTheme="minorHAnsi"/>
          <w:szCs w:val="24"/>
          <w:lang w:eastAsia="en-US"/>
        </w:rPr>
        <w:t xml:space="preserve"> </w:t>
      </w:r>
      <w:r w:rsidR="00D95E8D" w:rsidRPr="00FD274F">
        <w:rPr>
          <w:color w:val="000000"/>
          <w:spacing w:val="-2"/>
          <w:szCs w:val="24"/>
        </w:rPr>
        <w:t xml:space="preserve">or (02) </w:t>
      </w:r>
      <w:r w:rsidR="00D95E8D" w:rsidRPr="00FD274F">
        <w:rPr>
          <w:spacing w:val="-2"/>
          <w:szCs w:val="24"/>
        </w:rPr>
        <w:t>6120 1350</w:t>
      </w:r>
      <w:r>
        <w:rPr>
          <w:szCs w:val="24"/>
        </w:rPr>
        <w:t xml:space="preserve">) </w:t>
      </w:r>
      <w:r w:rsidRPr="00FD274F">
        <w:t>to discuss the issues and options. It may be possible, for example, to clarify the status of an instrument by adding information or documents such as a court judgement.</w:t>
      </w:r>
      <w:bookmarkEnd w:id="157"/>
    </w:p>
    <w:p w14:paraId="0731CCDD" w14:textId="77777777" w:rsidR="00A83991" w:rsidRPr="00FD274F" w:rsidRDefault="00A83991" w:rsidP="00A83991">
      <w:pPr>
        <w:pStyle w:val="Head3"/>
      </w:pPr>
      <w:bookmarkStart w:id="158" w:name="_Toc183694691"/>
      <w:bookmarkEnd w:id="156"/>
      <w:r w:rsidRPr="00FD274F">
        <w:t>Scope for republication of registered content</w:t>
      </w:r>
      <w:bookmarkEnd w:id="158"/>
    </w:p>
    <w:p w14:paraId="1C8CE4EC" w14:textId="12A043C6" w:rsidR="00A83991" w:rsidRPr="00FD274F" w:rsidRDefault="00A83991" w:rsidP="00A83991">
      <w:pPr>
        <w:pStyle w:val="BodyNum"/>
      </w:pPr>
      <w:bookmarkStart w:id="159" w:name="_Ref441250050"/>
      <w:bookmarkStart w:id="160" w:name="_Ref422933070"/>
      <w:bookmarkStart w:id="161" w:name="_Ref422907436"/>
      <w:r w:rsidRPr="00FD274F">
        <w:t>It is possible to make authorised versions of registered documents from the PDF files published on the Register (</w:t>
      </w:r>
      <w:hyperlink r:id="rId381" w:history="1">
        <w:hyperlink r:id="rId382" w:history="1">
          <w:r w:rsidRPr="0049119D">
            <w:rPr>
              <w:rStyle w:val="Hyperlink"/>
              <w:spacing w:val="-6"/>
            </w:rPr>
            <w:t>Rule</w:t>
          </w:r>
        </w:hyperlink>
      </w:hyperlink>
      <w:r w:rsidRPr="0049119D">
        <w:t xml:space="preserve"> s 14(1)). The</w:t>
      </w:r>
      <w:r w:rsidRPr="00FD274F">
        <w:t xml:space="preserve"> electronic version, and any print version that is made from it, must also contain a specific phrase, such as “Authorised version” as used from March 2016. For a complete list of specified phrases, see </w:t>
      </w:r>
      <w:r w:rsidRPr="0049119D">
        <w:t xml:space="preserve">subsection 14(2) of the </w:t>
      </w:r>
      <w:hyperlink r:id="rId383" w:history="1">
        <w:hyperlink r:id="rId384" w:history="1">
          <w:r w:rsidRPr="0049119D">
            <w:rPr>
              <w:rStyle w:val="Hyperlink"/>
              <w:spacing w:val="-6"/>
            </w:rPr>
            <w:t>Rule</w:t>
          </w:r>
        </w:hyperlink>
      </w:hyperlink>
      <w:r w:rsidRPr="0049119D">
        <w:t>.</w:t>
      </w:r>
      <w:bookmarkEnd w:id="159"/>
    </w:p>
    <w:p w14:paraId="6436F2C5" w14:textId="0C32B9E7" w:rsidR="00A83991" w:rsidRPr="00FD274F" w:rsidRDefault="00A83991" w:rsidP="00A83991">
      <w:pPr>
        <w:pStyle w:val="BodyNum"/>
      </w:pPr>
      <w:bookmarkStart w:id="162" w:name="_Ref474413213"/>
      <w:r w:rsidRPr="00FD274F">
        <w:t xml:space="preserve">Wholesale or commercial reproduction of registered content is subject to the </w:t>
      </w:r>
      <w:hyperlink r:id="rId385" w:history="1">
        <w:r w:rsidRPr="0049119D">
          <w:rPr>
            <w:rStyle w:val="Hyperlink"/>
            <w:i/>
          </w:rPr>
          <w:t>Copyright Act 1968</w:t>
        </w:r>
      </w:hyperlink>
      <w:r w:rsidRPr="0049119D">
        <w:t>,</w:t>
      </w:r>
      <w:r w:rsidRPr="00FD274F">
        <w:t xml:space="preserve"> other relevant laws and the relevant Creative Commons licence. However, there are still some restrictions on </w:t>
      </w:r>
      <w:r>
        <w:t xml:space="preserve">the </w:t>
      </w:r>
      <w:r w:rsidRPr="00FD274F">
        <w:t xml:space="preserve">use of some content (such as the Commonwealth coat of arms). Please refer to the </w:t>
      </w:r>
      <w:hyperlink r:id="rId386" w:history="1">
        <w:r w:rsidRPr="0049119D">
          <w:rPr>
            <w:rStyle w:val="Hyperlink"/>
          </w:rPr>
          <w:t xml:space="preserve">copyright notice on the Register website </w:t>
        </w:r>
      </w:hyperlink>
      <w:bookmarkEnd w:id="160"/>
      <w:r w:rsidRPr="0049119D">
        <w:t>f</w:t>
      </w:r>
      <w:r w:rsidRPr="00FD274F">
        <w:t>or details.</w:t>
      </w:r>
      <w:bookmarkEnd w:id="162"/>
    </w:p>
    <w:p w14:paraId="2B0C62E2" w14:textId="6515B244" w:rsidR="00A83991" w:rsidRPr="00FD274F" w:rsidRDefault="00A83991" w:rsidP="00A83991">
      <w:pPr>
        <w:pStyle w:val="BodyNum"/>
      </w:pPr>
      <w:bookmarkStart w:id="163" w:name="_Ref444779699"/>
      <w:r w:rsidRPr="00FD274F">
        <w:t>Agencies wishing to reproduce registered co</w:t>
      </w:r>
      <w:r>
        <w:t xml:space="preserve">ntent should also be aware that this </w:t>
      </w:r>
      <w:r w:rsidRPr="00FD274F">
        <w:t xml:space="preserve">has inherent risks </w:t>
      </w:r>
      <w:r>
        <w:t>as</w:t>
      </w:r>
      <w:r w:rsidRPr="00FD274F">
        <w:t xml:space="preserve"> the law is subject to change</w:t>
      </w:r>
      <w:r>
        <w:t>. F</w:t>
      </w:r>
      <w:r w:rsidRPr="00FD274F">
        <w:t>ailure to keep agency websites</w:t>
      </w:r>
      <w:r w:rsidR="007802C0">
        <w:t>,</w:t>
      </w:r>
      <w:r w:rsidRPr="00FD274F">
        <w:t xml:space="preserve"> in particular</w:t>
      </w:r>
      <w:r w:rsidR="007802C0">
        <w:t>,</w:t>
      </w:r>
      <w:r w:rsidRPr="00FD274F">
        <w:t xml:space="preserve"> up</w:t>
      </w:r>
      <w:r>
        <w:noBreakHyphen/>
      </w:r>
      <w:r w:rsidRPr="00FD274F">
        <w:t>to</w:t>
      </w:r>
      <w:r>
        <w:noBreakHyphen/>
      </w:r>
      <w:r w:rsidRPr="00FD274F">
        <w:t xml:space="preserve">date may </w:t>
      </w:r>
      <w:bookmarkEnd w:id="161"/>
      <w:r w:rsidRPr="00FD274F">
        <w:t>raise questions of legal liability. It may, therefore, be better to provide simple links to relevant content on the Register. This can be done</w:t>
      </w:r>
      <w:r w:rsidR="00985845">
        <w:t xml:space="preserve"> using the link format in the </w:t>
      </w:r>
      <w:r w:rsidR="00985845">
        <w:lastRenderedPageBreak/>
        <w:t>following table</w:t>
      </w:r>
      <w:r w:rsidR="00367041">
        <w:t>:</w:t>
      </w:r>
      <w:bookmarkEnd w:id="163"/>
      <w:r w:rsidRPr="00FD274F">
        <w:br/>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13"/>
        <w:gridCol w:w="4513"/>
      </w:tblGrid>
      <w:tr w:rsidR="00A83991" w:rsidRPr="00FD274F" w14:paraId="08D66F93" w14:textId="77777777" w:rsidTr="00A83991">
        <w:trPr>
          <w:tblHeader/>
        </w:trPr>
        <w:tc>
          <w:tcPr>
            <w:tcW w:w="4513" w:type="dxa"/>
            <w:tcBorders>
              <w:top w:val="single" w:sz="12" w:space="0" w:color="auto"/>
              <w:bottom w:val="single" w:sz="12" w:space="0" w:color="auto"/>
            </w:tcBorders>
          </w:tcPr>
          <w:p w14:paraId="153A407C" w14:textId="77777777" w:rsidR="00A83991" w:rsidRPr="00FD274F" w:rsidRDefault="00A83991" w:rsidP="00A83991">
            <w:pPr>
              <w:pStyle w:val="TableHeading"/>
            </w:pPr>
            <w:r w:rsidRPr="00FD274F">
              <w:t>Use this link format</w:t>
            </w:r>
          </w:p>
        </w:tc>
        <w:tc>
          <w:tcPr>
            <w:tcW w:w="4513" w:type="dxa"/>
            <w:tcBorders>
              <w:top w:val="single" w:sz="12" w:space="0" w:color="auto"/>
              <w:bottom w:val="single" w:sz="12" w:space="0" w:color="auto"/>
            </w:tcBorders>
            <w:shd w:val="clear" w:color="auto" w:fill="auto"/>
          </w:tcPr>
          <w:p w14:paraId="76C89A5A" w14:textId="77777777" w:rsidR="00A83991" w:rsidRPr="00FD274F" w:rsidRDefault="00A83991" w:rsidP="00A83991">
            <w:pPr>
              <w:pStyle w:val="TableHeading"/>
            </w:pPr>
            <w:r>
              <w:t>To link users to</w:t>
            </w:r>
          </w:p>
        </w:tc>
      </w:tr>
      <w:tr w:rsidR="00A83991" w:rsidRPr="00FD274F" w14:paraId="5641E7EB" w14:textId="790CD42A" w:rsidTr="00A83991">
        <w:tc>
          <w:tcPr>
            <w:tcW w:w="4513" w:type="dxa"/>
            <w:tcBorders>
              <w:top w:val="single" w:sz="12" w:space="0" w:color="auto"/>
            </w:tcBorders>
          </w:tcPr>
          <w:p w14:paraId="25831E11" w14:textId="1D3A4706" w:rsidR="00A83991" w:rsidRPr="00FD274F" w:rsidRDefault="00A83991" w:rsidP="00A83991">
            <w:pPr>
              <w:pStyle w:val="Tabletext"/>
            </w:pPr>
            <w:r w:rsidRPr="00FD274F">
              <w:t>www.legislation.gov.au/</w:t>
            </w:r>
            <w:r w:rsidR="00024C3A">
              <w:t>[Title ID]</w:t>
            </w:r>
            <w:r w:rsidR="00642748">
              <w:t>/</w:t>
            </w:r>
            <w:proofErr w:type="spellStart"/>
            <w:r w:rsidR="00642748">
              <w:t>yyyy</w:t>
            </w:r>
            <w:proofErr w:type="spellEnd"/>
            <w:r w:rsidR="00642748">
              <w:t>-</w:t>
            </w:r>
            <w:r w:rsidR="009550BC">
              <w:t>mm-dd/text</w:t>
            </w:r>
          </w:p>
        </w:tc>
        <w:tc>
          <w:tcPr>
            <w:tcW w:w="4513" w:type="dxa"/>
            <w:tcBorders>
              <w:top w:val="single" w:sz="12" w:space="0" w:color="auto"/>
            </w:tcBorders>
            <w:shd w:val="clear" w:color="auto" w:fill="auto"/>
          </w:tcPr>
          <w:p w14:paraId="3225267A" w14:textId="67ED7C33" w:rsidR="00A83991" w:rsidRPr="00FD274F" w:rsidRDefault="009550BC" w:rsidP="00A83991">
            <w:pPr>
              <w:pStyle w:val="Tabletext"/>
            </w:pPr>
            <w:r>
              <w:t xml:space="preserve">that point in time version of a </w:t>
            </w:r>
            <w:r w:rsidR="00A83991" w:rsidRPr="00FD274F">
              <w:t>law—not recommended unless the intent is to link to a historic version</w:t>
            </w:r>
          </w:p>
        </w:tc>
      </w:tr>
      <w:tr w:rsidR="00A83991" w:rsidRPr="00FD274F" w14:paraId="7C177E18" w14:textId="77777777" w:rsidTr="00A83991">
        <w:tc>
          <w:tcPr>
            <w:tcW w:w="4513" w:type="dxa"/>
            <w:tcBorders>
              <w:bottom w:val="single" w:sz="4" w:space="0" w:color="auto"/>
            </w:tcBorders>
          </w:tcPr>
          <w:p w14:paraId="396AF4CB" w14:textId="1CC295C2" w:rsidR="00A83991" w:rsidRPr="00FD274F" w:rsidRDefault="00A83991" w:rsidP="00A83991">
            <w:pPr>
              <w:pStyle w:val="Tabletext"/>
            </w:pPr>
            <w:r w:rsidRPr="00FD274F">
              <w:t>www.legislation.gov.au/</w:t>
            </w:r>
            <w:r w:rsidR="00024C3A">
              <w:t>[Title ID]</w:t>
            </w:r>
            <w:r w:rsidR="004E7C15">
              <w:t>/latest</w:t>
            </w:r>
          </w:p>
        </w:tc>
        <w:tc>
          <w:tcPr>
            <w:tcW w:w="4513" w:type="dxa"/>
            <w:tcBorders>
              <w:bottom w:val="single" w:sz="4" w:space="0" w:color="auto"/>
            </w:tcBorders>
            <w:shd w:val="clear" w:color="auto" w:fill="auto"/>
          </w:tcPr>
          <w:p w14:paraId="573DE217" w14:textId="77777777" w:rsidR="00A83991" w:rsidRPr="00FD274F" w:rsidRDefault="00A83991" w:rsidP="00A83991">
            <w:pPr>
              <w:pStyle w:val="Tabletext"/>
            </w:pPr>
            <w:r w:rsidRPr="00FD274F">
              <w:t>the latest version of a law</w:t>
            </w:r>
          </w:p>
        </w:tc>
      </w:tr>
      <w:tr w:rsidR="00A83991" w:rsidRPr="00FD274F" w14:paraId="39CA1B21" w14:textId="77777777" w:rsidTr="00A83991">
        <w:tc>
          <w:tcPr>
            <w:tcW w:w="4513" w:type="dxa"/>
            <w:tcBorders>
              <w:bottom w:val="single" w:sz="12" w:space="0" w:color="auto"/>
            </w:tcBorders>
          </w:tcPr>
          <w:p w14:paraId="2C4D5495" w14:textId="6FF7F629" w:rsidR="00642748" w:rsidRPr="00FD274F" w:rsidRDefault="00A83991" w:rsidP="00A83991">
            <w:pPr>
              <w:pStyle w:val="Tabletext"/>
            </w:pPr>
            <w:r w:rsidRPr="00FD274F">
              <w:t>www.legislation.gov.au/</w:t>
            </w:r>
            <w:r w:rsidR="00024C3A">
              <w:t>[Title ID]</w:t>
            </w:r>
            <w:r w:rsidR="00356ED5">
              <w:t>/</w:t>
            </w:r>
            <w:r w:rsidR="004E7C15">
              <w:t>l</w:t>
            </w:r>
            <w:r w:rsidR="00356ED5">
              <w:t>atest/</w:t>
            </w:r>
            <w:r w:rsidR="004E7C15">
              <w:t>v</w:t>
            </w:r>
            <w:r w:rsidR="00356ED5">
              <w:t>ersions</w:t>
            </w:r>
          </w:p>
        </w:tc>
        <w:tc>
          <w:tcPr>
            <w:tcW w:w="4513" w:type="dxa"/>
            <w:tcBorders>
              <w:bottom w:val="single" w:sz="12" w:space="0" w:color="auto"/>
            </w:tcBorders>
            <w:shd w:val="clear" w:color="auto" w:fill="auto"/>
          </w:tcPr>
          <w:p w14:paraId="2DB2A754" w14:textId="1B15D767" w:rsidR="00A83991" w:rsidRPr="00FD274F" w:rsidRDefault="00A83991" w:rsidP="00A83991">
            <w:pPr>
              <w:pStyle w:val="Tabletext"/>
            </w:pPr>
            <w:proofErr w:type="spellStart"/>
            <w:r w:rsidRPr="00FD274F">
              <w:t>the</w:t>
            </w:r>
            <w:proofErr w:type="spellEnd"/>
            <w:r w:rsidRPr="00FD274F">
              <w:t xml:space="preserve"> </w:t>
            </w:r>
            <w:proofErr w:type="gramStart"/>
            <w:r w:rsidR="004D5D6E">
              <w:t>All versions</w:t>
            </w:r>
            <w:proofErr w:type="gramEnd"/>
            <w:r w:rsidR="004D5D6E" w:rsidRPr="00FD274F">
              <w:t xml:space="preserve"> </w:t>
            </w:r>
            <w:r w:rsidR="002879D8">
              <w:t>tab</w:t>
            </w:r>
            <w:r w:rsidRPr="00FD274F">
              <w:t>, which shows all available versions of a law</w:t>
            </w:r>
          </w:p>
        </w:tc>
      </w:tr>
    </w:tbl>
    <w:p w14:paraId="73F26D6D" w14:textId="39E5A5EC" w:rsidR="00367041" w:rsidRPr="00FD274F" w:rsidRDefault="00367041" w:rsidP="00367041">
      <w:pPr>
        <w:pStyle w:val="noteToPara"/>
        <w:ind w:left="1429"/>
      </w:pPr>
      <w:bookmarkStart w:id="164" w:name="_Ref444792746"/>
      <w:r w:rsidRPr="00FD274F">
        <w:t>Note:</w:t>
      </w:r>
      <w:r w:rsidRPr="00FD274F">
        <w:tab/>
      </w:r>
      <w:r>
        <w:t>A Title ID is the ID given to the as made version of a title.</w:t>
      </w:r>
      <w:r w:rsidR="003E6994">
        <w:t xml:space="preserve"> </w:t>
      </w:r>
      <w:r>
        <w:t>For an instrument, it appears in the format of FYYYYLNNNNNN</w:t>
      </w:r>
      <w:r w:rsidR="00931097">
        <w:t>.</w:t>
      </w:r>
      <w:r w:rsidR="00F965F6">
        <w:t xml:space="preserve"> </w:t>
      </w:r>
      <w:r w:rsidR="00000846">
        <w:t xml:space="preserve">for </w:t>
      </w:r>
      <w:proofErr w:type="gramStart"/>
      <w:r w:rsidR="00000846">
        <w:t>example</w:t>
      </w:r>
      <w:proofErr w:type="gramEnd"/>
      <w:r w:rsidR="00000846">
        <w:t xml:space="preserve"> </w:t>
      </w:r>
      <w:r w:rsidR="00000846" w:rsidRPr="00000846">
        <w:t>F2016L00229</w:t>
      </w:r>
      <w:r w:rsidR="00931097">
        <w:t>.</w:t>
      </w:r>
      <w:r w:rsidR="00000846">
        <w:t xml:space="preserve"> </w:t>
      </w:r>
      <w:r w:rsidR="00931097">
        <w:t>The Title ID can be found on the Details tab for a title on the Register.</w:t>
      </w:r>
    </w:p>
    <w:p w14:paraId="4279405A" w14:textId="07C11E8E" w:rsidR="00AA22E4" w:rsidRDefault="00AA22E4" w:rsidP="00A83991">
      <w:pPr>
        <w:pStyle w:val="BodyNum"/>
      </w:pPr>
      <w:r>
        <w:t xml:space="preserve"> For more information about links, please refer to </w:t>
      </w:r>
      <w:r w:rsidR="00E80F84">
        <w:t xml:space="preserve">the </w:t>
      </w:r>
      <w:hyperlink r:id="rId387" w:history="1">
        <w:r w:rsidR="00E80F84" w:rsidRPr="000D4CFA">
          <w:rPr>
            <w:rStyle w:val="Hyperlink"/>
          </w:rPr>
          <w:t>guidance on linking and downloads</w:t>
        </w:r>
        <w:r w:rsidR="000D4CFA" w:rsidRPr="000D4CFA">
          <w:rPr>
            <w:rStyle w:val="Hyperlink"/>
          </w:rPr>
          <w:t xml:space="preserve"> on the Register website</w:t>
        </w:r>
      </w:hyperlink>
      <w:r w:rsidR="00E80F84">
        <w:t>.</w:t>
      </w:r>
    </w:p>
    <w:p w14:paraId="197FA41F" w14:textId="5E5C3A8A" w:rsidR="00A83991" w:rsidRPr="00FD274F" w:rsidRDefault="00A83991" w:rsidP="00A83991">
      <w:pPr>
        <w:pStyle w:val="BodyNum"/>
      </w:pPr>
      <w:bookmarkStart w:id="165" w:name="_Ref184283908"/>
      <w:r w:rsidRPr="00FD274F">
        <w:t xml:space="preserve">If an agency still wants or needs to reproduce registered content, it would be prudent to do so using the authorised version as described in </w:t>
      </w:r>
      <w:r w:rsidRPr="00507B09">
        <w:t xml:space="preserve">paragraph </w:t>
      </w:r>
      <w:r w:rsidRPr="005633BF">
        <w:fldChar w:fldCharType="begin"/>
      </w:r>
      <w:r w:rsidRPr="00507B09">
        <w:instrText xml:space="preserve"> REF _Ref441250050 \r \h  \* MERGEFORMAT </w:instrText>
      </w:r>
      <w:r w:rsidRPr="005633BF">
        <w:fldChar w:fldCharType="separate"/>
      </w:r>
      <w:r w:rsidR="00833171">
        <w:t>234</w:t>
      </w:r>
      <w:r w:rsidRPr="005633BF">
        <w:fldChar w:fldCharType="end"/>
      </w:r>
      <w:r w:rsidRPr="00507B09">
        <w:t>,</w:t>
      </w:r>
      <w:r w:rsidRPr="00FD274F">
        <w:t xml:space="preserve"> and also to include an </w:t>
      </w:r>
      <w:hyperlink r:id="rId388" w:history="1">
        <w:r w:rsidRPr="0049119D">
          <w:rPr>
            <w:rStyle w:val="Hyperlink"/>
          </w:rPr>
          <w:t>appropriate attribution</w:t>
        </w:r>
      </w:hyperlink>
      <w:r w:rsidRPr="0049119D">
        <w:t xml:space="preserve"> s</w:t>
      </w:r>
      <w:r w:rsidRPr="00FD274F">
        <w:t>o that users can easily check the Register for up</w:t>
      </w:r>
      <w:r>
        <w:noBreakHyphen/>
      </w:r>
      <w:r w:rsidRPr="00FD274F">
        <w:t>to</w:t>
      </w:r>
      <w:r>
        <w:noBreakHyphen/>
      </w:r>
      <w:r w:rsidRPr="00FD274F">
        <w:t>date information.</w:t>
      </w:r>
      <w:bookmarkEnd w:id="164"/>
      <w:bookmarkEnd w:id="165"/>
    </w:p>
    <w:p w14:paraId="50C7F8A6" w14:textId="14EE890E" w:rsidR="00A83991" w:rsidRPr="00FD274F" w:rsidRDefault="00A83991" w:rsidP="00A83991">
      <w:pPr>
        <w:pStyle w:val="BodyNum"/>
      </w:pPr>
      <w:r w:rsidRPr="00FD274F">
        <w:t>Agencies can also order bound print copies of registered documents online, by locating the relevant document on the Register and using the “Buy Print Copy” facility.</w:t>
      </w:r>
      <w:r w:rsidR="002B7BF7">
        <w:t xml:space="preserve"> </w:t>
      </w:r>
      <w:r w:rsidRPr="00FD274F">
        <w:t>Please email OPC (</w:t>
      </w:r>
      <w:hyperlink r:id="rId389" w:history="1">
        <w:hyperlink r:id="rId390" w:history="1">
          <w:r w:rsidRPr="00FD274F">
            <w:rPr>
              <w:rStyle w:val="Hyperlink"/>
              <w:rFonts w:eastAsiaTheme="minorHAnsi"/>
              <w:szCs w:val="24"/>
              <w:lang w:eastAsia="en-US"/>
            </w:rPr>
            <w:t>lodge@legislation.gov.au</w:t>
          </w:r>
        </w:hyperlink>
      </w:hyperlink>
      <w:r>
        <w:rPr>
          <w:szCs w:val="24"/>
        </w:rPr>
        <w:t>)</w:t>
      </w:r>
      <w:r w:rsidRPr="00FD274F">
        <w:t xml:space="preserve"> if your agency would like </w:t>
      </w:r>
      <w:r>
        <w:t xml:space="preserve">to enquire about purchasing copies of </w:t>
      </w:r>
      <w:r w:rsidRPr="00FD274F">
        <w:t>legislati</w:t>
      </w:r>
      <w:r>
        <w:t>on that cannot be ordered online or has not commenced.</w:t>
      </w:r>
    </w:p>
    <w:p w14:paraId="229AEBC5" w14:textId="63BD91B1" w:rsidR="00A83991" w:rsidRPr="00FD274F" w:rsidRDefault="00A83991" w:rsidP="00A83991">
      <w:pPr>
        <w:pStyle w:val="BodyNum"/>
      </w:pPr>
      <w:r w:rsidRPr="00FD274F">
        <w:t xml:space="preserve">If your agency receives a request about copyright of content that it has contributed to the Register, please review the </w:t>
      </w:r>
      <w:hyperlink r:id="rId391" w:history="1">
        <w:r w:rsidRPr="0049119D">
          <w:rPr>
            <w:rStyle w:val="Hyperlink"/>
          </w:rPr>
          <w:t>copyright permissions for the Register website</w:t>
        </w:r>
      </w:hyperlink>
      <w:r w:rsidRPr="0049119D">
        <w:t>.</w:t>
      </w:r>
      <w:r w:rsidRPr="00FD274F">
        <w:t xml:space="preserve"> It may be that no additional permission is required. Alternatively, if the request involves the issues identifie</w:t>
      </w:r>
      <w:r w:rsidRPr="00507B09">
        <w:t xml:space="preserve">d in paragraph </w:t>
      </w:r>
      <w:r>
        <w:fldChar w:fldCharType="begin"/>
      </w:r>
      <w:r>
        <w:instrText xml:space="preserve"> REF _Ref474413213 \r \h </w:instrText>
      </w:r>
      <w:r>
        <w:fldChar w:fldCharType="separate"/>
      </w:r>
      <w:r w:rsidR="00833171">
        <w:t>235</w:t>
      </w:r>
      <w:r>
        <w:fldChar w:fldCharType="end"/>
      </w:r>
      <w:r w:rsidRPr="00507B09">
        <w:t>, th</w:t>
      </w:r>
      <w:r w:rsidRPr="00FD274F">
        <w:t xml:space="preserve">e request may need </w:t>
      </w:r>
      <w:r>
        <w:t>to be referred to other bodies.</w:t>
      </w:r>
    </w:p>
    <w:p w14:paraId="2C53BAE3" w14:textId="77777777" w:rsidR="00A83991" w:rsidRPr="00FD274F" w:rsidRDefault="00A83991" w:rsidP="00A83991">
      <w:pPr>
        <w:pStyle w:val="Head3"/>
      </w:pPr>
      <w:bookmarkStart w:id="166" w:name="_Toc183694692"/>
      <w:r w:rsidRPr="00FD274F">
        <w:t>If an instrument is no longer required</w:t>
      </w:r>
      <w:bookmarkEnd w:id="166"/>
    </w:p>
    <w:p w14:paraId="23355389" w14:textId="4F32FBFD" w:rsidR="00A83991" w:rsidRPr="00FD274F" w:rsidRDefault="00A83991" w:rsidP="00A83991">
      <w:pPr>
        <w:pStyle w:val="BodyNum"/>
      </w:pPr>
      <w:bookmarkStart w:id="167" w:name="_Ref367446866"/>
      <w:r w:rsidRPr="00FD274F">
        <w:t>P</w:t>
      </w:r>
      <w:r w:rsidRPr="000D2500">
        <w:t xml:space="preserve">arts 3 and 4 of Chapter 3 of the </w:t>
      </w:r>
      <w:hyperlink r:id="rId392" w:history="1">
        <w:hyperlink r:id="rId393" w:history="1">
          <w:r w:rsidRPr="000D2500">
            <w:rPr>
              <w:rStyle w:val="Hyperlink"/>
            </w:rPr>
            <w:t>LA</w:t>
          </w:r>
        </w:hyperlink>
        <w:r w:rsidRPr="000D2500">
          <w:rPr>
            <w:rStyle w:val="Hyperlink"/>
          </w:rPr>
          <w:t xml:space="preserve"> </w:t>
        </w:r>
      </w:hyperlink>
      <w:r w:rsidRPr="000D2500">
        <w:t>e</w:t>
      </w:r>
      <w:r w:rsidRPr="00FD274F">
        <w:t>ncourage the timely repeal of instruments that are no longer required. An instrument that is repealed remains on permanent public record on the Register, but no longer displays as in force. An instrument may be repealed:</w:t>
      </w:r>
      <w:bookmarkEnd w:id="167"/>
    </w:p>
    <w:p w14:paraId="4FD263AB" w14:textId="71FA07BA" w:rsidR="00A83991" w:rsidRPr="00FD274F" w:rsidRDefault="00A83991" w:rsidP="00A83991">
      <w:pPr>
        <w:pStyle w:val="BodyPara"/>
        <w:rPr>
          <w:spacing w:val="-2"/>
        </w:rPr>
      </w:pPr>
      <w:r w:rsidRPr="00FD274F">
        <w:rPr>
          <w:spacing w:val="-2"/>
        </w:rPr>
        <w:t xml:space="preserve">by the automatic and bulk repeal provisions </w:t>
      </w:r>
      <w:r w:rsidRPr="000D2500">
        <w:rPr>
          <w:spacing w:val="-2"/>
        </w:rPr>
        <w:t xml:space="preserve">of Part 3 of Chapter 3 of the </w:t>
      </w:r>
      <w:hyperlink r:id="rId394" w:history="1">
        <w:r w:rsidRPr="000D2500">
          <w:rPr>
            <w:rStyle w:val="Hyperlink"/>
          </w:rPr>
          <w:t>LA</w:t>
        </w:r>
      </w:hyperlink>
      <w:r w:rsidRPr="000D2500">
        <w:rPr>
          <w:spacing w:val="-2"/>
        </w:rPr>
        <w:t>; o</w:t>
      </w:r>
      <w:r w:rsidRPr="00FD274F">
        <w:rPr>
          <w:spacing w:val="-2"/>
        </w:rPr>
        <w:t>r</w:t>
      </w:r>
    </w:p>
    <w:p w14:paraId="55467A1A" w14:textId="77777777" w:rsidR="00A83991" w:rsidRPr="00FD274F" w:rsidRDefault="00A83991" w:rsidP="00A83991">
      <w:pPr>
        <w:pStyle w:val="BodyPara"/>
        <w:rPr>
          <w:spacing w:val="-2"/>
        </w:rPr>
      </w:pPr>
      <w:r w:rsidRPr="00FD274F">
        <w:rPr>
          <w:spacing w:val="-2"/>
        </w:rPr>
        <w:t>by the rule</w:t>
      </w:r>
      <w:r>
        <w:rPr>
          <w:spacing w:val="-2"/>
        </w:rPr>
        <w:noBreakHyphen/>
      </w:r>
      <w:r w:rsidRPr="00FD274F">
        <w:rPr>
          <w:spacing w:val="-2"/>
        </w:rPr>
        <w:t>maker; or</w:t>
      </w:r>
    </w:p>
    <w:p w14:paraId="0BC70F44" w14:textId="20075D36" w:rsidR="00A83991" w:rsidRPr="000312DD" w:rsidRDefault="00A83991" w:rsidP="00A83991">
      <w:pPr>
        <w:pStyle w:val="BodyPara"/>
        <w:rPr>
          <w:spacing w:val="-4"/>
        </w:rPr>
      </w:pPr>
      <w:r w:rsidRPr="000312DD">
        <w:rPr>
          <w:spacing w:val="-4"/>
        </w:rPr>
        <w:t>if it is a legislative instrument—by sunsetting u</w:t>
      </w:r>
      <w:r w:rsidRPr="000D2500">
        <w:rPr>
          <w:spacing w:val="-4"/>
        </w:rPr>
        <w:t xml:space="preserve">nder Part 4 of Chapter 3 of the </w:t>
      </w:r>
      <w:hyperlink r:id="rId395" w:history="1">
        <w:r w:rsidRPr="000D2500">
          <w:rPr>
            <w:rStyle w:val="Hyperlink"/>
            <w:spacing w:val="-4"/>
          </w:rPr>
          <w:t>LA</w:t>
        </w:r>
      </w:hyperlink>
      <w:r w:rsidRPr="000D2500">
        <w:rPr>
          <w:spacing w:val="-4"/>
        </w:rPr>
        <w:t>.</w:t>
      </w:r>
    </w:p>
    <w:p w14:paraId="6EA152AE" w14:textId="77777777" w:rsidR="00A83991" w:rsidRPr="00FD274F" w:rsidRDefault="00A83991" w:rsidP="00A83991">
      <w:pPr>
        <w:pStyle w:val="Head4"/>
      </w:pPr>
      <w:bookmarkStart w:id="168" w:name="_Toc183694693"/>
      <w:r w:rsidRPr="00FD274F">
        <w:t>Automatic and bulk repeal under P</w:t>
      </w:r>
      <w:r w:rsidRPr="000D2500">
        <w:t>art 3 of Chapter 3 of the LA</w:t>
      </w:r>
      <w:bookmarkEnd w:id="168"/>
    </w:p>
    <w:p w14:paraId="3DEDD925" w14:textId="4507FE4A" w:rsidR="00A83991" w:rsidRDefault="00A83991" w:rsidP="00A83991">
      <w:pPr>
        <w:pStyle w:val="BodyNum"/>
      </w:pPr>
      <w:bookmarkStart w:id="169" w:name="_Ref384368606"/>
      <w:r>
        <w:t>A</w:t>
      </w:r>
      <w:r w:rsidRPr="00FD274F">
        <w:t>ll new instruments that are solely commencing, amending or repealing are subject to automatic repeal as soon as they have been registered</w:t>
      </w:r>
      <w:r>
        <w:t xml:space="preserve">, </w:t>
      </w:r>
      <w:r w:rsidRPr="00FD274F">
        <w:t xml:space="preserve">operated in full </w:t>
      </w:r>
      <w:r>
        <w:t xml:space="preserve">and, for disallowable legislative instruments, their disallowance period has ended </w:t>
      </w:r>
      <w:r w:rsidRPr="00FD274F">
        <w:t>(se</w:t>
      </w:r>
      <w:r w:rsidRPr="00492805">
        <w:t xml:space="preserve">e paragraph </w:t>
      </w:r>
      <w:r w:rsidRPr="000D2500">
        <w:fldChar w:fldCharType="begin"/>
      </w:r>
      <w:r w:rsidRPr="00492805">
        <w:instrText xml:space="preserve"> REF _Ref384723656 \r \h  \* MERGEFORMAT </w:instrText>
      </w:r>
      <w:r w:rsidRPr="000D2500">
        <w:fldChar w:fldCharType="separate"/>
      </w:r>
      <w:r w:rsidR="00833171">
        <w:t>91</w:t>
      </w:r>
      <w:r w:rsidRPr="000D2500">
        <w:fldChar w:fldCharType="end"/>
      </w:r>
      <w:r w:rsidRPr="00492805">
        <w:t>).</w:t>
      </w:r>
    </w:p>
    <w:p w14:paraId="68B024B3" w14:textId="59F7954C" w:rsidR="00A83991" w:rsidRPr="00FD274F" w:rsidRDefault="00A83991" w:rsidP="00A83991">
      <w:pPr>
        <w:pStyle w:val="BodyNum"/>
      </w:pPr>
      <w:bookmarkStart w:id="170" w:name="_Ref110331308"/>
      <w:r w:rsidRPr="00FD274F">
        <w:lastRenderedPageBreak/>
        <w:t>In addition, existing instruments and provisions can be repealed in bulk by means of a regulation made under secti</w:t>
      </w:r>
      <w:r w:rsidRPr="000D2500">
        <w:t xml:space="preserve">on 48E of the </w:t>
      </w:r>
      <w:hyperlink r:id="rId396" w:history="1">
        <w:r w:rsidRPr="000D2500">
          <w:rPr>
            <w:rStyle w:val="Hyperlink"/>
          </w:rPr>
          <w:t>LA</w:t>
        </w:r>
      </w:hyperlink>
      <w:r w:rsidRPr="000D2500">
        <w:rPr>
          <w:rStyle w:val="Hyperlink"/>
        </w:rPr>
        <w:t xml:space="preserve">. </w:t>
      </w:r>
      <w:r w:rsidRPr="000D2500">
        <w:t>H</w:t>
      </w:r>
      <w:r>
        <w:t>owever, no bulk repeal regulations have been made by the Attorney</w:t>
      </w:r>
      <w:r>
        <w:noBreakHyphen/>
        <w:t>General since 2015</w:t>
      </w:r>
      <w:r w:rsidRPr="00FD274F">
        <w:t>.</w:t>
      </w:r>
      <w:bookmarkEnd w:id="169"/>
      <w:bookmarkEnd w:id="170"/>
    </w:p>
    <w:p w14:paraId="487CD313" w14:textId="77777777" w:rsidR="00A83991" w:rsidRPr="00FD274F" w:rsidRDefault="00A83991" w:rsidP="00A83991">
      <w:pPr>
        <w:pStyle w:val="BodyNum"/>
      </w:pPr>
      <w:r w:rsidRPr="00FD274F">
        <w:t>Automatic and bulk repeal does not un</w:t>
      </w:r>
      <w:r>
        <w:t>do the effect of the instrument</w:t>
      </w:r>
      <w:r w:rsidRPr="00FD274F">
        <w:t>. Bulk repeal may also be used to repeal instruments that:</w:t>
      </w:r>
    </w:p>
    <w:p w14:paraId="77BA56E4" w14:textId="77777777" w:rsidR="00A83991" w:rsidRPr="00FD274F" w:rsidRDefault="00A83991" w:rsidP="00A83991">
      <w:pPr>
        <w:pStyle w:val="BodyPara"/>
      </w:pPr>
      <w:r w:rsidRPr="00FD274F">
        <w:t>are spent but currently exempt from sunsetting; or</w:t>
      </w:r>
    </w:p>
    <w:p w14:paraId="42A4649C" w14:textId="77777777" w:rsidR="00A83991" w:rsidRPr="00FD274F" w:rsidRDefault="00A83991" w:rsidP="00A83991">
      <w:pPr>
        <w:pStyle w:val="BodyPara"/>
      </w:pPr>
      <w:r w:rsidRPr="00FD274F">
        <w:t>may</w:t>
      </w:r>
      <w:r>
        <w:t xml:space="preserve"> not have been validly made; or</w:t>
      </w:r>
    </w:p>
    <w:p w14:paraId="37B49136" w14:textId="77777777" w:rsidR="00A83991" w:rsidRPr="00FD274F" w:rsidRDefault="00A83991" w:rsidP="00A83991">
      <w:pPr>
        <w:pStyle w:val="BodyPara"/>
      </w:pPr>
      <w:r w:rsidRPr="00FD274F">
        <w:t>are no longer required for whatever reason.</w:t>
      </w:r>
    </w:p>
    <w:p w14:paraId="2533849C" w14:textId="1287208D" w:rsidR="00A83991" w:rsidRPr="00FD274F" w:rsidRDefault="00A83991" w:rsidP="00A83991">
      <w:pPr>
        <w:pStyle w:val="BodyNum"/>
      </w:pPr>
      <w:r w:rsidRPr="00FD274F">
        <w:t xml:space="preserve">Agencies, not OPC, are responsible for assessing whether there are any statutory or other impediments to the repeal of an instrument and, if appropriate, seeking legal advice about this matter in accordance with the </w:t>
      </w:r>
      <w:hyperlink r:id="rId397" w:history="1">
        <w:r w:rsidRPr="0049119D">
          <w:rPr>
            <w:rStyle w:val="Hyperlink"/>
          </w:rPr>
          <w:t xml:space="preserve">Legal Services Directions </w:t>
        </w:r>
      </w:hyperlink>
      <w:r w:rsidRPr="0049119D">
        <w:t>a</w:t>
      </w:r>
      <w:r w:rsidRPr="00FD274F">
        <w:t>s in force from time to time. It may not be appropriate to list an instrument for bulk repeal if, for example, it:</w:t>
      </w:r>
    </w:p>
    <w:p w14:paraId="44730CCB" w14:textId="77777777" w:rsidR="00A83991" w:rsidRPr="00FD274F" w:rsidRDefault="00A83991" w:rsidP="00A83991">
      <w:pPr>
        <w:pStyle w:val="BodyPara"/>
      </w:pPr>
      <w:r w:rsidRPr="00FD274F">
        <w:t>is described in its enabling</w:t>
      </w:r>
      <w:r>
        <w:t xml:space="preserve"> legislation as irrevocable; or</w:t>
      </w:r>
    </w:p>
    <w:p w14:paraId="0CBEA376" w14:textId="2962E153" w:rsidR="00A83991" w:rsidRPr="00FD274F" w:rsidRDefault="00A83991" w:rsidP="00A83991">
      <w:pPr>
        <w:pStyle w:val="BodyPara"/>
      </w:pPr>
      <w:r w:rsidRPr="00FD274F">
        <w:t>amends or modifies something that is not available on the Register (such as an aircraft maintenance manual</w:t>
      </w:r>
      <w:r w:rsidR="00DA7CE8">
        <w:t>,</w:t>
      </w:r>
      <w:r w:rsidRPr="00FD274F">
        <w:t xml:space="preserve"> or a law enacted by a </w:t>
      </w:r>
      <w:proofErr w:type="gramStart"/>
      <w:r w:rsidRPr="00FD274F">
        <w:t>State</w:t>
      </w:r>
      <w:proofErr w:type="gramEnd"/>
      <w:r w:rsidRPr="00FD274F">
        <w:t xml:space="preserve"> government); or</w:t>
      </w:r>
    </w:p>
    <w:p w14:paraId="0891A5EF" w14:textId="77777777" w:rsidR="00A83991" w:rsidRPr="00FD274F" w:rsidRDefault="00A83991" w:rsidP="00A83991">
      <w:pPr>
        <w:pStyle w:val="BodyPara"/>
      </w:pPr>
      <w:r w:rsidRPr="00FD274F">
        <w:t>is referenced in the laws of another jurisdiction and changes to that law are required to ensure that there are no unintended consequences.</w:t>
      </w:r>
    </w:p>
    <w:p w14:paraId="569780EA" w14:textId="64F87EF6" w:rsidR="00A83991" w:rsidRPr="00FD274F" w:rsidRDefault="00A83991" w:rsidP="00A83991">
      <w:pPr>
        <w:pStyle w:val="BodyNum"/>
      </w:pPr>
      <w:r w:rsidRPr="00FD274F">
        <w:t>For more information about any aspect of automatic or bulk repeal, please contact OPC (</w:t>
      </w:r>
      <w:hyperlink r:id="rId398" w:history="1">
        <w:r w:rsidRPr="00FD274F">
          <w:rPr>
            <w:rStyle w:val="Hyperlink"/>
          </w:rPr>
          <w:t>sunsetting@opc.gov.au</w:t>
        </w:r>
      </w:hyperlink>
      <w:r w:rsidRPr="00FD274F">
        <w:t xml:space="preserve"> or (02) 6120 13</w:t>
      </w:r>
      <w:r>
        <w:t>50</w:t>
      </w:r>
      <w:r w:rsidRPr="00FD274F">
        <w:t>).</w:t>
      </w:r>
    </w:p>
    <w:p w14:paraId="0D39689A" w14:textId="77777777" w:rsidR="00A83991" w:rsidRPr="00FD274F" w:rsidRDefault="00A83991" w:rsidP="00A83991">
      <w:pPr>
        <w:pStyle w:val="Head4"/>
      </w:pPr>
      <w:bookmarkStart w:id="171" w:name="_Toc183694694"/>
      <w:r w:rsidRPr="00FD274F">
        <w:t>Direct repeal by rule</w:t>
      </w:r>
      <w:r>
        <w:noBreakHyphen/>
      </w:r>
      <w:r w:rsidRPr="00FD274F">
        <w:t>maker</w:t>
      </w:r>
      <w:bookmarkEnd w:id="171"/>
    </w:p>
    <w:p w14:paraId="6E6E9C62" w14:textId="77777777" w:rsidR="00A83991" w:rsidRPr="000D41C4" w:rsidRDefault="00A83991" w:rsidP="00A83991">
      <w:pPr>
        <w:pStyle w:val="BodyNum"/>
        <w:keepNext/>
      </w:pPr>
      <w:r w:rsidRPr="000D41C4">
        <w:t>A rule</w:t>
      </w:r>
      <w:r w:rsidRPr="000D41C4">
        <w:noBreakHyphen/>
        <w:t xml:space="preserve">maker who is authorised to make a particular instrument can repeal any instrument of the same </w:t>
      </w:r>
      <w:r>
        <w:t>kind</w:t>
      </w:r>
      <w:r w:rsidRPr="000D41C4">
        <w:t xml:space="preserve">, even if a different individual in the position of the rule-maker, or a delegate </w:t>
      </w:r>
      <w:r>
        <w:t xml:space="preserve">of </w:t>
      </w:r>
      <w:r w:rsidRPr="000D41C4">
        <w:t>the rule-maker, made the instrument. If a rule</w:t>
      </w:r>
      <w:r w:rsidRPr="000D41C4">
        <w:noBreakHyphen/>
        <w:t>maker is required or wishes to use OPC’s drafting services, please contact OPC with the details. Otherwise, please note that:</w:t>
      </w:r>
    </w:p>
    <w:p w14:paraId="24723D89" w14:textId="2C2B96FC" w:rsidR="00A83991" w:rsidRPr="00FD274F" w:rsidRDefault="00A83991" w:rsidP="00A83991">
      <w:pPr>
        <w:pStyle w:val="BodyPara"/>
      </w:pPr>
      <w:r w:rsidRPr="00FD274F">
        <w:t xml:space="preserve">any date specified for repeal </w:t>
      </w:r>
      <w:r>
        <w:t xml:space="preserve">must not </w:t>
      </w:r>
      <w:r w:rsidRPr="00FD274F">
        <w:t xml:space="preserve">be </w:t>
      </w:r>
      <w:r>
        <w:t>later</w:t>
      </w:r>
      <w:r w:rsidRPr="00FD274F">
        <w:t xml:space="preserve"> than any sunset date that may apply under Pa</w:t>
      </w:r>
      <w:r w:rsidRPr="000D2500">
        <w:t xml:space="preserve">rt 4 of Chapter 3 of the </w:t>
      </w:r>
      <w:hyperlink r:id="rId399" w:history="1">
        <w:r w:rsidRPr="000D2500">
          <w:rPr>
            <w:rStyle w:val="Hyperlink"/>
          </w:rPr>
          <w:t>LA</w:t>
        </w:r>
      </w:hyperlink>
      <w:r w:rsidRPr="000D2500">
        <w:t>; a</w:t>
      </w:r>
      <w:r w:rsidRPr="00FD274F">
        <w:t>nd</w:t>
      </w:r>
    </w:p>
    <w:p w14:paraId="4DAF73D4" w14:textId="419346E0" w:rsidR="00A83991" w:rsidRPr="00FD274F" w:rsidRDefault="00A83991" w:rsidP="00A83991">
      <w:pPr>
        <w:pStyle w:val="BodyPara"/>
      </w:pPr>
      <w:r w:rsidRPr="00FD274F">
        <w:t xml:space="preserve">it is important to use the word “repeal” to link clearly back to </w:t>
      </w:r>
      <w:r w:rsidRPr="0049119D">
        <w:t xml:space="preserve">section 7 of the </w:t>
      </w:r>
      <w:hyperlink r:id="rId400" w:history="1">
        <w:hyperlink r:id="rId401" w:history="1">
          <w:r w:rsidRPr="0049119D">
            <w:rPr>
              <w:rStyle w:val="Hyperlink"/>
              <w:i/>
            </w:rPr>
            <w:t>Acts Interpretation Act 1901</w:t>
          </w:r>
        </w:hyperlink>
      </w:hyperlink>
      <w:r w:rsidRPr="0049119D">
        <w:t>, unle</w:t>
      </w:r>
      <w:r w:rsidRPr="00FD274F">
        <w:t>ss another term is required b</w:t>
      </w:r>
      <w:r>
        <w:t>y the enabling legislation; and</w:t>
      </w:r>
    </w:p>
    <w:p w14:paraId="5EFB7BA8" w14:textId="77777777" w:rsidR="00A83991" w:rsidRDefault="00A83991" w:rsidP="00A83991">
      <w:pPr>
        <w:pStyle w:val="BodyPara"/>
      </w:pPr>
      <w:r w:rsidRPr="00FD274F">
        <w:t>if the instrument of repeal includes a transitional, saving or application provision that is not to be inserted into the principal instrument by amendment, a self</w:t>
      </w:r>
      <w:r>
        <w:noBreakHyphen/>
      </w:r>
      <w:r w:rsidRPr="00FD274F">
        <w:t>repealing provision should also be considered.</w:t>
      </w:r>
    </w:p>
    <w:p w14:paraId="70C3CE98" w14:textId="4A12DB63" w:rsidR="00A83991" w:rsidRPr="00FD274F" w:rsidRDefault="00A83991" w:rsidP="00A83991">
      <w:pPr>
        <w:pStyle w:val="BodyNum"/>
      </w:pPr>
      <w:r w:rsidRPr="00FD274F">
        <w:t>For further guidance on how to repeal instruments, including the drafting of self</w:t>
      </w:r>
      <w:r>
        <w:noBreakHyphen/>
      </w:r>
      <w:r w:rsidRPr="00FD274F">
        <w:t xml:space="preserve">repealing provisions, see </w:t>
      </w:r>
      <w:hyperlink w:anchor="Chapter3" w:history="1">
        <w:r w:rsidRPr="00492805">
          <w:rPr>
            <w:rStyle w:val="Hyperlink"/>
          </w:rPr>
          <w:t>Chapter 3</w:t>
        </w:r>
      </w:hyperlink>
      <w:r w:rsidRPr="00492805">
        <w:t>.</w:t>
      </w:r>
    </w:p>
    <w:p w14:paraId="22D99302" w14:textId="77777777" w:rsidR="00A83991" w:rsidRPr="00FD274F" w:rsidRDefault="00A83991" w:rsidP="00A83991">
      <w:pPr>
        <w:pStyle w:val="Head4"/>
      </w:pPr>
      <w:bookmarkStart w:id="172" w:name="_Toc183694695"/>
      <w:r w:rsidRPr="00FD274F">
        <w:lastRenderedPageBreak/>
        <w:t>Sunsetting under Pa</w:t>
      </w:r>
      <w:r w:rsidRPr="000D2500">
        <w:t>rt 4 of Chapter 3 of the LA</w:t>
      </w:r>
      <w:bookmarkEnd w:id="172"/>
    </w:p>
    <w:p w14:paraId="0FE97BE3" w14:textId="6EBC0D86" w:rsidR="00A83991" w:rsidRPr="00FD274F" w:rsidRDefault="00A83991" w:rsidP="00A83991">
      <w:pPr>
        <w:pStyle w:val="BodyNum"/>
      </w:pPr>
      <w:r w:rsidRPr="00FD274F">
        <w:t>If a legislative instrument is no longer required, it is preferable to repeal the instrument explicitly. Doing nothing does not guarantee that an instrument will, in fact, sunset because the instrument may be exempt from sunsetting. Even if an instrument is subject to sunsetting, any Senator or Member may move for a resolution to defer (“</w:t>
      </w:r>
      <w:r w:rsidR="00A67C86">
        <w:t>rollover</w:t>
      </w:r>
      <w:r w:rsidRPr="00FD274F">
        <w:t>”) its sunset date by 10 years.</w:t>
      </w:r>
    </w:p>
    <w:p w14:paraId="0B4263DF" w14:textId="507740E7" w:rsidR="00A83991" w:rsidRPr="00FD274F" w:rsidRDefault="00A83991" w:rsidP="00A83991">
      <w:pPr>
        <w:pStyle w:val="BodyNum"/>
      </w:pPr>
      <w:r w:rsidRPr="00FD274F">
        <w:t xml:space="preserve">For further guidance on sunsetting processes, see </w:t>
      </w:r>
      <w:hyperlink w:anchor="Chapter10" w:history="1">
        <w:r w:rsidRPr="00492805">
          <w:rPr>
            <w:rStyle w:val="Hyperlink"/>
          </w:rPr>
          <w:t>Chapter 10</w:t>
        </w:r>
      </w:hyperlink>
      <w:r w:rsidRPr="00492805">
        <w:t>.</w:t>
      </w:r>
    </w:p>
    <w:p w14:paraId="0C3F285B" w14:textId="77777777" w:rsidR="0057232B" w:rsidRDefault="0057232B" w:rsidP="00A83991">
      <w:pPr>
        <w:pStyle w:val="Head2"/>
        <w:rPr>
          <w:sz w:val="36"/>
        </w:rPr>
        <w:sectPr w:rsidR="0057232B" w:rsidSect="003D7DCE">
          <w:headerReference w:type="default" r:id="rId402"/>
          <w:pgSz w:w="11907" w:h="16839" w:code="9"/>
          <w:pgMar w:top="1440" w:right="1440" w:bottom="1418" w:left="1440" w:header="720" w:footer="720" w:gutter="0"/>
          <w:pgNumType w:start="52"/>
          <w:cols w:sep="1" w:space="567"/>
          <w:docGrid w:linePitch="360"/>
        </w:sectPr>
      </w:pPr>
    </w:p>
    <w:p w14:paraId="0C7F5795" w14:textId="325E2471" w:rsidR="00A83991" w:rsidRPr="00FD274F" w:rsidRDefault="00A83991" w:rsidP="00A83991">
      <w:pPr>
        <w:pStyle w:val="Head2"/>
        <w:rPr>
          <w:sz w:val="36"/>
        </w:rPr>
      </w:pPr>
      <w:bookmarkStart w:id="173" w:name="_Toc183694696"/>
      <w:r w:rsidRPr="00FD274F">
        <w:rPr>
          <w:sz w:val="36"/>
        </w:rPr>
        <w:lastRenderedPageBreak/>
        <w:t>Part 2—Matters specific to legislative instruments</w:t>
      </w:r>
      <w:bookmarkEnd w:id="173"/>
    </w:p>
    <w:p w14:paraId="0C4FADFF" w14:textId="77777777" w:rsidR="00A83991" w:rsidRPr="00FD274F" w:rsidRDefault="00A83991" w:rsidP="00A83991">
      <w:pPr>
        <w:pStyle w:val="Head2"/>
      </w:pPr>
      <w:bookmarkStart w:id="174" w:name="_Toc183694697"/>
      <w:bookmarkStart w:id="175" w:name="Chapter7"/>
      <w:r w:rsidRPr="00FD274F">
        <w:t>Chapter 7—Before making a legislative instrument</w:t>
      </w:r>
      <w:bookmarkEnd w:id="174"/>
    </w:p>
    <w:bookmarkEnd w:id="175"/>
    <w:p w14:paraId="67D2D252" w14:textId="77777777" w:rsidR="00A83991" w:rsidRPr="00FD274F" w:rsidRDefault="00A83991" w:rsidP="00A83991">
      <w:pPr>
        <w:pStyle w:val="SundryBoxHeadBold"/>
      </w:pPr>
      <w:r>
        <w:t>Main points</w:t>
      </w:r>
    </w:p>
    <w:p w14:paraId="1DDB86F5" w14:textId="77777777" w:rsidR="00A83991" w:rsidRPr="00FD274F" w:rsidRDefault="00A83991" w:rsidP="00A83991">
      <w:pPr>
        <w:pStyle w:val="SundryBoxBullet"/>
      </w:pPr>
      <w:r w:rsidRPr="00FD274F">
        <w:t>•</w:t>
      </w:r>
      <w:r w:rsidRPr="00FD274F">
        <w:tab/>
        <w:t>Before making a legislative instrument, a rule</w:t>
      </w:r>
      <w:r>
        <w:noBreakHyphen/>
      </w:r>
      <w:r w:rsidRPr="00FD274F">
        <w:t>maker is required to do a range of things (or to arrange for these to be done)</w:t>
      </w:r>
      <w:r>
        <w:t>.</w:t>
      </w:r>
    </w:p>
    <w:p w14:paraId="09D51F74" w14:textId="77777777" w:rsidR="00A83991" w:rsidRPr="00FD274F" w:rsidRDefault="00A83991" w:rsidP="00A83991">
      <w:pPr>
        <w:pStyle w:val="SundryBoxBullet"/>
      </w:pPr>
      <w:r w:rsidRPr="00FD274F">
        <w:t>•</w:t>
      </w:r>
      <w:r w:rsidRPr="00FD274F">
        <w:tab/>
        <w:t>In particular, the rule</w:t>
      </w:r>
      <w:r>
        <w:noBreakHyphen/>
      </w:r>
      <w:r w:rsidRPr="00FD274F">
        <w:t xml:space="preserve">maker must be satisfied that consultation has been undertaken to the extent </w:t>
      </w:r>
      <w:r>
        <w:t xml:space="preserve">that is </w:t>
      </w:r>
      <w:r w:rsidRPr="00FD274F">
        <w:t>appropriate and practicable.</w:t>
      </w:r>
    </w:p>
    <w:p w14:paraId="50244C54" w14:textId="188FEA90" w:rsidR="00A83991" w:rsidRPr="00FD274F" w:rsidRDefault="00A83991" w:rsidP="00A83991">
      <w:pPr>
        <w:pStyle w:val="SundryBoxBullet"/>
      </w:pPr>
      <w:r w:rsidRPr="00FD274F">
        <w:t>•</w:t>
      </w:r>
      <w:r w:rsidRPr="00FD274F">
        <w:tab/>
        <w:t>The rule</w:t>
      </w:r>
      <w:r>
        <w:noBreakHyphen/>
      </w:r>
      <w:r w:rsidRPr="00FD274F">
        <w:t xml:space="preserve">maker must also assess the </w:t>
      </w:r>
      <w:r w:rsidR="005F1193">
        <w:t>policy</w:t>
      </w:r>
      <w:r w:rsidRPr="00FD274F">
        <w:t xml:space="preserve"> impact of a </w:t>
      </w:r>
      <w:proofErr w:type="gramStart"/>
      <w:r w:rsidRPr="00FD274F">
        <w:t>proposal, and</w:t>
      </w:r>
      <w:proofErr w:type="gramEnd"/>
      <w:r w:rsidRPr="00FD274F">
        <w:t xml:space="preserve"> consider a range of other matters.</w:t>
      </w:r>
    </w:p>
    <w:p w14:paraId="1B910C48" w14:textId="77777777" w:rsidR="00A83991" w:rsidRPr="00FD274F" w:rsidRDefault="00A83991" w:rsidP="00A83991">
      <w:pPr>
        <w:pStyle w:val="Head3"/>
      </w:pPr>
      <w:bookmarkStart w:id="176" w:name="_Toc183694698"/>
      <w:bookmarkStart w:id="177" w:name="_Hlk175830055"/>
      <w:r w:rsidRPr="00FD274F">
        <w:t>What is making?</w:t>
      </w:r>
      <w:bookmarkEnd w:id="176"/>
    </w:p>
    <w:p w14:paraId="2690F0DD" w14:textId="7E38878D" w:rsidR="00A83991" w:rsidRDefault="00A83991" w:rsidP="00A83991">
      <w:pPr>
        <w:pStyle w:val="BodyNum"/>
      </w:pPr>
      <w:r w:rsidRPr="00FD274F">
        <w:t>For the purposes of t</w:t>
      </w:r>
      <w:r w:rsidRPr="009574E1">
        <w:t xml:space="preserve">he </w:t>
      </w:r>
      <w:hyperlink r:id="rId403" w:history="1">
        <w:r w:rsidRPr="009574E1">
          <w:rPr>
            <w:rStyle w:val="Hyperlink"/>
          </w:rPr>
          <w:t>LA</w:t>
        </w:r>
      </w:hyperlink>
      <w:r w:rsidRPr="009574E1">
        <w:t>, t</w:t>
      </w:r>
      <w:r w:rsidRPr="00FD274F">
        <w:t xml:space="preserve">he </w:t>
      </w:r>
      <w:r w:rsidRPr="00FD274F">
        <w:rPr>
          <w:b/>
          <w:i/>
        </w:rPr>
        <w:t>making</w:t>
      </w:r>
      <w:r w:rsidRPr="00FD274F">
        <w:t xml:space="preserve"> of a legislative instrument is the signing, sealing or other endorsement of the instrument by the person or body empowered to make it, by which it becomes a legislative instrum</w:t>
      </w:r>
      <w:r w:rsidRPr="009574E1">
        <w:t>ent (</w:t>
      </w:r>
      <w:hyperlink r:id="rId404" w:history="1">
        <w:r w:rsidRPr="009574E1">
          <w:rPr>
            <w:rStyle w:val="Hyperlink"/>
          </w:rPr>
          <w:t>LA</w:t>
        </w:r>
      </w:hyperlink>
      <w:r w:rsidRPr="009574E1">
        <w:rPr>
          <w:rStyle w:val="Hyperlink"/>
        </w:rPr>
        <w:t xml:space="preserve"> </w:t>
      </w:r>
      <w:r w:rsidRPr="009574E1">
        <w:t>s 4).</w:t>
      </w:r>
    </w:p>
    <w:p w14:paraId="215E412D" w14:textId="0E6A5F37" w:rsidR="00A83991" w:rsidRDefault="00A83991" w:rsidP="008668BF">
      <w:pPr>
        <w:pStyle w:val="BodyNum"/>
      </w:pPr>
      <w:r w:rsidRPr="0049119D">
        <w:t>AGS have published the Legal briefing - Execution solutions for remote working arrangements t</w:t>
      </w:r>
      <w:r>
        <w:t>o assist agencies.</w:t>
      </w:r>
      <w:r w:rsidR="000C6431">
        <w:t xml:space="preserve"> </w:t>
      </w:r>
      <w:r>
        <w:t>In this, AGS advise:</w:t>
      </w:r>
    </w:p>
    <w:p w14:paraId="37F72A9F" w14:textId="77777777" w:rsidR="00A83991" w:rsidRPr="001C63D8" w:rsidRDefault="00A83991" w:rsidP="00A83991">
      <w:pPr>
        <w:pStyle w:val="Head4"/>
        <w:ind w:left="284"/>
      </w:pPr>
      <w:bookmarkStart w:id="178" w:name="_Toc183694699"/>
      <w:r w:rsidRPr="001C63D8">
        <w:t>Making legislative instruments</w:t>
      </w:r>
      <w:bookmarkEnd w:id="178"/>
    </w:p>
    <w:p w14:paraId="202AF659" w14:textId="77777777" w:rsidR="00A83991" w:rsidRPr="001C63D8" w:rsidRDefault="00A83991" w:rsidP="00A83991">
      <w:pPr>
        <w:pStyle w:val="Body"/>
        <w:ind w:left="284"/>
      </w:pPr>
      <w:r w:rsidRPr="001C63D8">
        <w:t xml:space="preserve">Under the </w:t>
      </w:r>
      <w:r w:rsidRPr="002F3911">
        <w:rPr>
          <w:i/>
        </w:rPr>
        <w:t>Legislation Act 2003</w:t>
      </w:r>
      <w:r w:rsidRPr="002F3911">
        <w:t xml:space="preserve"> (</w:t>
      </w:r>
      <w:proofErr w:type="spellStart"/>
      <w:r w:rsidRPr="002F3911">
        <w:t>Cth</w:t>
      </w:r>
      <w:proofErr w:type="spellEnd"/>
      <w:r w:rsidRPr="002F3911">
        <w:t>), a l</w:t>
      </w:r>
      <w:r w:rsidRPr="001C63D8">
        <w:t>egislative instrument is ‘made’ by the signing, sealing or other endorsement of the instrument by the person or body empowered to make it. A Minister or other rule-maker could probably ‘make’ such an instrument by personally applying an electronic signature, on the basis that this would constitute their endorsement (approval) of the instrument.</w:t>
      </w:r>
    </w:p>
    <w:p w14:paraId="2B396CFB" w14:textId="77777777" w:rsidR="00A83991" w:rsidRPr="001C63D8" w:rsidRDefault="00A83991" w:rsidP="00A83991">
      <w:pPr>
        <w:pStyle w:val="Body"/>
        <w:ind w:left="284"/>
      </w:pPr>
      <w:r w:rsidRPr="001C63D8">
        <w:t>Where this is done, it would be advisable that a person witness the application by the Minister of their electronic signature and make a contemporaneous file note to that effect, to ensure that evidence can be provided should there be a question raised in future as to whether it was the Minister who endorsed the document. Alternatively, it may be that the electronic signature could be locked to the Minister personally and evidence provided, if required, that only the Minister could access and apply it.</w:t>
      </w:r>
    </w:p>
    <w:bookmarkEnd w:id="177"/>
    <w:p w14:paraId="551698F2" w14:textId="6F93DDA0" w:rsidR="00A83991" w:rsidRPr="001C63D8" w:rsidRDefault="00A83991" w:rsidP="00A83991">
      <w:pPr>
        <w:pStyle w:val="BodyNum"/>
      </w:pPr>
      <w:r w:rsidRPr="001C63D8">
        <w:t xml:space="preserve">Before </w:t>
      </w:r>
      <w:r>
        <w:t>applying</w:t>
      </w:r>
      <w:r w:rsidRPr="001C63D8">
        <w:t xml:space="preserve"> </w:t>
      </w:r>
      <w:r>
        <w:t xml:space="preserve">an </w:t>
      </w:r>
      <w:r w:rsidRPr="001C63D8">
        <w:t xml:space="preserve">electronic signature, agencies should satisfy themselves first that the instrument can be validly made using </w:t>
      </w:r>
      <w:r>
        <w:t xml:space="preserve">the application of </w:t>
      </w:r>
      <w:r w:rsidRPr="001C63D8">
        <w:t>an electronic signature.</w:t>
      </w:r>
    </w:p>
    <w:p w14:paraId="5EF66BDB" w14:textId="53A9829B" w:rsidR="00A83991" w:rsidRPr="001C63D8" w:rsidRDefault="00A83991" w:rsidP="00A83991">
      <w:pPr>
        <w:pStyle w:val="BodyNum"/>
      </w:pPr>
      <w:r w:rsidRPr="001C63D8">
        <w:t xml:space="preserve">For instruments for Exco, agencies should </w:t>
      </w:r>
      <w:r>
        <w:t>also have regard</w:t>
      </w:r>
      <w:r w:rsidRPr="001C63D8">
        <w:t xml:space="preserve"> to other relevant guidance, including</w:t>
      </w:r>
      <w:r w:rsidR="003A3A5D">
        <w:t>,</w:t>
      </w:r>
      <w:r w:rsidRPr="001C63D8">
        <w:t xml:space="preserve"> for example</w:t>
      </w:r>
      <w:r w:rsidR="003A3A5D">
        <w:t xml:space="preserve">, </w:t>
      </w:r>
      <w:r w:rsidRPr="001C63D8">
        <w:t>the</w:t>
      </w:r>
      <w:r>
        <w:t xml:space="preserve"> </w:t>
      </w:r>
      <w:r w:rsidRPr="00FD274F">
        <w:t>Federal</w:t>
      </w:r>
      <w:r>
        <w:t xml:space="preserve"> </w:t>
      </w:r>
      <w:r w:rsidRPr="001C63D8">
        <w:t>Exe</w:t>
      </w:r>
      <w:r w:rsidRPr="0049119D">
        <w:t>cutive Council Handbook</w:t>
      </w:r>
      <w:r w:rsidRPr="0049119D">
        <w:rPr>
          <w:rStyle w:val="FootnoteReference"/>
        </w:rPr>
        <w:footnoteReference w:id="18"/>
      </w:r>
      <w:r>
        <w:t xml:space="preserve"> and Executive Council Circulars.</w:t>
      </w:r>
    </w:p>
    <w:p w14:paraId="2E9498A3" w14:textId="1F15C88D" w:rsidR="00A83991" w:rsidRDefault="00A83991" w:rsidP="00A83991">
      <w:pPr>
        <w:pStyle w:val="BodyNum"/>
      </w:pPr>
      <w:r w:rsidRPr="001C63D8">
        <w:lastRenderedPageBreak/>
        <w:t xml:space="preserve">When an instrument is lodged for registration, </w:t>
      </w:r>
      <w:r>
        <w:t xml:space="preserve">an additional certification requirement is included in relation to electronic signatures that have been applied to a legislative instrument </w:t>
      </w:r>
      <w:r w:rsidRPr="00A55793">
        <w:t xml:space="preserve">(see paragraph </w:t>
      </w:r>
      <w:r w:rsidRPr="009574E1">
        <w:fldChar w:fldCharType="begin"/>
      </w:r>
      <w:r w:rsidRPr="00A55793">
        <w:instrText xml:space="preserve"> REF _Ref81732483 \r \h </w:instrText>
      </w:r>
      <w:r>
        <w:rPr>
          <w:highlight w:val="yellow"/>
        </w:rPr>
        <w:instrText xml:space="preserve"> \* MERGEFORMAT </w:instrText>
      </w:r>
      <w:r w:rsidRPr="009574E1">
        <w:fldChar w:fldCharType="separate"/>
      </w:r>
      <w:r w:rsidR="00833171">
        <w:t>151</w:t>
      </w:r>
      <w:r w:rsidRPr="009574E1">
        <w:fldChar w:fldCharType="end"/>
      </w:r>
      <w:r w:rsidRPr="00A55793">
        <w:t>).</w:t>
      </w:r>
    </w:p>
    <w:p w14:paraId="15B06428" w14:textId="77777777" w:rsidR="00A83991" w:rsidRPr="00FD274F" w:rsidRDefault="00A83991" w:rsidP="00A83991">
      <w:pPr>
        <w:pStyle w:val="Head3"/>
      </w:pPr>
      <w:bookmarkStart w:id="179" w:name="_Toc183694700"/>
      <w:r w:rsidRPr="00FD274F">
        <w:t>Requirement to consult before making</w:t>
      </w:r>
      <w:bookmarkEnd w:id="179"/>
    </w:p>
    <w:p w14:paraId="2AFF1C30" w14:textId="29CA8EB0" w:rsidR="00A83991" w:rsidRPr="00FD274F" w:rsidRDefault="00A83991" w:rsidP="00A83991">
      <w:pPr>
        <w:pStyle w:val="BodyNum"/>
      </w:pPr>
      <w:r w:rsidRPr="00FD274F">
        <w:t>T</w:t>
      </w:r>
      <w:r w:rsidRPr="00521AB3">
        <w:t xml:space="preserve">he </w:t>
      </w:r>
      <w:hyperlink r:id="rId405" w:history="1">
        <w:r w:rsidRPr="00521AB3">
          <w:rPr>
            <w:rStyle w:val="Hyperlink"/>
          </w:rPr>
          <w:t>LA</w:t>
        </w:r>
      </w:hyperlink>
      <w:r w:rsidRPr="00521AB3">
        <w:t xml:space="preserve"> requi</w:t>
      </w:r>
      <w:r w:rsidRPr="00FD274F">
        <w:t>res a rule</w:t>
      </w:r>
      <w:r>
        <w:noBreakHyphen/>
      </w:r>
      <w:r w:rsidRPr="00FD274F">
        <w:t>maker, before making a legislative instrument, to be satisfied that any consultation the rule</w:t>
      </w:r>
      <w:r>
        <w:noBreakHyphen/>
      </w:r>
      <w:r w:rsidRPr="00FD274F">
        <w:t>maker considers to be appropriate and reasonably practicable has been undertak</w:t>
      </w:r>
      <w:r w:rsidRPr="00521AB3">
        <w:t>en (</w:t>
      </w:r>
      <w:hyperlink r:id="rId406" w:history="1">
        <w:r w:rsidRPr="00521AB3">
          <w:rPr>
            <w:rStyle w:val="Hyperlink"/>
          </w:rPr>
          <w:t>LA</w:t>
        </w:r>
      </w:hyperlink>
      <w:r w:rsidRPr="00521AB3">
        <w:rPr>
          <w:rStyle w:val="Hyperlink"/>
        </w:rPr>
        <w:t xml:space="preserve"> </w:t>
      </w:r>
      <w:r w:rsidRPr="00521AB3">
        <w:t>s 17(1)).</w:t>
      </w:r>
      <w:r w:rsidRPr="00FD274F">
        <w:t xml:space="preserve"> This requirement applies to all legislative instruments.</w:t>
      </w:r>
    </w:p>
    <w:p w14:paraId="17E9261F" w14:textId="5D06AC92" w:rsidR="00A83991" w:rsidRPr="00FD274F" w:rsidRDefault="00A83991" w:rsidP="00A83991">
      <w:pPr>
        <w:pStyle w:val="BodyNum"/>
      </w:pPr>
      <w:r w:rsidRPr="00FD274F">
        <w:t xml:space="preserve">The </w:t>
      </w:r>
      <w:hyperlink r:id="rId407" w:history="1">
        <w:r w:rsidRPr="00521AB3">
          <w:rPr>
            <w:rStyle w:val="Hyperlink"/>
          </w:rPr>
          <w:t>LA</w:t>
        </w:r>
      </w:hyperlink>
      <w:r w:rsidRPr="00521AB3">
        <w:t xml:space="preserve"> pro</w:t>
      </w:r>
      <w:r w:rsidRPr="00FD274F">
        <w:t>vides that, in deciding whether consultation is appropriate, the rule</w:t>
      </w:r>
      <w:r>
        <w:noBreakHyphen/>
      </w:r>
      <w:r w:rsidRPr="00FD274F">
        <w:t>maker may have regard to the extent to which consultation drew on the knowledge of relevant subject matter experts and ensured that persons likely to be affected by the proposed instrument had an adequate opportunity to comment on its proposed conten</w:t>
      </w:r>
      <w:r w:rsidRPr="00521AB3">
        <w:t>t (</w:t>
      </w:r>
      <w:hyperlink r:id="rId408" w:history="1">
        <w:r w:rsidRPr="00521AB3">
          <w:rPr>
            <w:rStyle w:val="Hyperlink"/>
          </w:rPr>
          <w:t>LA</w:t>
        </w:r>
      </w:hyperlink>
      <w:r w:rsidRPr="00521AB3">
        <w:rPr>
          <w:rStyle w:val="Hyperlink"/>
        </w:rPr>
        <w:t xml:space="preserve"> </w:t>
      </w:r>
      <w:r w:rsidRPr="00521AB3">
        <w:t>s 17(2)).</w:t>
      </w:r>
      <w:r w:rsidRPr="00FD274F">
        <w:t xml:space="preserve"> Consultation could involve </w:t>
      </w:r>
      <w:r w:rsidRPr="00521AB3">
        <w:t>(</w:t>
      </w:r>
      <w:hyperlink r:id="rId409" w:history="1">
        <w:r w:rsidRPr="00521AB3">
          <w:rPr>
            <w:rStyle w:val="Hyperlink"/>
          </w:rPr>
          <w:t>LA</w:t>
        </w:r>
      </w:hyperlink>
      <w:r w:rsidRPr="00521AB3">
        <w:rPr>
          <w:rStyle w:val="Hyperlink"/>
        </w:rPr>
        <w:t xml:space="preserve"> </w:t>
      </w:r>
      <w:r w:rsidRPr="00521AB3">
        <w:t>s 17(3)):</w:t>
      </w:r>
    </w:p>
    <w:p w14:paraId="66682E14" w14:textId="77777777" w:rsidR="00A83991" w:rsidRPr="00FD274F" w:rsidRDefault="00A83991" w:rsidP="00A83991">
      <w:pPr>
        <w:pStyle w:val="BodyPara"/>
      </w:pPr>
      <w:r w:rsidRPr="00FD274F">
        <w:t>notifying representative bodies or organisations (either directly or by advertisement); and</w:t>
      </w:r>
    </w:p>
    <w:p w14:paraId="45BCA5A8" w14:textId="77777777" w:rsidR="00A83991" w:rsidRPr="00FD274F" w:rsidRDefault="00A83991" w:rsidP="00A83991">
      <w:pPr>
        <w:pStyle w:val="BodyPara"/>
      </w:pPr>
      <w:r w:rsidRPr="00FD274F">
        <w:t>inviting submissions or pa</w:t>
      </w:r>
      <w:r>
        <w:t>rticipation in public hearings.</w:t>
      </w:r>
    </w:p>
    <w:p w14:paraId="712C098D" w14:textId="64175380" w:rsidR="00A83991" w:rsidRPr="00FD274F" w:rsidRDefault="00A83991" w:rsidP="00A83991">
      <w:pPr>
        <w:pStyle w:val="BodyNum"/>
      </w:pPr>
      <w:r w:rsidRPr="00FD274F">
        <w:t>Although t</w:t>
      </w:r>
      <w:r w:rsidRPr="00521AB3">
        <w:t xml:space="preserve">he </w:t>
      </w:r>
      <w:hyperlink r:id="rId410" w:history="1">
        <w:r w:rsidRPr="00521AB3">
          <w:rPr>
            <w:rStyle w:val="Hyperlink"/>
          </w:rPr>
          <w:t>LA</w:t>
        </w:r>
      </w:hyperlink>
      <w:r w:rsidRPr="00521AB3">
        <w:t xml:space="preserve"> is</w:t>
      </w:r>
      <w:r w:rsidRPr="00FD274F">
        <w:t xml:space="preserve"> not prescriptive about consultation, agencies should note that the Parliament takes the obligation to consult seriously. Inadequate consultation is one of the most frequent grounds of criticism by the Senate Standing Committee </w:t>
      </w:r>
      <w:r>
        <w:t xml:space="preserve">for the Scrutiny of Delegated Legislation </w:t>
      </w:r>
      <w:r w:rsidRPr="00FD274F">
        <w:t>(</w:t>
      </w:r>
      <w:r>
        <w:t>SDLC</w:t>
      </w:r>
      <w:r w:rsidRPr="00FD274F">
        <w:t>). Consequently, agencies should:</w:t>
      </w:r>
    </w:p>
    <w:p w14:paraId="4177592A" w14:textId="77777777" w:rsidR="00A83991" w:rsidRPr="00FD274F" w:rsidRDefault="00A83991" w:rsidP="00A83991">
      <w:pPr>
        <w:pStyle w:val="BodyPara"/>
      </w:pPr>
      <w:r w:rsidRPr="00FD274F">
        <w:t>establish what the rule</w:t>
      </w:r>
      <w:r>
        <w:noBreakHyphen/>
      </w:r>
      <w:r w:rsidRPr="00FD274F">
        <w:t>maker considers to be the most appropriate form of consultation at an early stage of the process; and</w:t>
      </w:r>
    </w:p>
    <w:p w14:paraId="1AA46C50" w14:textId="77777777" w:rsidR="00A83991" w:rsidRPr="00FD274F" w:rsidRDefault="00A83991" w:rsidP="00A83991">
      <w:pPr>
        <w:pStyle w:val="BodyPara"/>
      </w:pPr>
      <w:r w:rsidRPr="00FD274F">
        <w:t>satisfy the rule</w:t>
      </w:r>
      <w:r>
        <w:noBreakHyphen/>
      </w:r>
      <w:r w:rsidRPr="00FD274F">
        <w:t>maker that consultation has been undertaken to the required standard bef</w:t>
      </w:r>
      <w:r>
        <w:t>ore the instrument is made; and</w:t>
      </w:r>
    </w:p>
    <w:p w14:paraId="30DBFA8D" w14:textId="77777777" w:rsidR="00A83991" w:rsidRPr="00FD274F" w:rsidRDefault="00A83991" w:rsidP="00A83991">
      <w:pPr>
        <w:pStyle w:val="BodyPara"/>
      </w:pPr>
      <w:r w:rsidRPr="00FD274F">
        <w:t>ensure that the explanatory statement for an instrument provides an adequate description of either:</w:t>
      </w:r>
    </w:p>
    <w:p w14:paraId="0227C3A0" w14:textId="77777777" w:rsidR="00A83991" w:rsidRPr="00FD274F" w:rsidRDefault="00A83991" w:rsidP="00A83991">
      <w:pPr>
        <w:pStyle w:val="BodySubPara"/>
      </w:pPr>
      <w:r w:rsidRPr="00FD274F">
        <w:t>the consul</w:t>
      </w:r>
      <w:r>
        <w:t>tation process and outcomes; or</w:t>
      </w:r>
    </w:p>
    <w:p w14:paraId="4A8880C7" w14:textId="0410D0E3" w:rsidR="00A83991" w:rsidRPr="00FD274F" w:rsidRDefault="00A83991" w:rsidP="00A83991">
      <w:pPr>
        <w:pStyle w:val="BodySubPara"/>
      </w:pPr>
      <w:r w:rsidRPr="00FD274F">
        <w:t xml:space="preserve">if no consultation was undertaken, the reasons for not consulting (see </w:t>
      </w:r>
      <w:r w:rsidRPr="00A55793">
        <w:t xml:space="preserve">paragraphs </w:t>
      </w:r>
      <w:r w:rsidRPr="00521AB3">
        <w:fldChar w:fldCharType="begin"/>
      </w:r>
      <w:r w:rsidRPr="00A55793">
        <w:instrText xml:space="preserve"> REF _Ref369887055 \r \h  \* MERGEFORMAT </w:instrText>
      </w:r>
      <w:r w:rsidRPr="00521AB3">
        <w:fldChar w:fldCharType="separate"/>
      </w:r>
      <w:r w:rsidR="00833171">
        <w:t>260</w:t>
      </w:r>
      <w:r w:rsidRPr="00521AB3">
        <w:fldChar w:fldCharType="end"/>
      </w:r>
      <w:r w:rsidRPr="00A55793">
        <w:t xml:space="preserve"> to </w:t>
      </w:r>
      <w:r w:rsidRPr="00521AB3">
        <w:fldChar w:fldCharType="begin"/>
      </w:r>
      <w:r w:rsidRPr="00A55793">
        <w:instrText xml:space="preserve"> REF _Ref369887049 \r \h  \* MERGEFORMAT </w:instrText>
      </w:r>
      <w:r w:rsidRPr="00521AB3">
        <w:fldChar w:fldCharType="separate"/>
      </w:r>
      <w:r w:rsidR="00833171">
        <w:t>262</w:t>
      </w:r>
      <w:r w:rsidRPr="00521AB3">
        <w:fldChar w:fldCharType="end"/>
      </w:r>
      <w:r w:rsidRPr="00A55793">
        <w:t>).</w:t>
      </w:r>
    </w:p>
    <w:p w14:paraId="71C14036" w14:textId="5060D4A0" w:rsidR="00A83991" w:rsidRPr="00FD274F" w:rsidRDefault="00A83991" w:rsidP="00A83991">
      <w:pPr>
        <w:pStyle w:val="BodyNum"/>
      </w:pPr>
      <w:bookmarkStart w:id="180" w:name="_Ref369887081"/>
      <w:r w:rsidRPr="00FD274F">
        <w:t xml:space="preserve">An explanatory statement that does not mention consultation, or that contains only a superficial description, is likely to result in the relevant Minister being asked by </w:t>
      </w:r>
      <w:r>
        <w:t xml:space="preserve">the SDLC </w:t>
      </w:r>
      <w:r w:rsidRPr="00FD274F">
        <w:t>to provide additional i</w:t>
      </w:r>
      <w:r>
        <w:t>nformation or take other action</w:t>
      </w:r>
      <w:r w:rsidRPr="00FD274F">
        <w:t>. Further guidance on how to meet the requirements of t</w:t>
      </w:r>
      <w:r w:rsidRPr="00521AB3">
        <w:t xml:space="preserve">he </w:t>
      </w:r>
      <w:hyperlink r:id="rId411" w:history="1">
        <w:r w:rsidRPr="00521AB3">
          <w:rPr>
            <w:rStyle w:val="Hyperlink"/>
          </w:rPr>
          <w:t>LA</w:t>
        </w:r>
      </w:hyperlink>
      <w:r w:rsidRPr="00521AB3">
        <w:t xml:space="preserve"> a</w:t>
      </w:r>
      <w:r w:rsidRPr="00FD274F">
        <w:t xml:space="preserve">nd the Parliament is provided on the </w:t>
      </w:r>
      <w:r>
        <w:t xml:space="preserve">SDLC </w:t>
      </w:r>
      <w:r w:rsidRPr="00FD274F">
        <w:t>websi</w:t>
      </w:r>
      <w:r w:rsidRPr="009574E1">
        <w:t>te</w:t>
      </w:r>
      <w:r w:rsidRPr="009574E1">
        <w:rPr>
          <w:rStyle w:val="FootnoteReference"/>
        </w:rPr>
        <w:footnoteReference w:id="19"/>
      </w:r>
      <w:r w:rsidRPr="009574E1">
        <w:t>.</w:t>
      </w:r>
    </w:p>
    <w:p w14:paraId="1DC95A5F" w14:textId="77777777" w:rsidR="00A83991" w:rsidRPr="00FD274F" w:rsidRDefault="00A83991" w:rsidP="00A83991">
      <w:pPr>
        <w:pStyle w:val="Head4"/>
      </w:pPr>
      <w:bookmarkStart w:id="181" w:name="_Toc183694701"/>
      <w:bookmarkEnd w:id="180"/>
      <w:r w:rsidRPr="00FD274F">
        <w:lastRenderedPageBreak/>
        <w:t>When consultation may be unnecessary or inappropriate</w:t>
      </w:r>
      <w:bookmarkEnd w:id="181"/>
    </w:p>
    <w:p w14:paraId="509CA0A3" w14:textId="6DEB3601" w:rsidR="00A83991" w:rsidRPr="00FD274F" w:rsidRDefault="00A83991" w:rsidP="00A83991">
      <w:pPr>
        <w:pStyle w:val="BodyNum"/>
      </w:pPr>
      <w:bookmarkStart w:id="182" w:name="_Ref369887055"/>
      <w:r w:rsidRPr="00FD274F">
        <w:t xml:space="preserve">The </w:t>
      </w:r>
      <w:hyperlink r:id="rId412" w:history="1">
        <w:r w:rsidRPr="00521AB3">
          <w:rPr>
            <w:rStyle w:val="Hyperlink"/>
          </w:rPr>
          <w:t>LA</w:t>
        </w:r>
      </w:hyperlink>
      <w:r w:rsidRPr="00521AB3">
        <w:t xml:space="preserve"> does</w:t>
      </w:r>
      <w:r w:rsidRPr="00FD274F">
        <w:t xml:space="preserve"> not require consultation if the rule</w:t>
      </w:r>
      <w:r>
        <w:noBreakHyphen/>
      </w:r>
      <w:r w:rsidRPr="00FD274F">
        <w:t>maker considers it inappropriate or impractical. It may be, for example, that a legislative instrument:</w:t>
      </w:r>
    </w:p>
    <w:bookmarkEnd w:id="182"/>
    <w:p w14:paraId="23CB7AE9" w14:textId="77777777" w:rsidR="00A83991" w:rsidRPr="00FD274F" w:rsidRDefault="00A83991" w:rsidP="00A83991">
      <w:pPr>
        <w:pStyle w:val="BodyPara"/>
      </w:pPr>
      <w:r w:rsidRPr="00FD274F">
        <w:t>is of a minor or machinery nature or does not substantially alter existing arrangements; or</w:t>
      </w:r>
    </w:p>
    <w:p w14:paraId="5037137C" w14:textId="77777777" w:rsidR="00A83991" w:rsidRPr="00FD274F" w:rsidRDefault="00A83991" w:rsidP="00A83991">
      <w:pPr>
        <w:pStyle w:val="BodyPara"/>
      </w:pPr>
      <w:r w:rsidRPr="00FD274F">
        <w:t>is required urgently; or</w:t>
      </w:r>
    </w:p>
    <w:p w14:paraId="6BF369E4" w14:textId="77777777" w:rsidR="00A83991" w:rsidRPr="00FD274F" w:rsidRDefault="00A83991" w:rsidP="00A83991">
      <w:pPr>
        <w:pStyle w:val="BodyPara"/>
      </w:pPr>
      <w:r w:rsidRPr="00FD274F">
        <w:t>implements a decision announced in the Budget; or</w:t>
      </w:r>
    </w:p>
    <w:p w14:paraId="7432349B" w14:textId="77777777" w:rsidR="00A83991" w:rsidRPr="00FD274F" w:rsidRDefault="00A83991" w:rsidP="00A83991">
      <w:pPr>
        <w:pStyle w:val="BodyPara"/>
      </w:pPr>
      <w:r w:rsidRPr="00FD274F">
        <w:t>is required because of a national security issue; or</w:t>
      </w:r>
    </w:p>
    <w:p w14:paraId="451903FC" w14:textId="77777777" w:rsidR="00A83991" w:rsidRPr="00FD274F" w:rsidRDefault="00A83991" w:rsidP="00A83991">
      <w:pPr>
        <w:pStyle w:val="BodyPara"/>
      </w:pPr>
      <w:r w:rsidRPr="00FD274F">
        <w:t>is an instrument for which appropriate consultation has already been undertaken by somebody else; or</w:t>
      </w:r>
    </w:p>
    <w:p w14:paraId="6BBAC71E" w14:textId="77777777" w:rsidR="00A83991" w:rsidRPr="00FD274F" w:rsidRDefault="00A83991" w:rsidP="00A83991">
      <w:pPr>
        <w:pStyle w:val="BodyPara"/>
      </w:pPr>
      <w:r w:rsidRPr="00FD274F">
        <w:t>relates to employme</w:t>
      </w:r>
      <w:r>
        <w:t>nt; or</w:t>
      </w:r>
    </w:p>
    <w:p w14:paraId="7775AB4D" w14:textId="77777777" w:rsidR="00A83991" w:rsidRPr="00FD274F" w:rsidRDefault="00A83991" w:rsidP="00A83991">
      <w:pPr>
        <w:pStyle w:val="BodyPara"/>
      </w:pPr>
      <w:r w:rsidRPr="00FD274F">
        <w:t>relates to the management of, or to the service of members of, the Australian Defence Force.</w:t>
      </w:r>
    </w:p>
    <w:p w14:paraId="7839AE44" w14:textId="2DC9E381" w:rsidR="00A83991" w:rsidRPr="00FD274F" w:rsidRDefault="00A83991" w:rsidP="00A83991">
      <w:pPr>
        <w:pStyle w:val="BodyNum"/>
      </w:pPr>
      <w:r w:rsidRPr="00FD274F">
        <w:rPr>
          <w:szCs w:val="24"/>
        </w:rPr>
        <w:t>Even if an instrument falls into one of these examples, a case</w:t>
      </w:r>
      <w:r>
        <w:rPr>
          <w:szCs w:val="24"/>
        </w:rPr>
        <w:noBreakHyphen/>
      </w:r>
      <w:r w:rsidRPr="00FD274F">
        <w:rPr>
          <w:szCs w:val="24"/>
        </w:rPr>
        <w:t>by</w:t>
      </w:r>
      <w:r>
        <w:rPr>
          <w:szCs w:val="24"/>
        </w:rPr>
        <w:noBreakHyphen/>
      </w:r>
      <w:r w:rsidRPr="00FD274F">
        <w:rPr>
          <w:szCs w:val="24"/>
        </w:rPr>
        <w:t>case assessment is still important and necessary to satisfy the requirements o</w:t>
      </w:r>
      <w:r w:rsidRPr="00521AB3">
        <w:rPr>
          <w:szCs w:val="24"/>
        </w:rPr>
        <w:t xml:space="preserve">f section 17 of the </w:t>
      </w:r>
      <w:hyperlink r:id="rId413" w:history="1">
        <w:r w:rsidRPr="00521AB3">
          <w:rPr>
            <w:rStyle w:val="Hyperlink"/>
          </w:rPr>
          <w:t>LA</w:t>
        </w:r>
      </w:hyperlink>
      <w:r w:rsidRPr="00521AB3">
        <w:rPr>
          <w:rStyle w:val="Hyperlink"/>
        </w:rPr>
        <w:t xml:space="preserve"> </w:t>
      </w:r>
      <w:r w:rsidRPr="00521AB3">
        <w:rPr>
          <w:szCs w:val="24"/>
        </w:rPr>
        <w:t>an</w:t>
      </w:r>
      <w:r w:rsidRPr="00FD274F">
        <w:rPr>
          <w:szCs w:val="24"/>
        </w:rPr>
        <w:t>d of scrutiny bodies.</w:t>
      </w:r>
    </w:p>
    <w:p w14:paraId="57DF6C4D" w14:textId="77777777" w:rsidR="00A83991" w:rsidRPr="00FD274F" w:rsidRDefault="00A83991" w:rsidP="00A83991">
      <w:pPr>
        <w:pStyle w:val="Head4"/>
      </w:pPr>
      <w:bookmarkStart w:id="183" w:name="_Toc183694702"/>
      <w:r w:rsidRPr="00FD274F">
        <w:t>Consequences of failure to consult</w:t>
      </w:r>
      <w:bookmarkEnd w:id="183"/>
    </w:p>
    <w:p w14:paraId="314A9AB8" w14:textId="77F61F53" w:rsidR="00A83991" w:rsidRPr="00FD274F" w:rsidRDefault="00A83991" w:rsidP="00A83991">
      <w:pPr>
        <w:pStyle w:val="BodyNum"/>
      </w:pPr>
      <w:bookmarkStart w:id="184" w:name="_Ref369887049"/>
      <w:r w:rsidRPr="00FD274F">
        <w:t>Failure to consult in relation to a legislative instrument does not affect the validity or enforceability of the instru</w:t>
      </w:r>
      <w:r w:rsidRPr="00521AB3">
        <w:t>ment (</w:t>
      </w:r>
      <w:hyperlink r:id="rId414" w:history="1">
        <w:r w:rsidRPr="00521AB3">
          <w:rPr>
            <w:rStyle w:val="Hyperlink"/>
          </w:rPr>
          <w:t>LA</w:t>
        </w:r>
      </w:hyperlink>
      <w:r w:rsidRPr="00521AB3">
        <w:rPr>
          <w:rStyle w:val="Hyperlink"/>
        </w:rPr>
        <w:t xml:space="preserve"> </w:t>
      </w:r>
      <w:r w:rsidRPr="00521AB3">
        <w:t>s 19). Ho</w:t>
      </w:r>
      <w:r w:rsidRPr="00FD274F">
        <w:t>wever, the rule</w:t>
      </w:r>
      <w:r>
        <w:noBreakHyphen/>
      </w:r>
      <w:r w:rsidRPr="00FD274F">
        <w:t xml:space="preserve">maker must explain why consultation was unnecessary or inappropriate in the explanatory statement that is registered and tabled with the instrument in the Parliament </w:t>
      </w:r>
      <w:r w:rsidRPr="00980B37">
        <w:t xml:space="preserve">(see also </w:t>
      </w:r>
      <w:hyperlink w:anchor="Chapter8" w:history="1">
        <w:r w:rsidRPr="00980B37">
          <w:rPr>
            <w:rStyle w:val="Hyperlink"/>
          </w:rPr>
          <w:t>Chapter 8</w:t>
        </w:r>
      </w:hyperlink>
      <w:r w:rsidRPr="00980B37">
        <w:t>).</w:t>
      </w:r>
      <w:bookmarkEnd w:id="184"/>
    </w:p>
    <w:p w14:paraId="711357DD" w14:textId="77777777" w:rsidR="00432F4C" w:rsidRDefault="00432F4C" w:rsidP="00432F4C">
      <w:pPr>
        <w:pStyle w:val="Head3"/>
      </w:pPr>
      <w:bookmarkStart w:id="185" w:name="_Toc183694703"/>
      <w:bookmarkStart w:id="186" w:name="_Hlk175829784"/>
      <w:r>
        <w:t>Requirement to assess policy impacts before making</w:t>
      </w:r>
      <w:bookmarkEnd w:id="185"/>
    </w:p>
    <w:p w14:paraId="0E1EA436" w14:textId="152F5AD7" w:rsidR="00432F4C" w:rsidRDefault="00432F4C" w:rsidP="00C27411">
      <w:pPr>
        <w:pStyle w:val="BodyNum"/>
      </w:pPr>
      <w:r>
        <w:t>Before the decision is taken to make an instrument, a preliminary assessment</w:t>
      </w:r>
      <w:r>
        <w:rPr>
          <w:rStyle w:val="FootnoteReference"/>
        </w:rPr>
        <w:footnoteReference w:id="20"/>
      </w:r>
      <w:r>
        <w:t xml:space="preserve"> must be provided to the Office of Impact Analysis (OIA) to determine whether an Impact Analysis is required. An Impact Analysis is required for any policy proposal or action of government, with an expectation of compliance, that would result in a more than minor change in behaviour or impact for people, businesses or community organisations. Further details regarding Impact Analysis requirements are available in the Australian Government Guide to Policy Impact Analysis.</w:t>
      </w:r>
      <w:r w:rsidR="000065FB">
        <w:rPr>
          <w:rStyle w:val="FootnoteReference"/>
        </w:rPr>
        <w:footnoteReference w:id="21"/>
      </w:r>
    </w:p>
    <w:p w14:paraId="488E66E3" w14:textId="4EFE85AF" w:rsidR="00432F4C" w:rsidRDefault="00432F4C" w:rsidP="00C27411">
      <w:pPr>
        <w:pStyle w:val="BodyNum"/>
      </w:pPr>
      <w:r>
        <w:lastRenderedPageBreak/>
        <w:t>For the remaking of an instrument due to sunset, Impact Analysis requirements for various scenarios are laid out in the OIA’s Sunsetting Legislative Instruments Guidance Note.</w:t>
      </w:r>
      <w:r w:rsidR="000065FB">
        <w:rPr>
          <w:rStyle w:val="FootnoteReference"/>
        </w:rPr>
        <w:footnoteReference w:id="22"/>
      </w:r>
    </w:p>
    <w:p w14:paraId="1A0DDFF1" w14:textId="35299C7D" w:rsidR="00432F4C" w:rsidRDefault="00432F4C" w:rsidP="00C27411">
      <w:pPr>
        <w:pStyle w:val="BodyNum"/>
      </w:pPr>
      <w:r>
        <w:t xml:space="preserve">Where an Impact Analysis is required, the OIA assesses the quality of the </w:t>
      </w:r>
      <w:proofErr w:type="gramStart"/>
      <w:r>
        <w:t>analysis</w:t>
      </w:r>
      <w:proofErr w:type="gramEnd"/>
      <w:r>
        <w:t xml:space="preserve"> and the process involved in developing that analysis. Following a final assessment by the OIA, an Impact Analysis may be assessed as exemplary practice, good practice, adequate or insufficient. An Impact Analysis assessed as insufficient means the process and analysis is of poor quality and should not be used as a basis for decision making. However, an insufficient Impact Analysis does not invalidate an instrument, but will likely attract unfavourable scrutiny.</w:t>
      </w:r>
      <w:r w:rsidR="000065FB">
        <w:rPr>
          <w:rStyle w:val="FootnoteReference"/>
        </w:rPr>
        <w:footnoteReference w:id="23"/>
      </w:r>
      <w:r>
        <w:t xml:space="preserve"> More information on the current Impact Analysis requirements is available from the OIA website</w:t>
      </w:r>
      <w:r w:rsidR="000065FB">
        <w:rPr>
          <w:rStyle w:val="FootnoteReference"/>
        </w:rPr>
        <w:footnoteReference w:id="24"/>
      </w:r>
      <w:r>
        <w:t xml:space="preserve"> and on request (</w:t>
      </w:r>
      <w:hyperlink r:id="rId415" w:history="1">
        <w:r>
          <w:rPr>
            <w:rStyle w:val="Hyperlink"/>
          </w:rPr>
          <w:t>helpdesk</w:t>
        </w:r>
        <w:r>
          <w:rPr>
            <w:rStyle w:val="Hyperlink"/>
          </w:rPr>
          <w:noBreakHyphen/>
          <w:t>OIA@pmc.gov.au</w:t>
        </w:r>
      </w:hyperlink>
      <w:r>
        <w:rPr>
          <w:rStyle w:val="Hyperlink"/>
        </w:rPr>
        <w:t xml:space="preserve"> </w:t>
      </w:r>
      <w:r>
        <w:t>or (02) 6271 6270).</w:t>
      </w:r>
    </w:p>
    <w:p w14:paraId="2154F359" w14:textId="77777777" w:rsidR="00432F4C" w:rsidRDefault="00432F4C" w:rsidP="00C27411">
      <w:pPr>
        <w:pStyle w:val="BodyNum"/>
      </w:pPr>
      <w:r>
        <w:t>Note also that if an Impact Analysis that relates to an instrument has been completed, the entire Impact Analysis must be included in, or attached to, the instrument’s explanatory statement.</w:t>
      </w:r>
    </w:p>
    <w:p w14:paraId="3382990E" w14:textId="77777777" w:rsidR="00A83991" w:rsidRPr="00FD274F" w:rsidRDefault="00A83991" w:rsidP="00A83991">
      <w:pPr>
        <w:pStyle w:val="Head3"/>
      </w:pPr>
      <w:bookmarkStart w:id="187" w:name="_Toc183694704"/>
      <w:bookmarkEnd w:id="186"/>
      <w:r w:rsidRPr="00FD274F">
        <w:t>Other requirements to consider before making</w:t>
      </w:r>
      <w:bookmarkEnd w:id="187"/>
    </w:p>
    <w:p w14:paraId="34368AB3" w14:textId="77777777" w:rsidR="00A83991" w:rsidRPr="00FD274F" w:rsidRDefault="00A83991" w:rsidP="00A83991">
      <w:pPr>
        <w:pStyle w:val="BodyNum"/>
      </w:pPr>
      <w:r w:rsidRPr="00FD274F">
        <w:t>There are a range of other requirements a rule</w:t>
      </w:r>
      <w:r>
        <w:noBreakHyphen/>
      </w:r>
      <w:r w:rsidRPr="00FD274F">
        <w:t>maker may need to consider before making a legislative instrument or approving an explanatory statement. For example, as a matter of process, before making an instrument:</w:t>
      </w:r>
    </w:p>
    <w:p w14:paraId="2B73C77D" w14:textId="77777777" w:rsidR="00A83991" w:rsidRPr="00FD274F" w:rsidRDefault="00A83991" w:rsidP="00A83991">
      <w:pPr>
        <w:pStyle w:val="BodyPara"/>
      </w:pPr>
      <w:r w:rsidRPr="00FD274F">
        <w:t>during the caretaker (election) period—it may be necessary to consider the caretaker conventions, even if the rule</w:t>
      </w:r>
      <w:r>
        <w:noBreakHyphen/>
      </w:r>
      <w:r w:rsidRPr="00FD274F">
        <w:t>maker is a statutory authority or officeholder rather than a Minister or department</w:t>
      </w:r>
      <w:r w:rsidRPr="00FD274F">
        <w:rPr>
          <w:rStyle w:val="FootnoteReference"/>
        </w:rPr>
        <w:footnoteReference w:id="25"/>
      </w:r>
      <w:r>
        <w:t>; or</w:t>
      </w:r>
    </w:p>
    <w:p w14:paraId="13B8C910" w14:textId="18652BF9" w:rsidR="00A83991" w:rsidRPr="00FD274F" w:rsidRDefault="00A83991" w:rsidP="00A83991">
      <w:pPr>
        <w:pStyle w:val="BodyPara"/>
      </w:pPr>
      <w:r w:rsidRPr="00FD274F">
        <w:t>that is the same in substance as an instrument that has been registered or disallowed recently—it may be neces</w:t>
      </w:r>
      <w:r w:rsidRPr="00980B37">
        <w:t xml:space="preserve">sary to consider the restrictions on remaking that apply before and after tabling (see </w:t>
      </w:r>
      <w:hyperlink w:anchor="Chapter9" w:history="1">
        <w:r w:rsidRPr="00980B37">
          <w:rPr>
            <w:rStyle w:val="Hyperlink"/>
          </w:rPr>
          <w:t>Chapter 9</w:t>
        </w:r>
      </w:hyperlink>
      <w:r w:rsidRPr="00980B37">
        <w:t>);</w:t>
      </w:r>
      <w:r w:rsidRPr="00FD274F">
        <w:t xml:space="preserve"> or</w:t>
      </w:r>
    </w:p>
    <w:p w14:paraId="330620F3" w14:textId="7C54AAA6" w:rsidR="00A83991" w:rsidRPr="00FD274F" w:rsidRDefault="00A83991" w:rsidP="00A83991">
      <w:pPr>
        <w:pStyle w:val="BodyPara"/>
      </w:pPr>
      <w:r w:rsidRPr="00FD274F">
        <w:t xml:space="preserve">that is intended to amend or replace an instrument that has already </w:t>
      </w:r>
      <w:proofErr w:type="spellStart"/>
      <w:r w:rsidRPr="00FD274F">
        <w:t>sunsetted</w:t>
      </w:r>
      <w:proofErr w:type="spellEnd"/>
      <w:r w:rsidRPr="00FD274F">
        <w:t xml:space="preserve"> or will sunset soon—it is necessary to consider a range of other issues (see </w:t>
      </w:r>
      <w:hyperlink w:anchor="Chapter10" w:history="1">
        <w:r w:rsidRPr="00980B37">
          <w:rPr>
            <w:rStyle w:val="Hyperlink"/>
          </w:rPr>
          <w:t>Chapter 10</w:t>
        </w:r>
      </w:hyperlink>
      <w:r w:rsidRPr="00980B37">
        <w:t>).</w:t>
      </w:r>
    </w:p>
    <w:p w14:paraId="743CD965" w14:textId="77777777" w:rsidR="0057232B" w:rsidRDefault="0057232B" w:rsidP="00A83991">
      <w:pPr>
        <w:pStyle w:val="Head2"/>
        <w:sectPr w:rsidR="0057232B" w:rsidSect="003D7DCE">
          <w:headerReference w:type="default" r:id="rId416"/>
          <w:pgSz w:w="11907" w:h="16839" w:code="9"/>
          <w:pgMar w:top="1440" w:right="1440" w:bottom="1418" w:left="1440" w:header="720" w:footer="720" w:gutter="0"/>
          <w:pgNumType w:start="59"/>
          <w:cols w:sep="1" w:space="567"/>
          <w:docGrid w:linePitch="360"/>
        </w:sectPr>
      </w:pPr>
      <w:bookmarkStart w:id="188" w:name="Chapter8"/>
    </w:p>
    <w:p w14:paraId="3FF8A618" w14:textId="16687359" w:rsidR="00A83991" w:rsidRPr="00FD274F" w:rsidRDefault="00A83991" w:rsidP="00A83991">
      <w:pPr>
        <w:pStyle w:val="Head2"/>
      </w:pPr>
      <w:bookmarkStart w:id="189" w:name="_Toc183694705"/>
      <w:r w:rsidRPr="00FD274F">
        <w:lastRenderedPageBreak/>
        <w:t>Chapter 8—Explanatory statements</w:t>
      </w:r>
      <w:bookmarkEnd w:id="189"/>
    </w:p>
    <w:bookmarkEnd w:id="188"/>
    <w:p w14:paraId="4108C23E" w14:textId="77777777" w:rsidR="00A83991" w:rsidRPr="00FD274F" w:rsidRDefault="00A83991" w:rsidP="00A83991">
      <w:pPr>
        <w:pStyle w:val="SundryBoxHeadBold"/>
      </w:pPr>
      <w:r>
        <w:t>Main points</w:t>
      </w:r>
    </w:p>
    <w:p w14:paraId="0810ACAD" w14:textId="77777777" w:rsidR="00A83991" w:rsidRPr="00FD274F" w:rsidRDefault="00A83991" w:rsidP="00A83991">
      <w:pPr>
        <w:pStyle w:val="SundryBoxBullet"/>
      </w:pPr>
      <w:r w:rsidRPr="00FD274F">
        <w:t>•</w:t>
      </w:r>
      <w:r w:rsidRPr="00FD274F">
        <w:tab/>
        <w:t>Each new legislative instrument must have an explanatory statement approved by the rule</w:t>
      </w:r>
      <w:r>
        <w:noBreakHyphen/>
      </w:r>
      <w:r w:rsidRPr="00FD274F">
        <w:t>maker, but a single statement may relate to one or more legislative instruments.</w:t>
      </w:r>
    </w:p>
    <w:p w14:paraId="02BD2EC3" w14:textId="73B556DE" w:rsidR="00A83991" w:rsidRPr="00FD274F" w:rsidRDefault="00A83991" w:rsidP="00A83991">
      <w:pPr>
        <w:pStyle w:val="SundryBoxBullet"/>
      </w:pPr>
      <w:bookmarkStart w:id="190" w:name="_Hlk183785938"/>
      <w:r w:rsidRPr="00FD274F">
        <w:t>•</w:t>
      </w:r>
      <w:r w:rsidRPr="00FD274F">
        <w:tab/>
        <w:t xml:space="preserve">An explanatory statement must contain certain information and should also </w:t>
      </w:r>
      <w:proofErr w:type="gramStart"/>
      <w:r w:rsidRPr="00FD274F">
        <w:t>take into account</w:t>
      </w:r>
      <w:proofErr w:type="gramEnd"/>
      <w:r w:rsidRPr="00FD274F">
        <w:t xml:space="preserve"> the requirements of the Federal Executive Council (</w:t>
      </w:r>
      <w:proofErr w:type="spellStart"/>
      <w:r w:rsidRPr="00FD274F">
        <w:t>ExCo</w:t>
      </w:r>
      <w:proofErr w:type="spellEnd"/>
      <w:r w:rsidRPr="00FD274F">
        <w:t>) Secretariat and of parliamentary committees if applicable.</w:t>
      </w:r>
    </w:p>
    <w:bookmarkEnd w:id="190"/>
    <w:p w14:paraId="2EB78E03" w14:textId="77777777" w:rsidR="00A83991" w:rsidRPr="00FD274F" w:rsidRDefault="00A83991" w:rsidP="00A83991">
      <w:pPr>
        <w:pStyle w:val="SundryBoxBullet"/>
      </w:pPr>
      <w:r w:rsidRPr="00FD274F">
        <w:t>•</w:t>
      </w:r>
      <w:r w:rsidRPr="00FD274F">
        <w:tab/>
        <w:t>The explanatory statement must be lodged with OPC for registration with, or as soon as practicable after, the legislative instrument to which it relates.</w:t>
      </w:r>
    </w:p>
    <w:p w14:paraId="52CFD225" w14:textId="77777777" w:rsidR="00A83991" w:rsidRPr="00FD274F" w:rsidRDefault="00A83991" w:rsidP="00A83991">
      <w:pPr>
        <w:pStyle w:val="SundryBoxBullet"/>
      </w:pPr>
      <w:r w:rsidRPr="00FD274F">
        <w:t>•</w:t>
      </w:r>
      <w:r w:rsidRPr="00FD274F">
        <w:tab/>
        <w:t>The explanatory statement is likely to attract question and comment if it is not able to be tabled with the instrument or does not meet parliamentary requirements.</w:t>
      </w:r>
    </w:p>
    <w:p w14:paraId="09BDCA1C" w14:textId="77777777" w:rsidR="00A83991" w:rsidRPr="00FD274F" w:rsidRDefault="00A83991" w:rsidP="00A83991">
      <w:pPr>
        <w:pStyle w:val="SundryBoxBullet"/>
      </w:pPr>
      <w:r w:rsidRPr="00FD274F">
        <w:t>•</w:t>
      </w:r>
      <w:r w:rsidRPr="00FD274F">
        <w:tab/>
        <w:t>If the initial explanatory statement provided by a rule</w:t>
      </w:r>
      <w:r>
        <w:noBreakHyphen/>
      </w:r>
      <w:r w:rsidRPr="00FD274F">
        <w:t>maker is incomplete or inaccurate, it may be possible to lodge a supplementary or replacement statement with OPC</w:t>
      </w:r>
      <w:r>
        <w:t xml:space="preserve"> for registration on the Register</w:t>
      </w:r>
      <w:r w:rsidRPr="00FD274F">
        <w:t>.</w:t>
      </w:r>
    </w:p>
    <w:p w14:paraId="50FF4087" w14:textId="77777777" w:rsidR="00A83991" w:rsidRPr="00FD274F" w:rsidRDefault="00A83991" w:rsidP="00A83991">
      <w:pPr>
        <w:pStyle w:val="Head3"/>
      </w:pPr>
      <w:bookmarkStart w:id="191" w:name="_Toc183694706"/>
      <w:r>
        <w:t>General</w:t>
      </w:r>
      <w:bookmarkEnd w:id="191"/>
    </w:p>
    <w:p w14:paraId="6B5B6943" w14:textId="0A388858" w:rsidR="00A83991" w:rsidRPr="00FD274F" w:rsidRDefault="00A83991" w:rsidP="00A83991">
      <w:pPr>
        <w:pStyle w:val="BodyNum"/>
      </w:pPr>
      <w:r w:rsidRPr="00FD274F">
        <w:t>Explanatory sta</w:t>
      </w:r>
      <w:r w:rsidRPr="002C0EF2">
        <w:t xml:space="preserve">tements are an important resource for readers of legislative instruments and, under section 15AB of the </w:t>
      </w:r>
      <w:hyperlink r:id="rId417" w:history="1">
        <w:hyperlink r:id="rId418" w:history="1">
          <w:r w:rsidRPr="002C0EF2">
            <w:rPr>
              <w:rStyle w:val="Hyperlink"/>
              <w:i/>
            </w:rPr>
            <w:t>Acts Interpretation Act 1901</w:t>
          </w:r>
        </w:hyperlink>
      </w:hyperlink>
      <w:r w:rsidRPr="002C0EF2">
        <w:t>,</w:t>
      </w:r>
      <w:r w:rsidRPr="00FD274F">
        <w:t xml:space="preserve"> may be used by a court to help interpret an instrument. A well</w:t>
      </w:r>
      <w:r>
        <w:noBreakHyphen/>
      </w:r>
      <w:r w:rsidRPr="00FD274F">
        <w:t>prepared explanatory statement is also desirable to facilitate:</w:t>
      </w:r>
    </w:p>
    <w:p w14:paraId="2CE21099" w14:textId="77777777" w:rsidR="00A83991" w:rsidRPr="00FD274F" w:rsidRDefault="00A83991" w:rsidP="00A83991">
      <w:pPr>
        <w:pStyle w:val="BodyPara"/>
      </w:pPr>
      <w:r w:rsidRPr="00FD274F">
        <w:t>parliamentary scrutiny of the legislative instrument; and</w:t>
      </w:r>
    </w:p>
    <w:p w14:paraId="77A38EBA" w14:textId="77777777" w:rsidR="00A83991" w:rsidRPr="00FD274F" w:rsidRDefault="00A83991" w:rsidP="00A83991">
      <w:pPr>
        <w:pStyle w:val="BodyPara"/>
      </w:pPr>
      <w:r w:rsidRPr="00FD274F">
        <w:t>compliance with the instrument by agencies and external stakeholders.</w:t>
      </w:r>
    </w:p>
    <w:p w14:paraId="58A76AE8" w14:textId="6E7693DC" w:rsidR="00A83991" w:rsidRPr="00FD274F" w:rsidRDefault="00A83991" w:rsidP="00A83991">
      <w:pPr>
        <w:pStyle w:val="BodyNum"/>
      </w:pPr>
      <w:bookmarkStart w:id="192" w:name="_Ref369784874"/>
      <w:r w:rsidRPr="00FD274F">
        <w:t xml:space="preserve">Although each legislative instrument must be accompanied by an explanatory statement, a single explanatory statement may relate to one or more legislative instruments </w:t>
      </w:r>
      <w:r w:rsidRPr="001A4E0D">
        <w:t>(</w:t>
      </w:r>
      <w:hyperlink r:id="rId419" w:history="1">
        <w:hyperlink r:id="rId420" w:history="1">
          <w:r w:rsidRPr="001A4E0D">
            <w:rPr>
              <w:rStyle w:val="Hyperlink"/>
            </w:rPr>
            <w:t>LA</w:t>
          </w:r>
        </w:hyperlink>
        <w:r w:rsidRPr="001A4E0D">
          <w:rPr>
            <w:rStyle w:val="Hyperlink"/>
          </w:rPr>
          <w:t xml:space="preserve"> </w:t>
        </w:r>
      </w:hyperlink>
      <w:r w:rsidRPr="001A4E0D">
        <w:t>s 15J(4)). T</w:t>
      </w:r>
      <w:r w:rsidRPr="00FD274F">
        <w:t>his may be appropriate if, for example, several instruments are made under the same enabling legislation at the same time. However, careful consideration should be given to the content and timing requirements outlined i</w:t>
      </w:r>
      <w:r w:rsidRPr="00411168">
        <w:t>n paragraphs</w:t>
      </w:r>
      <w:r w:rsidR="00113E26">
        <w:t xml:space="preserve"> </w:t>
      </w:r>
      <w:r w:rsidR="00113E26">
        <w:fldChar w:fldCharType="begin"/>
      </w:r>
      <w:r w:rsidR="00113E26">
        <w:instrText xml:space="preserve"> REF _Ref184284000 \r \h </w:instrText>
      </w:r>
      <w:r w:rsidR="00113E26">
        <w:fldChar w:fldCharType="separate"/>
      </w:r>
      <w:r w:rsidR="00833171">
        <w:t>274</w:t>
      </w:r>
      <w:r w:rsidR="00113E26">
        <w:fldChar w:fldCharType="end"/>
      </w:r>
      <w:r w:rsidRPr="00411168">
        <w:t xml:space="preserve"> and </w:t>
      </w:r>
      <w:r w:rsidRPr="001A4E0D">
        <w:fldChar w:fldCharType="begin"/>
      </w:r>
      <w:r w:rsidRPr="00411168">
        <w:instrText xml:space="preserve"> REF _Ref29483756 \r \h </w:instrText>
      </w:r>
      <w:r>
        <w:rPr>
          <w:highlight w:val="yellow"/>
        </w:rPr>
        <w:instrText xml:space="preserve"> \* MERGEFORMAT </w:instrText>
      </w:r>
      <w:r w:rsidRPr="001A4E0D">
        <w:fldChar w:fldCharType="separate"/>
      </w:r>
      <w:r w:rsidR="00833171">
        <w:t>301</w:t>
      </w:r>
      <w:r w:rsidRPr="001A4E0D">
        <w:fldChar w:fldCharType="end"/>
      </w:r>
      <w:r w:rsidRPr="00411168">
        <w:t>.</w:t>
      </w:r>
      <w:bookmarkEnd w:id="192"/>
    </w:p>
    <w:p w14:paraId="29BD3181" w14:textId="77777777" w:rsidR="00A83991" w:rsidRPr="00FD274F" w:rsidRDefault="00A83991" w:rsidP="00A83991">
      <w:pPr>
        <w:pStyle w:val="Head3"/>
      </w:pPr>
      <w:bookmarkStart w:id="193" w:name="_Toc183694707"/>
      <w:r>
        <w:t xml:space="preserve">Responsibility </w:t>
      </w:r>
      <w:r w:rsidRPr="00FD274F">
        <w:t>for approving explanatory statements</w:t>
      </w:r>
      <w:bookmarkEnd w:id="193"/>
    </w:p>
    <w:p w14:paraId="5A20F8EE" w14:textId="30BF4BD1" w:rsidR="00A83991" w:rsidRPr="00FD274F" w:rsidRDefault="00A83991" w:rsidP="00A83991">
      <w:pPr>
        <w:pStyle w:val="BodyNum"/>
      </w:pPr>
      <w:r w:rsidRPr="00FD274F">
        <w:t>Agencies must ensure that any explanatory statement that they lodge in relation to an instrument has been approved by the relevant rule</w:t>
      </w:r>
      <w:r>
        <w:noBreakHyphen/>
      </w:r>
      <w:r w:rsidRPr="00FD274F">
        <w:t xml:space="preserve">maker as required by </w:t>
      </w:r>
      <w:r w:rsidRPr="001A4E0D">
        <w:t xml:space="preserve">section 15J of the </w:t>
      </w:r>
      <w:hyperlink r:id="rId421" w:history="1">
        <w:hyperlink r:id="rId422" w:history="1">
          <w:r w:rsidRPr="001A4E0D">
            <w:rPr>
              <w:rStyle w:val="Hyperlink"/>
            </w:rPr>
            <w:t>LA</w:t>
          </w:r>
        </w:hyperlink>
      </w:hyperlink>
      <w:r w:rsidRPr="001A4E0D">
        <w:t>. It is usua</w:t>
      </w:r>
      <w:r w:rsidRPr="00FD274F">
        <w:t>l to submit explanatory statements to rule</w:t>
      </w:r>
      <w:r>
        <w:noBreakHyphen/>
      </w:r>
      <w:r w:rsidRPr="00FD274F">
        <w:t xml:space="preserve">makers at the same time as the legislative instruments that they explain so that all related documents can be lodged, </w:t>
      </w:r>
      <w:r>
        <w:t>registered and tabled together.</w:t>
      </w:r>
    </w:p>
    <w:p w14:paraId="3DFA9ED9" w14:textId="35CC5171" w:rsidR="00A83991" w:rsidRPr="00FD274F" w:rsidRDefault="00A83991" w:rsidP="00A83991">
      <w:pPr>
        <w:pStyle w:val="BodyNum"/>
        <w:keepLines/>
      </w:pPr>
      <w:r w:rsidRPr="00FD274F">
        <w:lastRenderedPageBreak/>
        <w:t>In the case of a legislative instrument made by the Governor</w:t>
      </w:r>
      <w:r>
        <w:noBreakHyphen/>
      </w:r>
      <w:r w:rsidRPr="00FD274F">
        <w:t>General, the explanatory statement can be approved by the relevant Minis</w:t>
      </w:r>
      <w:r w:rsidRPr="00277499">
        <w:t xml:space="preserve">ter (see </w:t>
      </w:r>
      <w:hyperlink r:id="rId423" w:history="1">
        <w:r w:rsidRPr="00277499">
          <w:rPr>
            <w:rStyle w:val="Hyperlink"/>
          </w:rPr>
          <w:t>LA</w:t>
        </w:r>
      </w:hyperlink>
      <w:r w:rsidRPr="00277499">
        <w:rPr>
          <w:rStyle w:val="Hyperlink"/>
        </w:rPr>
        <w:t xml:space="preserve"> </w:t>
      </w:r>
      <w:r w:rsidRPr="00277499">
        <w:t>s 6(1)(a)).</w:t>
      </w:r>
      <w:r w:rsidRPr="00FD274F">
        <w:t xml:space="preserve"> The explanatory statement does not generally need to be submitted to </w:t>
      </w:r>
      <w:proofErr w:type="spellStart"/>
      <w:proofErr w:type="gramStart"/>
      <w:r w:rsidRPr="00FD274F">
        <w:t>ExCo</w:t>
      </w:r>
      <w:proofErr w:type="spellEnd"/>
      <w:r w:rsidRPr="00FD274F">
        <w:t>, and</w:t>
      </w:r>
      <w:proofErr w:type="gramEnd"/>
      <w:r w:rsidRPr="00FD274F">
        <w:t xml:space="preserve"> should not be confused with the explanatory memorandum that is required for </w:t>
      </w:r>
      <w:proofErr w:type="spellStart"/>
      <w:r w:rsidRPr="00FD274F">
        <w:t>ExCo</w:t>
      </w:r>
      <w:proofErr w:type="spellEnd"/>
      <w:r w:rsidRPr="00FD274F">
        <w:t xml:space="preserve"> purposes</w:t>
      </w:r>
      <w:r w:rsidRPr="00277499">
        <w:t xml:space="preserve">. For further information on </w:t>
      </w:r>
      <w:proofErr w:type="spellStart"/>
      <w:r w:rsidRPr="00277499">
        <w:t>ExCo</w:t>
      </w:r>
      <w:proofErr w:type="spellEnd"/>
      <w:r w:rsidRPr="00277499">
        <w:t xml:space="preserve"> requirements and processes, see the Federal Executive Council Handbook</w:t>
      </w:r>
      <w:r w:rsidRPr="00277499">
        <w:rPr>
          <w:rStyle w:val="FootnoteReference"/>
        </w:rPr>
        <w:footnoteReference w:id="26"/>
      </w:r>
      <w:r w:rsidRPr="00277499">
        <w:t>.</w:t>
      </w:r>
    </w:p>
    <w:p w14:paraId="52ACC33F" w14:textId="77777777" w:rsidR="00A83991" w:rsidRPr="00FD274F" w:rsidRDefault="00A83991" w:rsidP="00A83991">
      <w:pPr>
        <w:pStyle w:val="Head3"/>
      </w:pPr>
      <w:bookmarkStart w:id="194" w:name="_Toc183694708"/>
      <w:r>
        <w:t>Content of</w:t>
      </w:r>
      <w:r w:rsidRPr="00FD274F">
        <w:t xml:space="preserve"> explanatory statements</w:t>
      </w:r>
      <w:bookmarkEnd w:id="194"/>
    </w:p>
    <w:p w14:paraId="48CB2E9D" w14:textId="77777777" w:rsidR="00A83991" w:rsidRPr="00FD274F" w:rsidRDefault="00A83991" w:rsidP="00A83991">
      <w:pPr>
        <w:pStyle w:val="BodyNum"/>
      </w:pPr>
      <w:r w:rsidRPr="00FD274F">
        <w:t>The explanatory statement for an instrument should be as clear and helpful as possible. The more complex the instrument, the more extensive the explanatory statement needs to be to achieve this.</w:t>
      </w:r>
    </w:p>
    <w:p w14:paraId="35C81800" w14:textId="77777777" w:rsidR="00A83991" w:rsidRPr="00FD274F" w:rsidRDefault="00A83991" w:rsidP="00A83991">
      <w:pPr>
        <w:pStyle w:val="BodyNum"/>
      </w:pPr>
      <w:bookmarkStart w:id="195" w:name="_Ref367446445"/>
      <w:r w:rsidRPr="00FD274F">
        <w:t>To make it easy to identify an explanatory statement and the instrument that it explains, it is usual to present the following information at the top of the first page:</w:t>
      </w:r>
    </w:p>
    <w:p w14:paraId="584D7F1B" w14:textId="77777777" w:rsidR="00A83991" w:rsidRPr="00FD274F" w:rsidRDefault="00A83991" w:rsidP="00A83991">
      <w:pPr>
        <w:pStyle w:val="BodyPara"/>
      </w:pPr>
      <w:r w:rsidRPr="00FD274F">
        <w:t>the name of the document e.g. “Explanatory Statement” (if necessary prefaced by the words “Replacement” or “Supplementary”); and</w:t>
      </w:r>
    </w:p>
    <w:p w14:paraId="3012171C" w14:textId="77777777" w:rsidR="00A83991" w:rsidRPr="00FD274F" w:rsidRDefault="00A83991" w:rsidP="00A83991">
      <w:pPr>
        <w:pStyle w:val="BodyPara"/>
      </w:pPr>
      <w:r w:rsidRPr="00FD274F">
        <w:t>the complete name of the instrument to which the statement relates, as specified in the instrument.</w:t>
      </w:r>
    </w:p>
    <w:p w14:paraId="410D6104" w14:textId="3A9E48DD" w:rsidR="00A83991" w:rsidRPr="00FD274F" w:rsidRDefault="00A83991" w:rsidP="00A83991">
      <w:pPr>
        <w:pStyle w:val="BodyNum"/>
      </w:pPr>
      <w:bookmarkStart w:id="196" w:name="_Ref184284000"/>
      <w:r w:rsidRPr="00FD274F">
        <w:t>When it comes to the content of the statement, se</w:t>
      </w:r>
      <w:r w:rsidRPr="00277499">
        <w:t xml:space="preserve">ction 15J of the </w:t>
      </w:r>
      <w:hyperlink r:id="rId424" w:history="1">
        <w:hyperlink r:id="rId425" w:history="1">
          <w:r w:rsidRPr="00277499">
            <w:rPr>
              <w:rStyle w:val="Hyperlink"/>
            </w:rPr>
            <w:t>LA</w:t>
          </w:r>
        </w:hyperlink>
        <w:r w:rsidRPr="00277499">
          <w:rPr>
            <w:rStyle w:val="Hyperlink"/>
          </w:rPr>
          <w:t xml:space="preserve"> </w:t>
        </w:r>
      </w:hyperlink>
      <w:r w:rsidRPr="00277499">
        <w:t>s</w:t>
      </w:r>
      <w:r w:rsidRPr="00FD274F">
        <w:t>ets out the minimum standards in some detail. An initial or replacement explanatory statement must:</w:t>
      </w:r>
      <w:bookmarkEnd w:id="196"/>
    </w:p>
    <w:bookmarkEnd w:id="195"/>
    <w:p w14:paraId="394FBA1C" w14:textId="77777777" w:rsidR="00A83991" w:rsidRPr="00FD274F" w:rsidRDefault="00A83991" w:rsidP="00A83991">
      <w:pPr>
        <w:pStyle w:val="BodyPara"/>
      </w:pPr>
      <w:r w:rsidRPr="00FD274F">
        <w:t>be approved by the rule</w:t>
      </w:r>
      <w:r>
        <w:noBreakHyphen/>
      </w:r>
      <w:r w:rsidRPr="00FD274F">
        <w:t>maker; and</w:t>
      </w:r>
    </w:p>
    <w:p w14:paraId="42A38DFA" w14:textId="77777777" w:rsidR="00A83991" w:rsidRPr="00FD274F" w:rsidRDefault="00A83991" w:rsidP="00A83991">
      <w:pPr>
        <w:pStyle w:val="BodyPara"/>
      </w:pPr>
      <w:r w:rsidRPr="00FD274F">
        <w:t>explain the purpose and operation of the instrument; and</w:t>
      </w:r>
    </w:p>
    <w:p w14:paraId="178A8671" w14:textId="77777777" w:rsidR="00A83991" w:rsidRPr="00FD274F" w:rsidRDefault="00A83991" w:rsidP="00A83991">
      <w:pPr>
        <w:pStyle w:val="BodyPara"/>
      </w:pPr>
      <w:r w:rsidRPr="00FD274F">
        <w:t>if any documents are incorporated in the instrument by reference—contain a description of the incorporated documents and indicate how they may be obtained; and</w:t>
      </w:r>
    </w:p>
    <w:p w14:paraId="38544FA1" w14:textId="616B45B8" w:rsidR="00A83991" w:rsidRPr="00FD274F" w:rsidRDefault="00A83991" w:rsidP="00A83991">
      <w:pPr>
        <w:pStyle w:val="BodyPara"/>
      </w:pPr>
      <w:r w:rsidRPr="00FD274F">
        <w:t>if consultation was undertaken under s</w:t>
      </w:r>
      <w:r w:rsidRPr="00277499">
        <w:t xml:space="preserve">ection 17 of the </w:t>
      </w:r>
      <w:hyperlink r:id="rId426" w:history="1">
        <w:hyperlink r:id="rId427" w:history="1">
          <w:r w:rsidRPr="00277499">
            <w:rPr>
              <w:rStyle w:val="Hyperlink"/>
            </w:rPr>
            <w:t>LA</w:t>
          </w:r>
        </w:hyperlink>
        <w:r w:rsidRPr="00277499">
          <w:rPr>
            <w:rStyle w:val="Hyperlink"/>
          </w:rPr>
          <w:t xml:space="preserve"> </w:t>
        </w:r>
      </w:hyperlink>
      <w:r w:rsidRPr="00277499">
        <w:t>b</w:t>
      </w:r>
      <w:r w:rsidRPr="00FD274F">
        <w:t>efore the instrument was made—contain a description of the nature of the consultation; and</w:t>
      </w:r>
    </w:p>
    <w:p w14:paraId="157F9E45" w14:textId="77777777" w:rsidR="00A83991" w:rsidRPr="00FD274F" w:rsidRDefault="00A83991" w:rsidP="00A83991">
      <w:pPr>
        <w:pStyle w:val="BodyPara"/>
      </w:pPr>
      <w:r w:rsidRPr="00FD274F">
        <w:t>if no such consultation was undertaken—explain why no such consultation was undertaken; and</w:t>
      </w:r>
    </w:p>
    <w:p w14:paraId="5BE77B2E" w14:textId="6B5E8CF7" w:rsidR="00A83991" w:rsidRPr="00FD274F" w:rsidRDefault="00A83991" w:rsidP="00A83991">
      <w:pPr>
        <w:pStyle w:val="BodyPara"/>
      </w:pPr>
      <w:r w:rsidRPr="00FD274F">
        <w:t>if the instrument is disallowable—contain a statement of compatibility prepared unde</w:t>
      </w:r>
      <w:r w:rsidRPr="00277499">
        <w:t xml:space="preserve">r subsection 9(1) of the </w:t>
      </w:r>
      <w:hyperlink r:id="rId428" w:history="1">
        <w:r w:rsidRPr="00277499">
          <w:rPr>
            <w:rStyle w:val="Hyperlink"/>
            <w:i/>
          </w:rPr>
          <w:t>Human Rights (Parliamentary Scrutiny) Act 2011</w:t>
        </w:r>
      </w:hyperlink>
      <w:r w:rsidRPr="00277499">
        <w:t>; and</w:t>
      </w:r>
    </w:p>
    <w:p w14:paraId="5A6D83CD" w14:textId="77777777" w:rsidR="00A83991" w:rsidRPr="00ED449C" w:rsidRDefault="00A83991" w:rsidP="00A83991">
      <w:pPr>
        <w:pStyle w:val="BodyPara"/>
        <w:rPr>
          <w:spacing w:val="-2"/>
        </w:rPr>
      </w:pPr>
      <w:r w:rsidRPr="00ED449C">
        <w:rPr>
          <w:spacing w:val="-2"/>
        </w:rPr>
        <w:t>contain any other information prescribed by regulation.</w:t>
      </w:r>
    </w:p>
    <w:p w14:paraId="3666457C" w14:textId="767CD01E" w:rsidR="00A83991" w:rsidRPr="00D35347" w:rsidRDefault="00A83991" w:rsidP="00A83991">
      <w:pPr>
        <w:pStyle w:val="BodyNum"/>
        <w:rPr>
          <w:spacing w:val="-2"/>
        </w:rPr>
      </w:pPr>
      <w:r w:rsidRPr="00D35347">
        <w:t xml:space="preserve">An </w:t>
      </w:r>
      <w:r>
        <w:t xml:space="preserve">Act may prescribe certain information that must be included in an </w:t>
      </w:r>
      <w:r w:rsidRPr="00D35347">
        <w:t>explanatory statement</w:t>
      </w:r>
      <w:r w:rsidRPr="00D35347">
        <w:rPr>
          <w:spacing w:val="-2"/>
        </w:rPr>
        <w:t>, for examp</w:t>
      </w:r>
      <w:r w:rsidRPr="00277499">
        <w:rPr>
          <w:spacing w:val="-2"/>
        </w:rPr>
        <w:t xml:space="preserve">le </w:t>
      </w:r>
      <w:hyperlink r:id="rId429" w:history="1">
        <w:hyperlink r:id="rId430" w:history="1">
          <w:r w:rsidRPr="00277499">
            <w:rPr>
              <w:rStyle w:val="Hyperlink"/>
            </w:rPr>
            <w:t>LA</w:t>
          </w:r>
        </w:hyperlink>
        <w:r w:rsidRPr="00277499">
          <w:rPr>
            <w:rStyle w:val="Hyperlink"/>
          </w:rPr>
          <w:t xml:space="preserve"> </w:t>
        </w:r>
      </w:hyperlink>
      <w:r w:rsidRPr="00277499">
        <w:rPr>
          <w:spacing w:val="-2"/>
        </w:rPr>
        <w:t>s 51(5) and 51A(4).</w:t>
      </w:r>
    </w:p>
    <w:p w14:paraId="0C84831C" w14:textId="77777777" w:rsidR="00A83991" w:rsidRPr="00FD274F" w:rsidRDefault="00A83991" w:rsidP="00A83991">
      <w:pPr>
        <w:pStyle w:val="BodyNum"/>
      </w:pPr>
      <w:r w:rsidRPr="00FD274F">
        <w:lastRenderedPageBreak/>
        <w:t>A supplementary explanatory statement must also be approved by the rule</w:t>
      </w:r>
      <w:r>
        <w:noBreakHyphen/>
      </w:r>
      <w:r w:rsidRPr="00FD274F">
        <w:t>maker and must contain any other information prescribed by regula</w:t>
      </w:r>
      <w:r>
        <w:t>tion.</w:t>
      </w:r>
    </w:p>
    <w:p w14:paraId="52A69393" w14:textId="7C2F53CA" w:rsidR="00A83991" w:rsidRPr="00FD274F" w:rsidRDefault="00A83991" w:rsidP="00A83991">
      <w:pPr>
        <w:pStyle w:val="BodyNum"/>
      </w:pPr>
      <w:r w:rsidRPr="00FD274F">
        <w:t>It may be necessary or desirable to include other content to provide assurance that key legal requirements or issues have been considere</w:t>
      </w:r>
      <w:r w:rsidRPr="00B53AAE">
        <w:t xml:space="preserve">d, and to facilitate parliamentary scrutiny. Other content considerations are discussed in paragraphs </w:t>
      </w:r>
      <w:r w:rsidRPr="00277499">
        <w:fldChar w:fldCharType="begin"/>
      </w:r>
      <w:r w:rsidRPr="00B53AAE">
        <w:instrText xml:space="preserve"> REF _Ref369786489 \r \h  \* MERGEFORMAT </w:instrText>
      </w:r>
      <w:r w:rsidRPr="00277499">
        <w:fldChar w:fldCharType="separate"/>
      </w:r>
      <w:r w:rsidR="00833171">
        <w:t>285</w:t>
      </w:r>
      <w:r w:rsidRPr="00277499">
        <w:fldChar w:fldCharType="end"/>
      </w:r>
      <w:r w:rsidRPr="00B53AAE">
        <w:t xml:space="preserve"> to </w:t>
      </w:r>
      <w:r w:rsidRPr="00277499">
        <w:fldChar w:fldCharType="begin"/>
      </w:r>
      <w:r w:rsidRPr="00B53AAE">
        <w:instrText xml:space="preserve"> REF _Ref384355454 \r \h </w:instrText>
      </w:r>
      <w:r>
        <w:rPr>
          <w:highlight w:val="yellow"/>
        </w:rPr>
        <w:instrText xml:space="preserve"> \* MERGEFORMAT </w:instrText>
      </w:r>
      <w:r w:rsidRPr="00277499">
        <w:fldChar w:fldCharType="separate"/>
      </w:r>
      <w:r w:rsidR="00833171">
        <w:t>300</w:t>
      </w:r>
      <w:r w:rsidRPr="00277499">
        <w:fldChar w:fldCharType="end"/>
      </w:r>
      <w:r w:rsidRPr="00B53AAE">
        <w:t>.</w:t>
      </w:r>
    </w:p>
    <w:p w14:paraId="5B785667" w14:textId="77777777" w:rsidR="00A83991" w:rsidRPr="00FD274F" w:rsidRDefault="00A83991" w:rsidP="00A83991">
      <w:pPr>
        <w:pStyle w:val="Head4"/>
      </w:pPr>
      <w:bookmarkStart w:id="197" w:name="_Toc183694709"/>
      <w:r w:rsidRPr="00FD274F">
        <w:t>Purpose and operation of instrument</w:t>
      </w:r>
      <w:bookmarkEnd w:id="197"/>
    </w:p>
    <w:p w14:paraId="32978BC1" w14:textId="77777777" w:rsidR="00A83991" w:rsidRPr="00FD274F" w:rsidRDefault="00A83991" w:rsidP="00A83991">
      <w:pPr>
        <w:pStyle w:val="BodyNum"/>
      </w:pPr>
      <w:r w:rsidRPr="00FD274F">
        <w:t>The explanatory statement should contain sufficient information to enable readers to understand the need for the instrument, its objectives and its intended operation. As a guide, it is desirable for the statement to include the following information:</w:t>
      </w:r>
    </w:p>
    <w:p w14:paraId="7AD938E3" w14:textId="77777777" w:rsidR="00A83991" w:rsidRPr="00FD274F" w:rsidRDefault="00A83991" w:rsidP="00A83991">
      <w:pPr>
        <w:pStyle w:val="BodyPara"/>
      </w:pPr>
      <w:r w:rsidRPr="00FD274F">
        <w:t xml:space="preserve">the issues giving rise to the need for the legislative </w:t>
      </w:r>
      <w:proofErr w:type="gramStart"/>
      <w:r w:rsidRPr="00FD274F">
        <w:t>instrument;</w:t>
      </w:r>
      <w:proofErr w:type="gramEnd"/>
    </w:p>
    <w:p w14:paraId="7A684B21" w14:textId="77777777" w:rsidR="00A83991" w:rsidRPr="00FD274F" w:rsidRDefault="00A83991" w:rsidP="00A83991">
      <w:pPr>
        <w:pStyle w:val="BodyPara"/>
      </w:pPr>
      <w:r w:rsidRPr="00FD274F">
        <w:t xml:space="preserve">why legislation is necessary to address the </w:t>
      </w:r>
      <w:proofErr w:type="gramStart"/>
      <w:r w:rsidRPr="00FD274F">
        <w:t>issues;</w:t>
      </w:r>
      <w:proofErr w:type="gramEnd"/>
    </w:p>
    <w:p w14:paraId="0E173C22" w14:textId="77777777" w:rsidR="00A83991" w:rsidRPr="00FD274F" w:rsidRDefault="00A83991" w:rsidP="00A83991">
      <w:pPr>
        <w:pStyle w:val="BodyPara"/>
      </w:pPr>
      <w:r w:rsidRPr="00FD274F">
        <w:t>an explanation of how the instrument is intended to operate, and its likely impact.</w:t>
      </w:r>
    </w:p>
    <w:p w14:paraId="2C6AA3AB" w14:textId="43E121F5" w:rsidR="00A83991" w:rsidRPr="00FD274F" w:rsidRDefault="00A83991" w:rsidP="00A83991">
      <w:pPr>
        <w:pStyle w:val="BodyNum"/>
      </w:pPr>
      <w:bookmarkStart w:id="198" w:name="_Ref369785034"/>
      <w:r w:rsidRPr="00FD274F">
        <w:t>Althoug</w:t>
      </w:r>
      <w:r w:rsidRPr="00277499">
        <w:t xml:space="preserve">h the </w:t>
      </w:r>
      <w:hyperlink r:id="rId431" w:history="1">
        <w:r w:rsidRPr="00277499">
          <w:rPr>
            <w:rStyle w:val="Hyperlink"/>
          </w:rPr>
          <w:t>LA</w:t>
        </w:r>
      </w:hyperlink>
      <w:r w:rsidRPr="00277499">
        <w:t xml:space="preserve"> d</w:t>
      </w:r>
      <w:r w:rsidRPr="00FD274F">
        <w:t>oes not insist on a provision</w:t>
      </w:r>
      <w:r>
        <w:noBreakHyphen/>
      </w:r>
      <w:r w:rsidRPr="00FD274F">
        <w:t>by</w:t>
      </w:r>
      <w:r>
        <w:noBreakHyphen/>
      </w:r>
      <w:r w:rsidRPr="00FD274F">
        <w:t>provision explanation, this is often useful and may be necessary to meet the needs of users</w:t>
      </w:r>
      <w:r>
        <w:t>,</w:t>
      </w:r>
      <w:r w:rsidRPr="00FD274F">
        <w:t xml:space="preserve"> particularly scrutiny bodies such as </w:t>
      </w:r>
      <w:r>
        <w:t xml:space="preserve">the SDLC </w:t>
      </w:r>
      <w:r w:rsidRPr="00FD274F">
        <w:t>(</w:t>
      </w:r>
      <w:r w:rsidRPr="00CE7008">
        <w:t xml:space="preserve">see paragraphs </w:t>
      </w:r>
      <w:r w:rsidRPr="00277499">
        <w:fldChar w:fldCharType="begin"/>
      </w:r>
      <w:r w:rsidRPr="00CE7008">
        <w:instrText xml:space="preserve"> REF _Ref36029834 \r \h </w:instrText>
      </w:r>
      <w:r>
        <w:rPr>
          <w:highlight w:val="yellow"/>
        </w:rPr>
        <w:instrText xml:space="preserve"> \* MERGEFORMAT </w:instrText>
      </w:r>
      <w:r w:rsidRPr="00277499">
        <w:fldChar w:fldCharType="separate"/>
      </w:r>
      <w:r w:rsidR="00833171">
        <w:t>289</w:t>
      </w:r>
      <w:r w:rsidRPr="00277499">
        <w:fldChar w:fldCharType="end"/>
      </w:r>
      <w:r w:rsidRPr="00CE7008">
        <w:t xml:space="preserve"> to </w:t>
      </w:r>
      <w:r w:rsidRPr="00277499">
        <w:fldChar w:fldCharType="begin"/>
      </w:r>
      <w:r w:rsidRPr="00CE7008">
        <w:instrText xml:space="preserve"> REF _Ref36029839 \r \h </w:instrText>
      </w:r>
      <w:r>
        <w:rPr>
          <w:highlight w:val="yellow"/>
        </w:rPr>
        <w:instrText xml:space="preserve"> \* MERGEFORMAT </w:instrText>
      </w:r>
      <w:r w:rsidRPr="00277499">
        <w:fldChar w:fldCharType="separate"/>
      </w:r>
      <w:r w:rsidR="00833171">
        <w:t>293</w:t>
      </w:r>
      <w:r w:rsidRPr="00277499">
        <w:fldChar w:fldCharType="end"/>
      </w:r>
      <w:r w:rsidRPr="00CE7008">
        <w:t>).</w:t>
      </w:r>
    </w:p>
    <w:p w14:paraId="12159D42" w14:textId="77777777" w:rsidR="00A83991" w:rsidRPr="00FD274F" w:rsidRDefault="00A83991" w:rsidP="00A83991">
      <w:pPr>
        <w:pStyle w:val="Head4"/>
      </w:pPr>
      <w:bookmarkStart w:id="199" w:name="_Toc183694710"/>
      <w:bookmarkEnd w:id="198"/>
      <w:r w:rsidRPr="00FD274F">
        <w:t>Documents incorporated by reference</w:t>
      </w:r>
      <w:bookmarkEnd w:id="199"/>
    </w:p>
    <w:p w14:paraId="623EA10D" w14:textId="07B39671" w:rsidR="00A83991" w:rsidRPr="00277499" w:rsidRDefault="00A83991" w:rsidP="00A83991">
      <w:pPr>
        <w:pStyle w:val="BodyNum"/>
      </w:pPr>
      <w:r w:rsidRPr="00FD274F">
        <w:t>If an instrument incorporates a document by reference</w:t>
      </w:r>
      <w:r>
        <w:t xml:space="preserve"> and </w:t>
      </w:r>
      <w:r w:rsidRPr="00FD274F">
        <w:t>the document is not a Commonwealth Act or legislative instrument, the explanatory statement must describe each document that has been incorporated and indicate how the document may be obtaine</w:t>
      </w:r>
      <w:r w:rsidRPr="00277499">
        <w:t>d (</w:t>
      </w:r>
      <w:hyperlink r:id="rId432" w:history="1">
        <w:hyperlink r:id="rId433" w:history="1">
          <w:hyperlink r:id="rId434" w:history="1">
            <w:r w:rsidRPr="00277499">
              <w:rPr>
                <w:rStyle w:val="Hyperlink"/>
              </w:rPr>
              <w:t>LA</w:t>
            </w:r>
          </w:hyperlink>
          <w:r w:rsidRPr="00277499">
            <w:rPr>
              <w:rStyle w:val="Hyperlink"/>
            </w:rPr>
            <w:t xml:space="preserve"> </w:t>
          </w:r>
        </w:hyperlink>
      </w:hyperlink>
      <w:r w:rsidRPr="00277499">
        <w:t>s 15J(2)(c)). In describing such documents, the explanatory statement should:</w:t>
      </w:r>
    </w:p>
    <w:p w14:paraId="17B552C8" w14:textId="77777777" w:rsidR="00A83991" w:rsidRPr="00FD274F" w:rsidRDefault="00A83991" w:rsidP="00A83991">
      <w:pPr>
        <w:pStyle w:val="BodyPara"/>
      </w:pPr>
      <w:r w:rsidRPr="00FD274F">
        <w:t>state whether the document is incorporated as in force from time to time or as at a particular time; and</w:t>
      </w:r>
    </w:p>
    <w:p w14:paraId="22357B14" w14:textId="77777777" w:rsidR="00A83991" w:rsidRPr="00ED449C" w:rsidRDefault="00A83991" w:rsidP="00A83991">
      <w:pPr>
        <w:pStyle w:val="BodyPara"/>
        <w:rPr>
          <w:spacing w:val="-4"/>
        </w:rPr>
      </w:pPr>
      <w:r w:rsidRPr="00ED449C">
        <w:rPr>
          <w:spacing w:val="-4"/>
        </w:rPr>
        <w:t>if the document is incorporated as in force at a particular time—state the time; and</w:t>
      </w:r>
    </w:p>
    <w:p w14:paraId="78BF7F7C" w14:textId="0F9F2B05" w:rsidR="00A83991" w:rsidRDefault="00A83991" w:rsidP="00A83991">
      <w:pPr>
        <w:pStyle w:val="BodyPara"/>
      </w:pPr>
      <w:r w:rsidRPr="00FD274F">
        <w:t>if the document is incorporated as in force from time to time—comment on the application of subsectio</w:t>
      </w:r>
      <w:r w:rsidRPr="00277499">
        <w:t xml:space="preserve">n 14(2) of the </w:t>
      </w:r>
      <w:hyperlink r:id="rId435" w:history="1">
        <w:r w:rsidRPr="00277499">
          <w:rPr>
            <w:rStyle w:val="Hyperlink"/>
          </w:rPr>
          <w:t>LA</w:t>
        </w:r>
      </w:hyperlink>
      <w:r w:rsidRPr="00FD274F">
        <w:t xml:space="preserve"> and mention any contrary provision in the enabling legislation that displaces it</w:t>
      </w:r>
      <w:r>
        <w:t>; and</w:t>
      </w:r>
    </w:p>
    <w:p w14:paraId="658AB45A" w14:textId="77777777" w:rsidR="00A83991" w:rsidRPr="00FD274F" w:rsidRDefault="00A83991" w:rsidP="00A83991">
      <w:pPr>
        <w:pStyle w:val="BodyPara"/>
      </w:pPr>
      <w:r>
        <w:t>indicate where the document may be freely accessed and used by members of the public</w:t>
      </w:r>
      <w:r w:rsidRPr="00FD274F">
        <w:t>.</w:t>
      </w:r>
    </w:p>
    <w:p w14:paraId="1535C7BA" w14:textId="77777777" w:rsidR="00A83991" w:rsidRPr="00FD274F" w:rsidRDefault="00A83991" w:rsidP="00A83991">
      <w:pPr>
        <w:pStyle w:val="BodyNum"/>
      </w:pPr>
      <w:r w:rsidRPr="00FD274F">
        <w:t>If an instrument does not incorporate a document by reference, a statement in the explanatory statement indicating this can assist in exp</w:t>
      </w:r>
      <w:r>
        <w:t>editing parliamentary scrutiny.</w:t>
      </w:r>
    </w:p>
    <w:p w14:paraId="4B3BD4AE" w14:textId="70C02EE1" w:rsidR="00A83991" w:rsidRPr="00FD274F" w:rsidRDefault="00A83991" w:rsidP="00A83991">
      <w:pPr>
        <w:pStyle w:val="BodyNum"/>
      </w:pPr>
      <w:r w:rsidRPr="00FD274F">
        <w:t>Please refer to parag</w:t>
      </w:r>
      <w:r w:rsidRPr="00124F91">
        <w:t xml:space="preserve">raphs </w:t>
      </w:r>
      <w:r w:rsidRPr="00277499">
        <w:fldChar w:fldCharType="begin"/>
      </w:r>
      <w:r w:rsidRPr="00124F91">
        <w:instrText xml:space="preserve"> REF _Ref428882029 \r \h  \* MERGEFORMAT </w:instrText>
      </w:r>
      <w:r w:rsidRPr="00277499">
        <w:fldChar w:fldCharType="separate"/>
      </w:r>
      <w:r w:rsidR="00833171">
        <w:t>96</w:t>
      </w:r>
      <w:r w:rsidRPr="00277499">
        <w:fldChar w:fldCharType="end"/>
      </w:r>
      <w:r w:rsidRPr="00124F91">
        <w:t xml:space="preserve"> to </w:t>
      </w:r>
      <w:r w:rsidR="00584337">
        <w:fldChar w:fldCharType="begin"/>
      </w:r>
      <w:r w:rsidR="00584337">
        <w:instrText xml:space="preserve"> REF _Ref184283646 \r \h </w:instrText>
      </w:r>
      <w:r w:rsidR="00584337">
        <w:fldChar w:fldCharType="separate"/>
      </w:r>
      <w:r w:rsidR="00833171">
        <w:t>101</w:t>
      </w:r>
      <w:r w:rsidR="00584337">
        <w:fldChar w:fldCharType="end"/>
      </w:r>
      <w:r w:rsidRPr="00124F91">
        <w:t xml:space="preserve">, </w:t>
      </w:r>
      <w:r w:rsidRPr="00277499">
        <w:fldChar w:fldCharType="begin"/>
      </w:r>
      <w:r w:rsidRPr="00124F91">
        <w:instrText xml:space="preserve"> REF _Ref36030145 \r \h </w:instrText>
      </w:r>
      <w:r>
        <w:rPr>
          <w:highlight w:val="yellow"/>
        </w:rPr>
        <w:instrText xml:space="preserve"> \* MERGEFORMAT </w:instrText>
      </w:r>
      <w:r w:rsidRPr="00277499">
        <w:fldChar w:fldCharType="separate"/>
      </w:r>
      <w:r w:rsidR="00833171">
        <w:t>291</w:t>
      </w:r>
      <w:r w:rsidRPr="00277499">
        <w:fldChar w:fldCharType="end"/>
      </w:r>
      <w:r w:rsidRPr="00124F91">
        <w:t xml:space="preserve">, </w:t>
      </w:r>
      <w:r w:rsidR="00584337">
        <w:fldChar w:fldCharType="begin"/>
      </w:r>
      <w:r w:rsidR="00584337">
        <w:instrText xml:space="preserve"> REF _Ref435530013 \r \h </w:instrText>
      </w:r>
      <w:r w:rsidR="00584337">
        <w:fldChar w:fldCharType="separate"/>
      </w:r>
      <w:r w:rsidR="00833171">
        <w:t>318</w:t>
      </w:r>
      <w:r w:rsidR="00584337">
        <w:fldChar w:fldCharType="end"/>
      </w:r>
      <w:r w:rsidR="00584337">
        <w:t xml:space="preserve"> and </w:t>
      </w:r>
      <w:r w:rsidRPr="00277499">
        <w:fldChar w:fldCharType="begin"/>
      </w:r>
      <w:r w:rsidRPr="00124F91">
        <w:instrText xml:space="preserve"> REF _Ref435530018 \r \h  \* MERGEFORMAT </w:instrText>
      </w:r>
      <w:r w:rsidRPr="00277499">
        <w:fldChar w:fldCharType="separate"/>
      </w:r>
      <w:r w:rsidR="00833171">
        <w:t>319</w:t>
      </w:r>
      <w:r w:rsidRPr="00277499">
        <w:fldChar w:fldCharType="end"/>
      </w:r>
      <w:r w:rsidRPr="00FD274F">
        <w:t xml:space="preserve"> for further information on documents incorporated by reference.</w:t>
      </w:r>
    </w:p>
    <w:p w14:paraId="515AF432" w14:textId="77777777" w:rsidR="00A83991" w:rsidRPr="00FD274F" w:rsidRDefault="00A83991" w:rsidP="00A83991">
      <w:pPr>
        <w:pStyle w:val="Head4"/>
      </w:pPr>
      <w:bookmarkStart w:id="200" w:name="_Toc183694711"/>
      <w:r w:rsidRPr="00FD274F">
        <w:lastRenderedPageBreak/>
        <w:t>Consultation</w:t>
      </w:r>
      <w:bookmarkEnd w:id="200"/>
    </w:p>
    <w:p w14:paraId="29570BF7" w14:textId="4E2CA09A" w:rsidR="00A83991" w:rsidRPr="00AB5E02" w:rsidRDefault="00A83991" w:rsidP="00A83991">
      <w:pPr>
        <w:pStyle w:val="BodyNum"/>
        <w:rPr>
          <w:spacing w:val="-2"/>
        </w:rPr>
      </w:pPr>
      <w:r w:rsidRPr="00AB5E02">
        <w:rPr>
          <w:spacing w:val="-2"/>
        </w:rPr>
        <w:t>The explanatory statement must contain a description of any consultation undertaken unde</w:t>
      </w:r>
      <w:r w:rsidRPr="00277499">
        <w:rPr>
          <w:spacing w:val="-2"/>
        </w:rPr>
        <w:t xml:space="preserve">r section 17 of the </w:t>
      </w:r>
      <w:hyperlink r:id="rId436" w:history="1">
        <w:hyperlink r:id="rId437" w:history="1">
          <w:hyperlink r:id="rId438" w:history="1">
            <w:hyperlink r:id="rId439" w:history="1">
              <w:hyperlink r:id="rId440" w:history="1">
                <w:r w:rsidRPr="00277499">
                  <w:rPr>
                    <w:rStyle w:val="Hyperlink"/>
                    <w:spacing w:val="-2"/>
                  </w:rPr>
                  <w:t>LA</w:t>
                </w:r>
              </w:hyperlink>
              <w:r w:rsidRPr="00277499">
                <w:rPr>
                  <w:rStyle w:val="Hyperlink"/>
                  <w:spacing w:val="-2"/>
                </w:rPr>
                <w:t xml:space="preserve"> </w:t>
              </w:r>
            </w:hyperlink>
          </w:hyperlink>
        </w:hyperlink>
      </w:hyperlink>
      <w:r w:rsidRPr="00277499">
        <w:rPr>
          <w:spacing w:val="-2"/>
        </w:rPr>
        <w:t>be</w:t>
      </w:r>
      <w:r w:rsidRPr="00AB5E02">
        <w:rPr>
          <w:spacing w:val="-2"/>
        </w:rPr>
        <w:t xml:space="preserve">fore the instrument was made or, if no such consultation was undertaken, an explanation as to why no such consultation was undertaken. The requirement for consultation before making a legislative instrument is discussed in more </w:t>
      </w:r>
      <w:r w:rsidRPr="00B2122D">
        <w:rPr>
          <w:spacing w:val="-2"/>
        </w:rPr>
        <w:t xml:space="preserve">detail in </w:t>
      </w:r>
      <w:hyperlink w:anchor="Chapter7" w:history="1">
        <w:r w:rsidRPr="00B2122D">
          <w:rPr>
            <w:rStyle w:val="Hyperlink"/>
            <w:spacing w:val="-2"/>
          </w:rPr>
          <w:t>Chapter 7</w:t>
        </w:r>
      </w:hyperlink>
      <w:r w:rsidRPr="00B2122D">
        <w:rPr>
          <w:spacing w:val="-2"/>
        </w:rPr>
        <w:t>.</w:t>
      </w:r>
    </w:p>
    <w:p w14:paraId="0B72C87E" w14:textId="77777777" w:rsidR="00A83991" w:rsidRPr="00FD274F" w:rsidRDefault="00A83991" w:rsidP="00A83991">
      <w:pPr>
        <w:pStyle w:val="Head4"/>
      </w:pPr>
      <w:bookmarkStart w:id="201" w:name="_Toc183694712"/>
      <w:r w:rsidRPr="00FD274F">
        <w:t>Human rights compatibility</w:t>
      </w:r>
      <w:bookmarkEnd w:id="201"/>
    </w:p>
    <w:p w14:paraId="4D82415F" w14:textId="7FD9D58F" w:rsidR="00A83991" w:rsidRPr="00FD274F" w:rsidRDefault="00A83991" w:rsidP="00A83991">
      <w:pPr>
        <w:pStyle w:val="BodyNum"/>
      </w:pPr>
      <w:r w:rsidRPr="00FD274F">
        <w:t>Under paragrap</w:t>
      </w:r>
      <w:r w:rsidRPr="00277499">
        <w:t xml:space="preserve">h 15J(2)(f) of the </w:t>
      </w:r>
      <w:hyperlink r:id="rId441" w:history="1">
        <w:hyperlink r:id="rId442" w:history="1">
          <w:hyperlink r:id="rId443" w:history="1">
            <w:r w:rsidRPr="00277499">
              <w:rPr>
                <w:rStyle w:val="Hyperlink"/>
              </w:rPr>
              <w:t>LA</w:t>
            </w:r>
          </w:hyperlink>
        </w:hyperlink>
      </w:hyperlink>
      <w:r w:rsidRPr="00277499">
        <w:t>, if a le</w:t>
      </w:r>
      <w:r w:rsidRPr="00FD274F">
        <w:t xml:space="preserve">gislative instrument is disallowable, its explanatory statement must include a statement of compatibility prepared under </w:t>
      </w:r>
      <w:r w:rsidRPr="00277499">
        <w:t xml:space="preserve">subsection 9(1) of the </w:t>
      </w:r>
      <w:hyperlink r:id="rId444" w:history="1">
        <w:r w:rsidRPr="00277499">
          <w:rPr>
            <w:rStyle w:val="Hyperlink"/>
            <w:i/>
          </w:rPr>
          <w:t>Human Rights (Parliamentary Scrutiny) Act 2011</w:t>
        </w:r>
      </w:hyperlink>
      <w:r w:rsidRPr="00277499">
        <w:rPr>
          <w:rStyle w:val="Hyperlink"/>
          <w:i/>
        </w:rPr>
        <w:t xml:space="preserve"> </w:t>
      </w:r>
      <w:r w:rsidRPr="00277499">
        <w:t>tha</w:t>
      </w:r>
      <w:r w:rsidRPr="00FD274F">
        <w:t>t assesses the instrument’s compatibility with the rights and freedoms contained in seven core human rights treaties to which Australia is a party. More information on human rights and how to assess compatibility is available on the AGD websit</w:t>
      </w:r>
      <w:r w:rsidRPr="00277499">
        <w:t>e</w:t>
      </w:r>
      <w:r w:rsidRPr="00277499">
        <w:rPr>
          <w:rStyle w:val="FootnoteReference"/>
        </w:rPr>
        <w:footnoteReference w:id="27"/>
      </w:r>
      <w:r w:rsidRPr="00277499">
        <w:t>.</w:t>
      </w:r>
    </w:p>
    <w:p w14:paraId="1912AAD0" w14:textId="77777777" w:rsidR="00A83991" w:rsidRPr="00FD274F" w:rsidRDefault="00A83991" w:rsidP="00A83991">
      <w:pPr>
        <w:pStyle w:val="Head3"/>
      </w:pPr>
      <w:bookmarkStart w:id="202" w:name="_Toc183694713"/>
      <w:r w:rsidRPr="00FD274F">
        <w:t>Other content considerations</w:t>
      </w:r>
      <w:bookmarkEnd w:id="202"/>
    </w:p>
    <w:p w14:paraId="7C2FA41B" w14:textId="40E4A867" w:rsidR="00A83991" w:rsidRPr="00FD274F" w:rsidRDefault="00A83991" w:rsidP="00A83991">
      <w:pPr>
        <w:pStyle w:val="BodyNum"/>
      </w:pPr>
      <w:bookmarkStart w:id="203" w:name="_Ref369786489"/>
      <w:bookmarkStart w:id="204" w:name="_Ref384355426"/>
      <w:r w:rsidRPr="00FD274F">
        <w:t xml:space="preserve">In considering what to include in an explanatory statement, it is useful to </w:t>
      </w:r>
      <w:proofErr w:type="gramStart"/>
      <w:r w:rsidRPr="00FD274F">
        <w:t>take into account</w:t>
      </w:r>
      <w:proofErr w:type="gramEnd"/>
      <w:r w:rsidRPr="00FD274F">
        <w:t xml:space="preserve"> the needs of users. The following guidance </w:t>
      </w:r>
      <w:proofErr w:type="gramStart"/>
      <w:r w:rsidRPr="00FD274F">
        <w:t>takes into account</w:t>
      </w:r>
      <w:proofErr w:type="gramEnd"/>
      <w:r w:rsidRPr="00FD274F">
        <w:t xml:space="preserve"> issues of particular interest to the Parliament. For </w:t>
      </w:r>
      <w:r w:rsidRPr="00B2122D">
        <w:t>general guidance on formatting matters, including use of images and hidden content, see paragraphs</w:t>
      </w:r>
      <w:bookmarkEnd w:id="203"/>
      <w:r w:rsidR="00D15548">
        <w:t xml:space="preserve"> </w:t>
      </w:r>
      <w:r w:rsidR="009A15A0">
        <w:fldChar w:fldCharType="begin"/>
      </w:r>
      <w:r w:rsidR="009A15A0">
        <w:instrText xml:space="preserve"> REF _Ref185322055 \r \h </w:instrText>
      </w:r>
      <w:r w:rsidR="009A15A0">
        <w:fldChar w:fldCharType="separate"/>
      </w:r>
      <w:r w:rsidR="00833171">
        <w:t>118</w:t>
      </w:r>
      <w:r w:rsidR="009A15A0">
        <w:fldChar w:fldCharType="end"/>
      </w:r>
      <w:r w:rsidR="009A15A0">
        <w:t xml:space="preserve"> </w:t>
      </w:r>
      <w:r w:rsidR="00D15548">
        <w:t xml:space="preserve">to </w:t>
      </w:r>
      <w:r w:rsidR="00D15548">
        <w:fldChar w:fldCharType="begin"/>
      </w:r>
      <w:r w:rsidR="00D15548">
        <w:instrText xml:space="preserve"> REF _Ref184284176 \r \h </w:instrText>
      </w:r>
      <w:r w:rsidR="00D15548">
        <w:fldChar w:fldCharType="separate"/>
      </w:r>
      <w:r w:rsidR="00833171">
        <w:t>128</w:t>
      </w:r>
      <w:r w:rsidR="00D15548">
        <w:fldChar w:fldCharType="end"/>
      </w:r>
      <w:r w:rsidRPr="00B2122D">
        <w:t>.</w:t>
      </w:r>
      <w:bookmarkEnd w:id="204"/>
    </w:p>
    <w:p w14:paraId="573A960E" w14:textId="77777777" w:rsidR="0014733A" w:rsidRDefault="0014733A" w:rsidP="0014733A">
      <w:pPr>
        <w:pStyle w:val="Head4"/>
      </w:pPr>
      <w:bookmarkStart w:id="205" w:name="_Toc183694714"/>
      <w:r>
        <w:t>Impact Analysis requirements</w:t>
      </w:r>
      <w:bookmarkEnd w:id="205"/>
    </w:p>
    <w:p w14:paraId="7D9B7F9C" w14:textId="4A8BBBD9" w:rsidR="0014733A" w:rsidRDefault="0014733A" w:rsidP="00C27411">
      <w:pPr>
        <w:pStyle w:val="BodyNum"/>
      </w:pPr>
      <w:r>
        <w:t>If an Impact Analysis has been completed, the entire Impact Analysis must be included in or attached to the instrument’s explanatory statement for tabling purposes. There may be certain circumstances where publishing the Impact Analysis in the explanatory statement is impractical, such as if the Impact Analysis is exceptionally long. In this case, with prior agreement of the OIA, a summary of the document (for example, the executive summary) may be published instead in the explanatory statement.</w:t>
      </w:r>
    </w:p>
    <w:p w14:paraId="517B6C6C" w14:textId="77777777" w:rsidR="0014733A" w:rsidRDefault="0014733A" w:rsidP="00C27411">
      <w:pPr>
        <w:pStyle w:val="BodyNum"/>
      </w:pPr>
      <w:r>
        <w:t>Where an Impact Analysis is not required, the explanatory statement must be silent on the Impact Analysis requirements.</w:t>
      </w:r>
    </w:p>
    <w:p w14:paraId="06FB42AE" w14:textId="7858CF76" w:rsidR="0014733A" w:rsidRDefault="0014733A" w:rsidP="00C27411">
      <w:pPr>
        <w:pStyle w:val="BodyNum"/>
      </w:pPr>
      <w:r>
        <w:t>For more information about these requirements</w:t>
      </w:r>
      <w:r>
        <w:rPr>
          <w:rStyle w:val="FootnoteReference"/>
        </w:rPr>
        <w:footnoteReference w:id="28"/>
      </w:r>
      <w:r>
        <w:t>, please contact OIA (</w:t>
      </w:r>
      <w:hyperlink r:id="rId445" w:history="1">
        <w:r>
          <w:rPr>
            <w:rStyle w:val="Hyperlink"/>
          </w:rPr>
          <w:t>helpdesk</w:t>
        </w:r>
        <w:r>
          <w:rPr>
            <w:rStyle w:val="Hyperlink"/>
          </w:rPr>
          <w:noBreakHyphen/>
          <w:t>OIA@pmc.gov.au</w:t>
        </w:r>
      </w:hyperlink>
      <w:r>
        <w:rPr>
          <w:rStyle w:val="Hyperlink"/>
        </w:rPr>
        <w:t xml:space="preserve"> </w:t>
      </w:r>
      <w:r>
        <w:t>or (02) 6271 6270).</w:t>
      </w:r>
    </w:p>
    <w:p w14:paraId="414AB5E2" w14:textId="77777777" w:rsidR="00A83991" w:rsidRPr="00FD274F" w:rsidRDefault="00A83991" w:rsidP="00A83991">
      <w:pPr>
        <w:pStyle w:val="Head4"/>
      </w:pPr>
      <w:bookmarkStart w:id="206" w:name="_Toc183694715"/>
      <w:r w:rsidRPr="00FD274F">
        <w:t xml:space="preserve">Senate Standing Committee </w:t>
      </w:r>
      <w:r>
        <w:t xml:space="preserve">for the Scrutiny of Delegated Legislation </w:t>
      </w:r>
      <w:r w:rsidRPr="00FD274F">
        <w:t>(</w:t>
      </w:r>
      <w:r>
        <w:t>SDLC</w:t>
      </w:r>
      <w:r w:rsidRPr="00FD274F">
        <w:t>) requirements</w:t>
      </w:r>
      <w:bookmarkEnd w:id="206"/>
    </w:p>
    <w:p w14:paraId="6A3081A1" w14:textId="471AC706" w:rsidR="00A83991" w:rsidRPr="00D12368" w:rsidRDefault="00A83991" w:rsidP="00A83991">
      <w:pPr>
        <w:pStyle w:val="BodyNum"/>
      </w:pPr>
      <w:bookmarkStart w:id="207" w:name="_Ref367446522"/>
      <w:bookmarkStart w:id="208" w:name="_Ref36029834"/>
      <w:r>
        <w:t xml:space="preserve">The SDLC </w:t>
      </w:r>
      <w:r w:rsidRPr="00FD274F">
        <w:t xml:space="preserve">reviews each disallowable </w:t>
      </w:r>
      <w:r>
        <w:t xml:space="preserve">legislative </w:t>
      </w:r>
      <w:r w:rsidRPr="00FD274F">
        <w:t>instrument</w:t>
      </w:r>
      <w:r>
        <w:t xml:space="preserve">, or legislative instrument that is subject to disapproval, affirmative resolution or exempt from disallowance, </w:t>
      </w:r>
      <w:r w:rsidRPr="00FD274F">
        <w:t>that is tabled in the Parliament</w:t>
      </w:r>
      <w:r>
        <w:t>. The instruments are reviewed</w:t>
      </w:r>
      <w:r w:rsidRPr="00FD274F">
        <w:t xml:space="preserve"> against a set of </w:t>
      </w:r>
      <w:r>
        <w:t xml:space="preserve">technical </w:t>
      </w:r>
      <w:r w:rsidRPr="00FD274F">
        <w:t>scrutiny principles that focus on individual rights and liberties and standards of parliamentary propriety.</w:t>
      </w:r>
      <w:bookmarkEnd w:id="207"/>
      <w:r>
        <w:t xml:space="preserve"> The SDLC publishes </w:t>
      </w:r>
      <w:r w:rsidRPr="00B4479C">
        <w:t xml:space="preserve">a </w:t>
      </w:r>
      <w:hyperlink r:id="rId446" w:history="1">
        <w:r w:rsidRPr="007C54F0">
          <w:rPr>
            <w:rStyle w:val="Hyperlink"/>
          </w:rPr>
          <w:t>consolidated set of guidelines setting out these scrutiny principles</w:t>
        </w:r>
      </w:hyperlink>
      <w:r w:rsidRPr="00B4479C">
        <w:t>. Each of the scrutiny pr</w:t>
      </w:r>
      <w:r>
        <w:t xml:space="preserve">inciples contains information to assist agencies to prepare </w:t>
      </w:r>
      <w:r>
        <w:lastRenderedPageBreak/>
        <w:t>an explanatory statement which meets the requirements of the SDLC. One of the scrutiny principles deals specifically with the adequacy of explanatory materials.</w:t>
      </w:r>
      <w:bookmarkEnd w:id="208"/>
    </w:p>
    <w:p w14:paraId="61E9F838" w14:textId="2F0E93D4" w:rsidR="00A83991" w:rsidRPr="00B4479C" w:rsidRDefault="00A83991" w:rsidP="00A83991">
      <w:pPr>
        <w:pStyle w:val="BodyNum"/>
      </w:pPr>
      <w:bookmarkStart w:id="209" w:name="_Ref444788679"/>
      <w:r w:rsidRPr="00B4479C">
        <w:t xml:space="preserve">The SDLC has long emphasised the importance of explanatory statements as a point of access to understanding the law, and, if needed, as extrinsic materials to assist with interpretation. The SDLC assesses whether the explanatory materials for a legislative instrument provide sufficient information to gain a clear understanding of the instrument. </w:t>
      </w:r>
      <w:bookmarkStart w:id="210" w:name="_Hlk183786669"/>
      <w:r w:rsidRPr="00B4479C">
        <w:t xml:space="preserve">The </w:t>
      </w:r>
      <w:r>
        <w:t>guideline</w:t>
      </w:r>
      <w:r w:rsidRPr="00B4479C">
        <w:t xml:space="preserve"> for the scrutiny principle dealing with the adequacy of explanatory materials says that an explanatory statement should typically:</w:t>
      </w:r>
      <w:bookmarkEnd w:id="209"/>
    </w:p>
    <w:bookmarkEnd w:id="210"/>
    <w:p w14:paraId="67E46A69" w14:textId="45BDC6BF" w:rsidR="00A83991" w:rsidRDefault="00A83991" w:rsidP="00A83991">
      <w:pPr>
        <w:pStyle w:val="BodyPara"/>
      </w:pPr>
      <w:r>
        <w:t xml:space="preserve">describe </w:t>
      </w:r>
      <w:r w:rsidRPr="00FD274F">
        <w:t xml:space="preserve">the </w:t>
      </w:r>
      <w:r>
        <w:t xml:space="preserve">purpose and operation of </w:t>
      </w:r>
      <w:r w:rsidRPr="00FD274F">
        <w:t>the instrum</w:t>
      </w:r>
      <w:r w:rsidRPr="00277499">
        <w:t xml:space="preserve">ent (see also </w:t>
      </w:r>
      <w:hyperlink r:id="rId447" w:history="1">
        <w:hyperlink r:id="rId448" w:history="1">
          <w:hyperlink r:id="rId449" w:history="1">
            <w:hyperlink r:id="rId450" w:history="1">
              <w:r w:rsidRPr="00277499">
                <w:rPr>
                  <w:rStyle w:val="Hyperlink"/>
                </w:rPr>
                <w:t>LA</w:t>
              </w:r>
            </w:hyperlink>
            <w:r w:rsidRPr="00277499">
              <w:rPr>
                <w:rStyle w:val="Hyperlink"/>
              </w:rPr>
              <w:t xml:space="preserve"> </w:t>
            </w:r>
          </w:hyperlink>
        </w:hyperlink>
      </w:hyperlink>
      <w:r w:rsidRPr="00277499">
        <w:t>s 15J(2)(b));</w:t>
      </w:r>
    </w:p>
    <w:p w14:paraId="40D337D4" w14:textId="170569EF" w:rsidR="00A83991" w:rsidRDefault="00A83991" w:rsidP="00A83991">
      <w:pPr>
        <w:pStyle w:val="BodyPara"/>
      </w:pPr>
      <w:r w:rsidRPr="00FD274F">
        <w:t>provide a detailed provision</w:t>
      </w:r>
      <w:r>
        <w:noBreakHyphen/>
      </w:r>
      <w:r w:rsidRPr="00FD274F">
        <w:t>by</w:t>
      </w:r>
      <w:r>
        <w:noBreakHyphen/>
      </w:r>
      <w:r w:rsidRPr="00FD274F">
        <w:t xml:space="preserve">provision </w:t>
      </w:r>
      <w:r>
        <w:t xml:space="preserve">explanation </w:t>
      </w:r>
      <w:r w:rsidRPr="00FD274F">
        <w:t>of the instrument</w:t>
      </w:r>
      <w:r>
        <w:t xml:space="preserve">, with sufficient detail to understand how each section will </w:t>
      </w:r>
      <w:proofErr w:type="gramStart"/>
      <w:r>
        <w:t>function</w:t>
      </w:r>
      <w:proofErr w:type="gramEnd"/>
      <w:r>
        <w:t xml:space="preserve"> and which does so not by simply repeating the text of the provisions;</w:t>
      </w:r>
    </w:p>
    <w:p w14:paraId="02119942" w14:textId="666834B7" w:rsidR="00A83991" w:rsidRDefault="00A83991" w:rsidP="00A83991">
      <w:pPr>
        <w:pStyle w:val="BodyPara"/>
      </w:pPr>
      <w:r w:rsidRPr="00FD274F">
        <w:t xml:space="preserve">state the </w:t>
      </w:r>
      <w:r>
        <w:t xml:space="preserve">specific provisions that provide the legal </w:t>
      </w:r>
      <w:r w:rsidRPr="00FD274F">
        <w:t xml:space="preserve">authority for making the </w:t>
      </w:r>
      <w:proofErr w:type="gramStart"/>
      <w:r w:rsidRPr="00FD274F">
        <w:t>instrument;</w:t>
      </w:r>
      <w:proofErr w:type="gramEnd"/>
    </w:p>
    <w:p w14:paraId="78313943" w14:textId="315A0B17" w:rsidR="00A83991" w:rsidRPr="00277499" w:rsidRDefault="00A83991" w:rsidP="00A83991">
      <w:pPr>
        <w:pStyle w:val="BodyPara"/>
      </w:pPr>
      <w:r w:rsidRPr="0015100D">
        <w:t xml:space="preserve">where </w:t>
      </w:r>
      <w:r>
        <w:t xml:space="preserve">the </w:t>
      </w:r>
      <w:r w:rsidRPr="0015100D">
        <w:t xml:space="preserve">instrument has been made in contemplation of commencement of its enabling provision, </w:t>
      </w:r>
      <w:r>
        <w:t xml:space="preserve">state </w:t>
      </w:r>
      <w:r w:rsidRPr="0015100D">
        <w:t>that the instrument relies on s</w:t>
      </w:r>
      <w:r w:rsidRPr="00277499">
        <w:t xml:space="preserve">ection 4 of the </w:t>
      </w:r>
      <w:hyperlink r:id="rId451" w:history="1">
        <w:r w:rsidRPr="00FD6A45">
          <w:rPr>
            <w:rStyle w:val="Hyperlink"/>
            <w:i/>
          </w:rPr>
          <w:t>Acts Interpretation Act 1901</w:t>
        </w:r>
      </w:hyperlink>
      <w:r w:rsidRPr="00277499">
        <w:t>;</w:t>
      </w:r>
    </w:p>
    <w:p w14:paraId="136EB9B4" w14:textId="34B2D86A" w:rsidR="00A83991" w:rsidRPr="0015100D" w:rsidRDefault="00A83991" w:rsidP="00A83991">
      <w:pPr>
        <w:pStyle w:val="BodyPara"/>
      </w:pPr>
      <w:r>
        <w:t xml:space="preserve">where the </w:t>
      </w:r>
      <w:r w:rsidRPr="0015100D">
        <w:t xml:space="preserve">instrument repeals or amends another instrument, and there is no express power in the enabling legislation to do so, </w:t>
      </w:r>
      <w:r>
        <w:t xml:space="preserve">state that </w:t>
      </w:r>
      <w:r w:rsidRPr="0015100D">
        <w:t>the instrument relies on s</w:t>
      </w:r>
      <w:r w:rsidRPr="00277499">
        <w:t xml:space="preserve">ubsection 33(3) of the </w:t>
      </w:r>
      <w:hyperlink r:id="rId452" w:history="1">
        <w:r w:rsidRPr="00FD6A45">
          <w:rPr>
            <w:rStyle w:val="Hyperlink"/>
            <w:i/>
          </w:rPr>
          <w:t>Acts Interpretation Act 1901</w:t>
        </w:r>
      </w:hyperlink>
      <w:r w:rsidRPr="00277499">
        <w:t xml:space="preserve"> fo</w:t>
      </w:r>
      <w:r w:rsidRPr="0015100D">
        <w:t xml:space="preserve">r the power to amend, modify or repeal the instrument. </w:t>
      </w:r>
      <w:r>
        <w:t xml:space="preserve">The </w:t>
      </w:r>
      <w:r w:rsidRPr="0015100D">
        <w:t>SDLC has provided the following example of a form of words that may be included in an explanatory statement where relevant:</w:t>
      </w:r>
    </w:p>
    <w:p w14:paraId="19D6EA43" w14:textId="77777777" w:rsidR="00A83991" w:rsidRPr="0015100D" w:rsidRDefault="00A83991" w:rsidP="00A83991">
      <w:pPr>
        <w:pStyle w:val="notetext"/>
      </w:pPr>
      <w:r>
        <w:tab/>
      </w:r>
      <w:r w:rsidRPr="0015100D">
        <w:t xml:space="preserve">Under </w:t>
      </w:r>
      <w:r w:rsidRPr="00277499">
        <w:t>subsection 33(3) of the </w:t>
      </w:r>
      <w:r w:rsidRPr="00277499">
        <w:rPr>
          <w:i/>
        </w:rPr>
        <w:t>Acts Interpretation Act 1901</w:t>
      </w:r>
      <w:r w:rsidRPr="00277499">
        <w:t>, w</w:t>
      </w:r>
      <w:r w:rsidRPr="0015100D">
        <w:t>here an Act confers a power to make, grant or issue any instrument of a legislative or administrative character (including rules, regulations or by</w:t>
      </w:r>
      <w:r w:rsidRPr="0015100D">
        <w:noBreakHyphen/>
        <w:t>laws), the power shall be construed as including a power exercisable in the like manner and subject to the like conditions (if any) to repeal, rescind, revoke, amend, or vary any such instrument.</w:t>
      </w:r>
    </w:p>
    <w:p w14:paraId="64E5C4D5" w14:textId="77777777" w:rsidR="00A83991" w:rsidRPr="00FD274F" w:rsidRDefault="00A83991" w:rsidP="00A83991">
      <w:pPr>
        <w:pStyle w:val="BodyPara"/>
      </w:pPr>
      <w:r>
        <w:t xml:space="preserve">state whether there are any statutory preconditions which must be satisfied for the instrument to be lawfully made and, if so, whether they have been </w:t>
      </w:r>
      <w:proofErr w:type="gramStart"/>
      <w:r>
        <w:t>satisfied;</w:t>
      </w:r>
      <w:proofErr w:type="gramEnd"/>
    </w:p>
    <w:p w14:paraId="5DBD1DEE" w14:textId="4628BC1D" w:rsidR="00A83991" w:rsidRDefault="00A83991" w:rsidP="00A83991">
      <w:pPr>
        <w:pStyle w:val="BodyPara"/>
      </w:pPr>
      <w:r>
        <w:t xml:space="preserve">where the instrument is one that specifies grants and programs on which expenditure is authorised (usually made under the </w:t>
      </w:r>
      <w:hyperlink r:id="rId453" w:history="1">
        <w:r w:rsidRPr="007809FB">
          <w:rPr>
            <w:rStyle w:val="Hyperlink"/>
            <w:i/>
          </w:rPr>
          <w:t>Financial Framework (Supplementary Powers) Act 1997</w:t>
        </w:r>
      </w:hyperlink>
      <w:r>
        <w:t xml:space="preserve"> or the </w:t>
      </w:r>
      <w:hyperlink r:id="rId454" w:history="1">
        <w:r w:rsidRPr="007809FB">
          <w:rPr>
            <w:rStyle w:val="Hyperlink"/>
            <w:i/>
          </w:rPr>
          <w:t>Industry Research and Development Act 1986</w:t>
        </w:r>
      </w:hyperlink>
      <w:r w:rsidRPr="00277499">
        <w:t>), o</w:t>
      </w:r>
      <w:r>
        <w:t>r engages an express or implied constitutional principle or guarantee, explain why the instrument is constitutionally valid;</w:t>
      </w:r>
    </w:p>
    <w:p w14:paraId="3B322BA6" w14:textId="77777777" w:rsidR="00A83991" w:rsidRDefault="00A83991" w:rsidP="00A83991">
      <w:pPr>
        <w:pStyle w:val="BodyPara"/>
      </w:pPr>
      <w:r>
        <w:t xml:space="preserve">where the instrument is likely to engage an express or implied constitutional principle or guarantee, explain why the instrument does not breach the principle or </w:t>
      </w:r>
      <w:proofErr w:type="gramStart"/>
      <w:r>
        <w:t>guarantee;</w:t>
      </w:r>
      <w:proofErr w:type="gramEnd"/>
    </w:p>
    <w:p w14:paraId="0EC14045" w14:textId="30AAE518" w:rsidR="00A83991" w:rsidRPr="00277499" w:rsidRDefault="00A83991" w:rsidP="00A83991">
      <w:pPr>
        <w:pStyle w:val="BodyPara"/>
        <w:keepLines/>
        <w:widowControl w:val="0"/>
      </w:pPr>
      <w:r>
        <w:lastRenderedPageBreak/>
        <w:t xml:space="preserve">state whether any </w:t>
      </w:r>
      <w:r w:rsidRPr="00FD274F">
        <w:t xml:space="preserve">consultation </w:t>
      </w:r>
      <w:r>
        <w:t xml:space="preserve">occurred in relation to the specific instrument (and, if so, whether persons likely to be affected by the instrument and persons with expertise in relevant fields were consulted) or, if no consultation occurred, why no consultation occurred </w:t>
      </w:r>
      <w:r w:rsidRPr="00FD274F">
        <w:t>(se</w:t>
      </w:r>
      <w:r w:rsidRPr="00277499">
        <w:t xml:space="preserve">e also </w:t>
      </w:r>
      <w:hyperlink r:id="rId455" w:history="1">
        <w:hyperlink r:id="rId456" w:history="1">
          <w:hyperlink r:id="rId457" w:history="1">
            <w:r w:rsidRPr="00277499">
              <w:rPr>
                <w:rStyle w:val="Hyperlink"/>
              </w:rPr>
              <w:t>LA</w:t>
            </w:r>
          </w:hyperlink>
          <w:r w:rsidRPr="00277499">
            <w:rPr>
              <w:rStyle w:val="Hyperlink"/>
            </w:rPr>
            <w:t xml:space="preserve"> </w:t>
          </w:r>
        </w:hyperlink>
      </w:hyperlink>
      <w:r w:rsidRPr="00277499">
        <w:t>s 15J(2)(d) and (e) and s 17);</w:t>
      </w:r>
    </w:p>
    <w:p w14:paraId="26CB5D0D" w14:textId="2B8B9B5B" w:rsidR="00A83991" w:rsidRDefault="00A83991" w:rsidP="00A83991">
      <w:pPr>
        <w:pStyle w:val="BodyPara"/>
      </w:pPr>
      <w:r>
        <w:t xml:space="preserve">contain a statement of compatibility with human rights prepared under </w:t>
      </w:r>
      <w:r w:rsidRPr="00277499">
        <w:t xml:space="preserve">subsection 9(1) of the </w:t>
      </w:r>
      <w:hyperlink r:id="rId458" w:history="1">
        <w:r w:rsidRPr="00277499">
          <w:rPr>
            <w:rStyle w:val="Hyperlink"/>
            <w:i/>
          </w:rPr>
          <w:t>Human Rights (Parliamentary Scrutiny) Act 2011</w:t>
        </w:r>
      </w:hyperlink>
      <w:r w:rsidRPr="00277499">
        <w:t xml:space="preserve"> (se</w:t>
      </w:r>
      <w:r>
        <w:t>e als</w:t>
      </w:r>
      <w:r w:rsidRPr="00277499">
        <w:t xml:space="preserve">o </w:t>
      </w:r>
      <w:hyperlink r:id="rId459" w:history="1">
        <w:hyperlink r:id="rId460" w:history="1">
          <w:hyperlink r:id="rId461" w:history="1">
            <w:hyperlink r:id="rId462" w:history="1">
              <w:r w:rsidRPr="00277499">
                <w:rPr>
                  <w:rStyle w:val="Hyperlink"/>
                </w:rPr>
                <w:t>LA</w:t>
              </w:r>
            </w:hyperlink>
            <w:r w:rsidRPr="00277499">
              <w:rPr>
                <w:rStyle w:val="Hyperlink"/>
              </w:rPr>
              <w:t xml:space="preserve"> </w:t>
            </w:r>
          </w:hyperlink>
        </w:hyperlink>
      </w:hyperlink>
      <w:r w:rsidRPr="00277499">
        <w:t>s 15J(2)(f)).</w:t>
      </w:r>
    </w:p>
    <w:p w14:paraId="62BD8839" w14:textId="77777777" w:rsidR="00A83991" w:rsidRPr="00331285" w:rsidRDefault="00A83991" w:rsidP="00A83991">
      <w:pPr>
        <w:pStyle w:val="BodyNum"/>
      </w:pPr>
      <w:bookmarkStart w:id="211" w:name="_Ref36030145"/>
      <w:r>
        <w:t>The checklist for the scrutiny principle covering adequacy of explanatory materials also identifies the following instrument-specific matters which should be covered by the explanatory statement where relevant:</w:t>
      </w:r>
      <w:bookmarkEnd w:id="211"/>
    </w:p>
    <w:p w14:paraId="1C1FDE02" w14:textId="77777777" w:rsidR="00A83991" w:rsidRDefault="00A83991" w:rsidP="00A83991">
      <w:pPr>
        <w:pStyle w:val="BodyPara"/>
      </w:pPr>
      <w:r>
        <w:t xml:space="preserve">where the instrument provides for the collection, use or disclosure of personal information, an explanation of the nature and scope of the provisions, why they are necessary and appropriate, and the safeguards in place to protect the personal </w:t>
      </w:r>
      <w:proofErr w:type="gramStart"/>
      <w:r>
        <w:t>information;</w:t>
      </w:r>
      <w:proofErr w:type="gramEnd"/>
    </w:p>
    <w:p w14:paraId="0D94AA67" w14:textId="77777777" w:rsidR="00A83991" w:rsidRDefault="00A83991" w:rsidP="00A83991">
      <w:pPr>
        <w:pStyle w:val="BodyPara"/>
      </w:pPr>
      <w:r>
        <w:t xml:space="preserve">the availability or otherwise of independent review of discretionary decisions made under the instrument, explained by reference to the Administrative Review Council’s Guide </w:t>
      </w:r>
      <w:r w:rsidRPr="00477B7A">
        <w:rPr>
          <w:i/>
        </w:rPr>
        <w:t>What decisions should be subject to merits review?</w:t>
      </w:r>
      <w:r>
        <w:rPr>
          <w:rStyle w:val="FootnoteReference"/>
          <w:i/>
        </w:rPr>
        <w:footnoteReference w:id="29"/>
      </w:r>
      <w:r>
        <w:t>;</w:t>
      </w:r>
    </w:p>
    <w:p w14:paraId="1B59E353" w14:textId="77777777" w:rsidR="00A83991" w:rsidRDefault="00A83991" w:rsidP="00A83991">
      <w:pPr>
        <w:pStyle w:val="BodyPara"/>
      </w:pPr>
      <w:r>
        <w:t xml:space="preserve">details about any delegation of administrative functions or powers in the instrument, including the purpose, scope and necessity of the delegation, who will be exercising the powers and functions (including whether they possess appropriate qualifications and skills), and the limitations and safeguards in </w:t>
      </w:r>
      <w:proofErr w:type="gramStart"/>
      <w:r>
        <w:t>place;</w:t>
      </w:r>
      <w:proofErr w:type="gramEnd"/>
    </w:p>
    <w:p w14:paraId="62729994" w14:textId="77777777" w:rsidR="00A83991" w:rsidRDefault="00A83991" w:rsidP="00A83991">
      <w:pPr>
        <w:pStyle w:val="BodyPara"/>
      </w:pPr>
      <w:r>
        <w:t xml:space="preserve">an explanation of any exemption from primary legislation or modification of the application of primary legislation made by the instrument, and additional </w:t>
      </w:r>
      <w:proofErr w:type="gramStart"/>
      <w:r>
        <w:t>details;</w:t>
      </w:r>
      <w:proofErr w:type="gramEnd"/>
    </w:p>
    <w:p w14:paraId="617AA5F8" w14:textId="77777777" w:rsidR="00A83991" w:rsidRDefault="00A83991" w:rsidP="00A83991">
      <w:pPr>
        <w:pStyle w:val="BodyPara"/>
      </w:pPr>
      <w:r>
        <w:t xml:space="preserve">the basis for imposition of any fees or charges imposed by the instrument, and additional </w:t>
      </w:r>
      <w:proofErr w:type="gramStart"/>
      <w:r>
        <w:t>details;</w:t>
      </w:r>
      <w:proofErr w:type="gramEnd"/>
    </w:p>
    <w:p w14:paraId="393E07D1" w14:textId="30AE8642" w:rsidR="00A83991" w:rsidRPr="00FD274F" w:rsidRDefault="00A83991" w:rsidP="00A83991">
      <w:pPr>
        <w:pStyle w:val="BodyPara"/>
      </w:pPr>
      <w:r>
        <w:t xml:space="preserve">a description of </w:t>
      </w:r>
      <w:r w:rsidRPr="00FD274F">
        <w:t>any document incorporated by reference</w:t>
      </w:r>
      <w:r>
        <w:t xml:space="preserve">, including the manner in which it is incorporated (that is, whether as in force at a particular time or as in force from time to time), the legislative authority for incorporation as in force from time to time (if applicable), how the document may be obtained and where it may be freely accessed and used by the public </w:t>
      </w:r>
      <w:r w:rsidRPr="003E69AE">
        <w:t xml:space="preserve">(see also </w:t>
      </w:r>
      <w:hyperlink r:id="rId463" w:history="1">
        <w:hyperlink r:id="rId464" w:history="1">
          <w:hyperlink r:id="rId465" w:history="1">
            <w:r w:rsidRPr="003E69AE">
              <w:rPr>
                <w:rStyle w:val="Hyperlink"/>
              </w:rPr>
              <w:t>LA</w:t>
            </w:r>
          </w:hyperlink>
          <w:r w:rsidRPr="003E69AE">
            <w:rPr>
              <w:rStyle w:val="Hyperlink"/>
            </w:rPr>
            <w:t xml:space="preserve"> </w:t>
          </w:r>
        </w:hyperlink>
      </w:hyperlink>
      <w:r w:rsidRPr="003E69AE">
        <w:t>s 15J(2)(c));</w:t>
      </w:r>
    </w:p>
    <w:p w14:paraId="1BBEA5E9" w14:textId="77777777" w:rsidR="00A83991" w:rsidRDefault="00A83991" w:rsidP="00A83991">
      <w:pPr>
        <w:pStyle w:val="BodyPara"/>
      </w:pPr>
      <w:r>
        <w:t xml:space="preserve">where the instrument includes an offence which reverses the legal or evidential burden of proof, a justification for this reversal by reference to the </w:t>
      </w:r>
      <w:r w:rsidRPr="003E69AE">
        <w:lastRenderedPageBreak/>
        <w:t xml:space="preserve">AGD </w:t>
      </w:r>
      <w:r w:rsidRPr="003E69AE">
        <w:rPr>
          <w:i/>
        </w:rPr>
        <w:t>Guide to Framing Commonwealth Offences, Infringement Notices and Enforcement Powers</w:t>
      </w:r>
      <w:r>
        <w:rPr>
          <w:rStyle w:val="FootnoteReference"/>
          <w:i/>
        </w:rPr>
        <w:footnoteReference w:id="30"/>
      </w:r>
      <w:r w:rsidRPr="003E69AE">
        <w:t>;</w:t>
      </w:r>
    </w:p>
    <w:p w14:paraId="7BEF8BF8" w14:textId="2E5F0986" w:rsidR="00A83991" w:rsidRPr="00FD274F" w:rsidRDefault="00A83991" w:rsidP="00A83991">
      <w:pPr>
        <w:pStyle w:val="BodyPara"/>
      </w:pPr>
      <w:r>
        <w:t>if the instrument commences retrospectively, a statement whether any person may be disadvantaged by the retrospectivity and, if so, what steps have been or will be taken to avoid such disadva</w:t>
      </w:r>
      <w:r w:rsidRPr="003E69AE">
        <w:t xml:space="preserve">ntage (see also </w:t>
      </w:r>
      <w:hyperlink r:id="rId466" w:history="1">
        <w:hyperlink r:id="rId467" w:history="1">
          <w:hyperlink r:id="rId468" w:history="1">
            <w:hyperlink r:id="rId469" w:history="1">
              <w:r w:rsidRPr="003E69AE">
                <w:rPr>
                  <w:rStyle w:val="Hyperlink"/>
                </w:rPr>
                <w:t>LA</w:t>
              </w:r>
            </w:hyperlink>
            <w:r w:rsidRPr="003E69AE">
              <w:rPr>
                <w:rStyle w:val="Hyperlink"/>
              </w:rPr>
              <w:t xml:space="preserve"> </w:t>
            </w:r>
          </w:hyperlink>
        </w:hyperlink>
      </w:hyperlink>
      <w:r w:rsidRPr="003E69AE">
        <w:t>s 12(2)).</w:t>
      </w:r>
    </w:p>
    <w:p w14:paraId="2FD9AF5E" w14:textId="77777777" w:rsidR="00A83991" w:rsidRPr="00FD274F" w:rsidRDefault="00A83991" w:rsidP="00A83991">
      <w:pPr>
        <w:pStyle w:val="BodyNum"/>
      </w:pPr>
      <w:r w:rsidRPr="00FD274F">
        <w:t xml:space="preserve">Agencies should respond quickly if </w:t>
      </w:r>
      <w:r>
        <w:t xml:space="preserve">the SDLC </w:t>
      </w:r>
      <w:r w:rsidRPr="00FD274F">
        <w:t>asks questions or expresses concern about a legislative instrument. Failure to do so may result in adverse parliamentary comment and possibly disallowance of the instrument. If the instrument was drafted by OPC, agencies should also contact their OPC drafter.</w:t>
      </w:r>
    </w:p>
    <w:p w14:paraId="4D296FCE" w14:textId="77777777" w:rsidR="00A83991" w:rsidRPr="00FD274F" w:rsidRDefault="00A83991" w:rsidP="00A83991">
      <w:pPr>
        <w:pStyle w:val="BodyNum"/>
      </w:pPr>
      <w:bookmarkStart w:id="212" w:name="_Ref36029839"/>
      <w:r w:rsidRPr="00FD274F">
        <w:t xml:space="preserve">Further information on issues and instruments of concern to </w:t>
      </w:r>
      <w:r>
        <w:t xml:space="preserve">the SDLC </w:t>
      </w:r>
      <w:r w:rsidRPr="00FD274F">
        <w:t xml:space="preserve">is available on the </w:t>
      </w:r>
      <w:r>
        <w:t xml:space="preserve">SDLC </w:t>
      </w:r>
      <w:r w:rsidRPr="00FD274F">
        <w:t>websi</w:t>
      </w:r>
      <w:r w:rsidRPr="003E69AE">
        <w:t>te</w:t>
      </w:r>
      <w:r w:rsidRPr="003E69AE">
        <w:rPr>
          <w:rStyle w:val="FootnoteReference"/>
        </w:rPr>
        <w:footnoteReference w:id="31"/>
      </w:r>
      <w:r w:rsidRPr="003E69AE">
        <w:t>.</w:t>
      </w:r>
      <w:bookmarkEnd w:id="212"/>
    </w:p>
    <w:p w14:paraId="49B316B0" w14:textId="77777777" w:rsidR="00A83991" w:rsidRPr="00FD274F" w:rsidRDefault="00A83991" w:rsidP="00A83991">
      <w:pPr>
        <w:pStyle w:val="Head4"/>
      </w:pPr>
      <w:bookmarkStart w:id="213" w:name="_Toc183694716"/>
      <w:r w:rsidRPr="00FD274F">
        <w:t>Parliamentary Joint Committee on Human Rights requirements</w:t>
      </w:r>
      <w:bookmarkEnd w:id="213"/>
    </w:p>
    <w:p w14:paraId="767A4A81" w14:textId="0EFD145A" w:rsidR="00A83991" w:rsidRPr="00FD274F" w:rsidRDefault="00A83991" w:rsidP="00A83991">
      <w:pPr>
        <w:pStyle w:val="BodyNum"/>
      </w:pPr>
      <w:bookmarkStart w:id="214" w:name="_Ref367446541"/>
      <w:r w:rsidRPr="00FD274F">
        <w:t xml:space="preserve">The Parliamentary Joint Committee on Human Rights reviews each legislative instrument that is tabled in the Parliament for human rights compatibility in accordance with the </w:t>
      </w:r>
      <w:hyperlink r:id="rId470" w:history="1">
        <w:r w:rsidRPr="003E69AE">
          <w:rPr>
            <w:rStyle w:val="Hyperlink"/>
            <w:i/>
          </w:rPr>
          <w:t>Human Rights (Parliamentary Scrutiny) Act 2011</w:t>
        </w:r>
      </w:hyperlink>
      <w:r w:rsidRPr="003E69AE">
        <w:t>.</w:t>
      </w:r>
      <w:bookmarkEnd w:id="214"/>
    </w:p>
    <w:p w14:paraId="4C893EA2" w14:textId="77777777" w:rsidR="00A83991" w:rsidRPr="00FD274F" w:rsidRDefault="00A83991" w:rsidP="00A83991">
      <w:pPr>
        <w:pStyle w:val="BodyNum"/>
      </w:pPr>
      <w:r w:rsidRPr="00FD274F">
        <w:t xml:space="preserve">The committee views statements of compatibility as essential to the consideration of human rights in the legislative </w:t>
      </w:r>
      <w:proofErr w:type="gramStart"/>
      <w:r w:rsidRPr="00FD274F">
        <w:t>process, and</w:t>
      </w:r>
      <w:proofErr w:type="gramEnd"/>
      <w:r w:rsidRPr="00FD274F">
        <w:t xml:space="preserve"> expects statements to set out the necessary information in a way that allows the committee to undertake its scrutiny task efficiently. The committee expects statements of compatibility to be able to be read as stand</w:t>
      </w:r>
      <w:r>
        <w:noBreakHyphen/>
      </w:r>
      <w:r w:rsidRPr="00FD274F">
        <w:t>alone documents.</w:t>
      </w:r>
    </w:p>
    <w:p w14:paraId="4834ABC9" w14:textId="77777777" w:rsidR="00A83991" w:rsidRPr="00FD274F" w:rsidRDefault="00A83991" w:rsidP="00A83991">
      <w:pPr>
        <w:pStyle w:val="BodyNum"/>
      </w:pPr>
      <w:r w:rsidRPr="00FD274F">
        <w:t>If the rule</w:t>
      </w:r>
      <w:r>
        <w:noBreakHyphen/>
      </w:r>
      <w:r w:rsidRPr="00FD274F">
        <w:t>maker considers that no rights are engaged, the committee expects that reasons should be given, if possible, to support that conclusion. This is particularly important where such a conclusion may not be self</w:t>
      </w:r>
      <w:r>
        <w:noBreakHyphen/>
      </w:r>
      <w:r w:rsidRPr="00FD274F">
        <w:t>evident from the description</w:t>
      </w:r>
      <w:r>
        <w:t xml:space="preserve"> of the instrument’s objective.</w:t>
      </w:r>
    </w:p>
    <w:p w14:paraId="27AF1D2E" w14:textId="77777777" w:rsidR="00A83991" w:rsidRPr="00FD274F" w:rsidRDefault="00A83991" w:rsidP="00A83991">
      <w:pPr>
        <w:pStyle w:val="BodyNum"/>
      </w:pPr>
      <w:bookmarkStart w:id="215" w:name="_Ref369889299"/>
      <w:r w:rsidRPr="00FD274F">
        <w:t>If human rights are limited by a legislative instrument, the committee prefers statements of compatibility to follow the sequence of steps set out in the assessment tool and associated guidance developed by AG</w:t>
      </w:r>
      <w:r w:rsidRPr="003E69AE">
        <w:t>D</w:t>
      </w:r>
      <w:r w:rsidRPr="003E69AE">
        <w:rPr>
          <w:rStyle w:val="FootnoteReference"/>
        </w:rPr>
        <w:footnoteReference w:id="32"/>
      </w:r>
      <w:r w:rsidRPr="003E69AE">
        <w:t>. S</w:t>
      </w:r>
      <w:r w:rsidRPr="00FD274F">
        <w:t>tatements should provide information on:</w:t>
      </w:r>
      <w:bookmarkEnd w:id="215"/>
    </w:p>
    <w:p w14:paraId="03FF3B6A" w14:textId="77777777" w:rsidR="00A83991" w:rsidRPr="00FD274F" w:rsidRDefault="00A83991" w:rsidP="00A83991">
      <w:pPr>
        <w:pStyle w:val="BodyPara"/>
      </w:pPr>
      <w:r w:rsidRPr="00FD274F">
        <w:t>whether and how the limitation is aimed at achieving a legitimate objective; and</w:t>
      </w:r>
    </w:p>
    <w:p w14:paraId="719712D8" w14:textId="77777777" w:rsidR="00A83991" w:rsidRPr="00FD274F" w:rsidRDefault="00A83991" w:rsidP="00A83991">
      <w:pPr>
        <w:pStyle w:val="BodyPara"/>
      </w:pPr>
      <w:r w:rsidRPr="00FD274F">
        <w:t>whether and how there is a rational connection between the li</w:t>
      </w:r>
      <w:r>
        <w:t>mitation and the objective; and</w:t>
      </w:r>
    </w:p>
    <w:p w14:paraId="4BBAD14B" w14:textId="044677EE" w:rsidR="00A83991" w:rsidRPr="00FD274F" w:rsidRDefault="00A83991" w:rsidP="00A83991">
      <w:pPr>
        <w:pStyle w:val="BodyPara"/>
      </w:pPr>
      <w:r w:rsidRPr="00FD274F">
        <w:t>whether and how the limitation is reasonable, necessary and proportionate.</w:t>
      </w:r>
    </w:p>
    <w:p w14:paraId="58FC0894" w14:textId="77777777" w:rsidR="00A83991" w:rsidRPr="00FD274F" w:rsidRDefault="00A83991" w:rsidP="00A83991">
      <w:pPr>
        <w:pStyle w:val="BodyNum"/>
      </w:pPr>
      <w:r w:rsidRPr="00FD274F">
        <w:lastRenderedPageBreak/>
        <w:t>Further guidance on issues and instruments of concern to the committee is available on the committee’s webs</w:t>
      </w:r>
      <w:r w:rsidRPr="003E69AE">
        <w:t>ite</w:t>
      </w:r>
      <w:r w:rsidRPr="003E69AE">
        <w:rPr>
          <w:rStyle w:val="FootnoteReference"/>
        </w:rPr>
        <w:footnoteReference w:id="33"/>
      </w:r>
      <w:r w:rsidRPr="003E69AE">
        <w:t>.</w:t>
      </w:r>
    </w:p>
    <w:p w14:paraId="57E209E7" w14:textId="77777777" w:rsidR="00A83991" w:rsidRPr="00FD274F" w:rsidRDefault="00A83991" w:rsidP="00A83991">
      <w:pPr>
        <w:pStyle w:val="Head4"/>
      </w:pPr>
      <w:bookmarkStart w:id="216" w:name="_Toc183694717"/>
      <w:r w:rsidRPr="00FD274F">
        <w:t>Previous ministerial or parliamentary undertakings</w:t>
      </w:r>
      <w:bookmarkEnd w:id="216"/>
    </w:p>
    <w:p w14:paraId="15A2D197" w14:textId="77777777" w:rsidR="00A83991" w:rsidRPr="00FD274F" w:rsidRDefault="00A83991" w:rsidP="00A83991">
      <w:pPr>
        <w:pStyle w:val="BodyNum"/>
      </w:pPr>
      <w:bookmarkStart w:id="217" w:name="_Ref369786506"/>
      <w:r w:rsidRPr="00FD274F">
        <w:t>A Minister or rule</w:t>
      </w:r>
      <w:r>
        <w:noBreakHyphen/>
      </w:r>
      <w:r w:rsidRPr="00FD274F">
        <w:t>maker may, on occasion, give an undertaking to the Parliament or a committee of the Parliament to review or change how an instrument operates, or to change drafting, consultation or other practices before making a similar instrument. If such an undertaking is relevant to a new instrument, the undertaking should be acknowledged and its implementation discussed in the explanatory statement for the new instrument.</w:t>
      </w:r>
      <w:bookmarkEnd w:id="217"/>
    </w:p>
    <w:p w14:paraId="224F4C33" w14:textId="77777777" w:rsidR="00A83991" w:rsidRPr="00FD274F" w:rsidRDefault="00A83991" w:rsidP="00A83991">
      <w:pPr>
        <w:pStyle w:val="Head4"/>
      </w:pPr>
      <w:bookmarkStart w:id="218" w:name="_Toc183694718"/>
      <w:r w:rsidRPr="00FD274F">
        <w:t>If an instrument or provision is very similar in substance to one made recently</w:t>
      </w:r>
      <w:bookmarkEnd w:id="218"/>
    </w:p>
    <w:p w14:paraId="572AF8CC" w14:textId="60EE23CD" w:rsidR="00A83991" w:rsidRPr="00B2122D" w:rsidRDefault="00A83991" w:rsidP="00A83991">
      <w:pPr>
        <w:pStyle w:val="BodyNum"/>
      </w:pPr>
      <w:bookmarkStart w:id="219" w:name="_Ref384355454"/>
      <w:r w:rsidRPr="00FD274F">
        <w:t>T</w:t>
      </w:r>
      <w:r w:rsidRPr="003E69AE">
        <w:t xml:space="preserve">he </w:t>
      </w:r>
      <w:hyperlink r:id="rId471" w:history="1">
        <w:r w:rsidRPr="003E69AE">
          <w:rPr>
            <w:rStyle w:val="Hyperlink"/>
          </w:rPr>
          <w:t>LA</w:t>
        </w:r>
      </w:hyperlink>
      <w:r w:rsidRPr="003E69AE">
        <w:t xml:space="preserve"> im</w:t>
      </w:r>
      <w:r w:rsidRPr="00FD274F">
        <w:t>poses significant restrictions on remaking an instrument or provision before, and for a period after, tabling. Consequently, if an instrument or provision is being remade while restrictions apply or shortly after they end, the explanatory statement should acknowledge the restrictions and explain why they do not apply (se</w:t>
      </w:r>
      <w:r w:rsidRPr="00B2122D">
        <w:t xml:space="preserve">e paragraphs </w:t>
      </w:r>
      <w:r w:rsidRPr="003E69AE">
        <w:fldChar w:fldCharType="begin"/>
      </w:r>
      <w:r w:rsidRPr="00B2122D">
        <w:instrText xml:space="preserve"> REF _Ref383697445 \r \h </w:instrText>
      </w:r>
      <w:r>
        <w:rPr>
          <w:highlight w:val="yellow"/>
        </w:rPr>
        <w:instrText xml:space="preserve"> \* MERGEFORMAT </w:instrText>
      </w:r>
      <w:r w:rsidRPr="003E69AE">
        <w:fldChar w:fldCharType="separate"/>
      </w:r>
      <w:r w:rsidR="00833171">
        <w:t>339</w:t>
      </w:r>
      <w:r w:rsidRPr="003E69AE">
        <w:fldChar w:fldCharType="end"/>
      </w:r>
      <w:r w:rsidRPr="00B2122D">
        <w:t xml:space="preserve"> to </w:t>
      </w:r>
      <w:r w:rsidRPr="003E69AE">
        <w:fldChar w:fldCharType="begin"/>
      </w:r>
      <w:r w:rsidRPr="00B2122D">
        <w:instrText xml:space="preserve"> REF _Ref384355195 \r \h </w:instrText>
      </w:r>
      <w:r>
        <w:rPr>
          <w:highlight w:val="yellow"/>
        </w:rPr>
        <w:instrText xml:space="preserve"> \* MERGEFORMAT </w:instrText>
      </w:r>
      <w:r w:rsidRPr="003E69AE">
        <w:fldChar w:fldCharType="separate"/>
      </w:r>
      <w:r w:rsidR="00833171">
        <w:t>347</w:t>
      </w:r>
      <w:r w:rsidRPr="003E69AE">
        <w:fldChar w:fldCharType="end"/>
      </w:r>
      <w:r w:rsidRPr="00B2122D">
        <w:t xml:space="preserve"> for more detail).</w:t>
      </w:r>
      <w:bookmarkEnd w:id="219"/>
    </w:p>
    <w:p w14:paraId="269793C3" w14:textId="77777777" w:rsidR="00A83991" w:rsidRPr="00FD274F" w:rsidRDefault="00A83991" w:rsidP="00A83991">
      <w:pPr>
        <w:pStyle w:val="Head3"/>
      </w:pPr>
      <w:bookmarkStart w:id="220" w:name="_Toc183694719"/>
      <w:r w:rsidRPr="00FD274F">
        <w:t>Consequences of failure to provide explanatory statements on time</w:t>
      </w:r>
      <w:bookmarkEnd w:id="220"/>
    </w:p>
    <w:p w14:paraId="200C57AA" w14:textId="3B1D72FB" w:rsidR="00A83991" w:rsidRPr="00EC7C33" w:rsidRDefault="00A83991" w:rsidP="00A83991">
      <w:pPr>
        <w:pStyle w:val="BodyNum"/>
      </w:pPr>
      <w:bookmarkStart w:id="221" w:name="_Ref29483756"/>
      <w:bookmarkStart w:id="222" w:name="_Ref367446337"/>
      <w:r w:rsidRPr="00FD274F">
        <w:t xml:space="preserve">An explanatory statement for a legislative instrument must be lodged with OPC for registration at the same time as, or as soon as practicable after, the legislative instrument that it explains </w:t>
      </w:r>
      <w:r w:rsidRPr="00EC7C33">
        <w:t>(</w:t>
      </w:r>
      <w:hyperlink r:id="rId472" w:history="1">
        <w:hyperlink r:id="rId473" w:history="1">
          <w:hyperlink r:id="rId474" w:history="1">
            <w:r w:rsidRPr="00EC7C33">
              <w:rPr>
                <w:rStyle w:val="Hyperlink"/>
              </w:rPr>
              <w:t>LA</w:t>
            </w:r>
          </w:hyperlink>
          <w:r w:rsidRPr="00EC7C33">
            <w:rPr>
              <w:rStyle w:val="Hyperlink"/>
            </w:rPr>
            <w:t xml:space="preserve"> </w:t>
          </w:r>
        </w:hyperlink>
      </w:hyperlink>
      <w:r w:rsidRPr="00EC7C33">
        <w:t>s 15G(4)(a)). A</w:t>
      </w:r>
      <w:r w:rsidRPr="00FD274F">
        <w:t>lthough a failure to lodge the explanatory statement as required does not affect the validity or enforceability of the registered instrume</w:t>
      </w:r>
      <w:r w:rsidRPr="00EC7C33">
        <w:t>nt (</w:t>
      </w:r>
      <w:hyperlink r:id="rId475" w:history="1">
        <w:hyperlink r:id="rId476" w:history="1">
          <w:hyperlink r:id="rId477" w:history="1">
            <w:r w:rsidRPr="00EC7C33">
              <w:rPr>
                <w:rStyle w:val="Hyperlink"/>
              </w:rPr>
              <w:t>LA</w:t>
            </w:r>
          </w:hyperlink>
          <w:r w:rsidRPr="00EC7C33">
            <w:rPr>
              <w:rStyle w:val="Hyperlink"/>
            </w:rPr>
            <w:t xml:space="preserve"> </w:t>
          </w:r>
        </w:hyperlink>
      </w:hyperlink>
      <w:r w:rsidRPr="00EC7C33">
        <w:t>s 15K(2)), the rule</w:t>
      </w:r>
      <w:r w:rsidRPr="00EC7C33">
        <w:noBreakHyphen/>
        <w:t>maker:</w:t>
      </w:r>
      <w:bookmarkEnd w:id="221"/>
    </w:p>
    <w:p w14:paraId="148BD49A" w14:textId="77777777" w:rsidR="00A83991" w:rsidRPr="00FD274F" w:rsidRDefault="00A83991" w:rsidP="00A83991">
      <w:pPr>
        <w:pStyle w:val="BodyPara"/>
      </w:pPr>
      <w:r w:rsidRPr="00FD274F">
        <w:t>remains under a statutory obligation to lodge the explanatory statement with OPC for registration</w:t>
      </w:r>
      <w:bookmarkEnd w:id="222"/>
      <w:r>
        <w:t>; and</w:t>
      </w:r>
    </w:p>
    <w:p w14:paraId="5367C221" w14:textId="47FBD0D9" w:rsidR="00A83991" w:rsidRPr="00FD274F" w:rsidRDefault="00A83991" w:rsidP="00A83991">
      <w:pPr>
        <w:pStyle w:val="BodyPara"/>
      </w:pPr>
      <w:r w:rsidRPr="00FD274F">
        <w:t>must arrange for a written explanation to be tabled in the Parliament if the explanatory statement for an instrument is not lodged before the instrument is delivered by OPC for t</w:t>
      </w:r>
      <w:r w:rsidRPr="00EC7C33">
        <w:t>abling (</w:t>
      </w:r>
      <w:hyperlink r:id="rId478" w:history="1">
        <w:hyperlink r:id="rId479" w:history="1">
          <w:hyperlink r:id="rId480" w:history="1">
            <w:r w:rsidRPr="00EC7C33">
              <w:rPr>
                <w:rStyle w:val="Hyperlink"/>
              </w:rPr>
              <w:t>LA</w:t>
            </w:r>
          </w:hyperlink>
          <w:r w:rsidRPr="00EC7C33">
            <w:rPr>
              <w:rStyle w:val="Hyperlink"/>
            </w:rPr>
            <w:t xml:space="preserve"> </w:t>
          </w:r>
        </w:hyperlink>
      </w:hyperlink>
      <w:r w:rsidRPr="00EC7C33">
        <w:t>s 39(3)); a</w:t>
      </w:r>
      <w:r>
        <w:t>nd</w:t>
      </w:r>
    </w:p>
    <w:p w14:paraId="4E8F4FF1" w14:textId="77777777" w:rsidR="00A83991" w:rsidRPr="00FD274F" w:rsidRDefault="00A83991" w:rsidP="00A83991">
      <w:pPr>
        <w:pStyle w:val="BodyPara"/>
      </w:pPr>
      <w:r w:rsidRPr="00FD274F">
        <w:t>should expect adverse comment from relevant parliamentary committees if this happens.</w:t>
      </w:r>
    </w:p>
    <w:p w14:paraId="6AFAB63A" w14:textId="77777777" w:rsidR="00A83991" w:rsidRPr="00FD274F" w:rsidRDefault="00A83991" w:rsidP="00A83991">
      <w:pPr>
        <w:pStyle w:val="Head3"/>
      </w:pPr>
      <w:bookmarkStart w:id="223" w:name="_Toc183694720"/>
      <w:r w:rsidRPr="00FD274F">
        <w:t>If there is a significant error or omission in an explanatory statement</w:t>
      </w:r>
      <w:bookmarkEnd w:id="223"/>
    </w:p>
    <w:p w14:paraId="2F2DBB91" w14:textId="77777777" w:rsidR="00A83991" w:rsidRPr="00FD274F" w:rsidRDefault="00A83991" w:rsidP="00A83991">
      <w:pPr>
        <w:pStyle w:val="BodyNum"/>
      </w:pPr>
      <w:bookmarkStart w:id="224" w:name="_Ref29483854"/>
      <w:bookmarkStart w:id="225" w:name="_Ref378065259"/>
      <w:r w:rsidRPr="00FD274F">
        <w:t>If there is a significant error or omission in the initial explanatory statement provided for an instrument, there are things an agency or rule</w:t>
      </w:r>
      <w:r>
        <w:noBreakHyphen/>
      </w:r>
      <w:r w:rsidRPr="00FD274F">
        <w:t>maker can do to address this.</w:t>
      </w:r>
      <w:bookmarkEnd w:id="224"/>
    </w:p>
    <w:p w14:paraId="0881841E" w14:textId="77777777" w:rsidR="00A83991" w:rsidRPr="00FD274F" w:rsidRDefault="00A83991" w:rsidP="00A83991">
      <w:pPr>
        <w:pStyle w:val="BodyNum"/>
      </w:pPr>
      <w:r>
        <w:t>I</w:t>
      </w:r>
      <w:r w:rsidRPr="00FD274F">
        <w:t>t may be appropriate for a supplementary or replacement explanatory statement to be lodged and delivered to the Parliament</w:t>
      </w:r>
      <w:r>
        <w:t>, even if the instrument is no longer open to disallowance</w:t>
      </w:r>
      <w:r w:rsidRPr="00FD274F">
        <w:t>. As part of this, the agency will need to:</w:t>
      </w:r>
    </w:p>
    <w:p w14:paraId="6BB62F97" w14:textId="77777777" w:rsidR="00A83991" w:rsidRPr="00FD274F" w:rsidRDefault="00A83991" w:rsidP="00A83991">
      <w:pPr>
        <w:pStyle w:val="BodyPara"/>
      </w:pPr>
      <w:r w:rsidRPr="00FD274F">
        <w:t>consider which form of statement is most appropriate (a supplementary statement may suffice if the issue is a minor omission); and</w:t>
      </w:r>
    </w:p>
    <w:p w14:paraId="474C92A4" w14:textId="77777777" w:rsidR="00A83991" w:rsidRPr="00FD274F" w:rsidRDefault="00A83991" w:rsidP="00A83991">
      <w:pPr>
        <w:pStyle w:val="BodyPara"/>
      </w:pPr>
      <w:r w:rsidRPr="00FD274F">
        <w:lastRenderedPageBreak/>
        <w:t>get the rule</w:t>
      </w:r>
      <w:r>
        <w:noBreakHyphen/>
      </w:r>
      <w:r w:rsidRPr="00FD274F">
        <w:t xml:space="preserve">maker’s approval </w:t>
      </w:r>
      <w:r>
        <w:t xml:space="preserve">for </w:t>
      </w:r>
      <w:r w:rsidRPr="00FD274F">
        <w:t xml:space="preserve">the supplementary or </w:t>
      </w:r>
      <w:r>
        <w:t>replacement statement; and</w:t>
      </w:r>
    </w:p>
    <w:p w14:paraId="5FA26EE0" w14:textId="1AC9DFFB" w:rsidR="00A83991" w:rsidRPr="00EC7C33" w:rsidRDefault="00A83991" w:rsidP="00A83991">
      <w:pPr>
        <w:pStyle w:val="BodyPara"/>
      </w:pPr>
      <w:r w:rsidRPr="00FD274F">
        <w:t xml:space="preserve">lodge the </w:t>
      </w:r>
      <w:r>
        <w:t>supplementary or replacement</w:t>
      </w:r>
      <w:r w:rsidRPr="00FD274F">
        <w:t xml:space="preserve"> statement online with OPC, so that OPC can register and deliver </w:t>
      </w:r>
      <w:r>
        <w:t>it</w:t>
      </w:r>
      <w:r w:rsidRPr="00FD274F">
        <w:t xml:space="preserve"> for tabling in accordance with s</w:t>
      </w:r>
      <w:r w:rsidRPr="00EC7C33">
        <w:t xml:space="preserve">ection 39 of the </w:t>
      </w:r>
      <w:hyperlink r:id="rId481" w:history="1">
        <w:hyperlink r:id="rId482" w:history="1">
          <w:hyperlink r:id="rId483" w:history="1">
            <w:r w:rsidRPr="00EC7C33">
              <w:rPr>
                <w:rStyle w:val="Hyperlink"/>
              </w:rPr>
              <w:t>LA</w:t>
            </w:r>
          </w:hyperlink>
        </w:hyperlink>
      </w:hyperlink>
      <w:r w:rsidRPr="00EC7C33">
        <w:t>.</w:t>
      </w:r>
    </w:p>
    <w:p w14:paraId="75846448" w14:textId="77777777" w:rsidR="00A83991" w:rsidRDefault="00A83991" w:rsidP="00A83991">
      <w:pPr>
        <w:pStyle w:val="BodyNum"/>
      </w:pPr>
      <w:bookmarkStart w:id="226" w:name="_Ref29483856"/>
      <w:r>
        <w:t>I</w:t>
      </w:r>
      <w:r w:rsidRPr="00FD274F">
        <w:t>f there are special requirements for a statement to be tabled by a particular date to ensure that an instrument is not disallowed</w:t>
      </w:r>
      <w:r>
        <w:t>, a</w:t>
      </w:r>
      <w:r w:rsidRPr="00FD274F">
        <w:t xml:space="preserve">gencies </w:t>
      </w:r>
      <w:r>
        <w:t>are advised to contact OPC</w:t>
      </w:r>
      <w:r w:rsidRPr="00FD274F">
        <w:t>. Under no circumstances should agencies attempt to lodge statements directly with the Table Offices or scrutiny bodies.</w:t>
      </w:r>
      <w:bookmarkEnd w:id="226"/>
    </w:p>
    <w:p w14:paraId="73082759" w14:textId="77777777" w:rsidR="00A83991" w:rsidRDefault="00A83991" w:rsidP="00A83991">
      <w:pPr>
        <w:pStyle w:val="Head3"/>
      </w:pPr>
      <w:bookmarkStart w:id="227" w:name="_Toc183694721"/>
      <w:r>
        <w:t>Supporting material</w:t>
      </w:r>
      <w:bookmarkEnd w:id="227"/>
    </w:p>
    <w:p w14:paraId="1ADA71A7" w14:textId="77777777" w:rsidR="00A83991" w:rsidRPr="00FD274F" w:rsidRDefault="00A83991" w:rsidP="00A83991">
      <w:pPr>
        <w:pStyle w:val="BodyNum"/>
      </w:pPr>
      <w:r>
        <w:t>Any</w:t>
      </w:r>
      <w:r w:rsidRPr="00FD274F">
        <w:t xml:space="preserve"> supporting material </w:t>
      </w:r>
      <w:r>
        <w:t xml:space="preserve">that should be made available with an instrument should </w:t>
      </w:r>
      <w:r w:rsidRPr="00FD274F">
        <w:t>also be attached (uploaded) to the online lodgement form. As with instruments</w:t>
      </w:r>
      <w:r>
        <w:t xml:space="preserve"> and explanatory statements</w:t>
      </w:r>
      <w:r w:rsidRPr="00FD274F">
        <w:t>, these documents:</w:t>
      </w:r>
    </w:p>
    <w:p w14:paraId="4946D1EF" w14:textId="4DA2724E" w:rsidR="00A83991" w:rsidRDefault="00A83991" w:rsidP="00A83991">
      <w:pPr>
        <w:pStyle w:val="BodyPara"/>
      </w:pPr>
      <w:r w:rsidRPr="00FD274F">
        <w:t>must be in .rtf, .doc or .docx format</w:t>
      </w:r>
      <w:r>
        <w:t>,</w:t>
      </w:r>
      <w:r w:rsidRPr="00FD274F">
        <w:t xml:space="preserve"> unless the First Parliamentary Counsel has agreed to some other for</w:t>
      </w:r>
      <w:r w:rsidRPr="00EC7C33">
        <w:t xml:space="preserve">mat (see </w:t>
      </w:r>
      <w:hyperlink r:id="rId484" w:history="1">
        <w:r w:rsidRPr="00EC7C33">
          <w:rPr>
            <w:rStyle w:val="Hyperlink"/>
          </w:rPr>
          <w:t>Rule</w:t>
        </w:r>
      </w:hyperlink>
      <w:r w:rsidRPr="00EC7C33">
        <w:t xml:space="preserve"> s 5(3)); a</w:t>
      </w:r>
      <w:r>
        <w:t>nd</w:t>
      </w:r>
    </w:p>
    <w:p w14:paraId="3CF0957E" w14:textId="77777777" w:rsidR="00A83991" w:rsidRPr="00FD274F" w:rsidRDefault="00A83991" w:rsidP="00A83991">
      <w:pPr>
        <w:pStyle w:val="noteToPara"/>
        <w:ind w:left="1429"/>
      </w:pPr>
      <w:r w:rsidRPr="00FD274F">
        <w:t>Note:</w:t>
      </w:r>
      <w:r w:rsidRPr="00FD274F">
        <w:tab/>
      </w:r>
      <w:r>
        <w:t>Our preferred format is .docx.</w:t>
      </w:r>
    </w:p>
    <w:p w14:paraId="74A3CA2D" w14:textId="6C07F72B" w:rsidR="00A83991" w:rsidRPr="00FD274F" w:rsidRDefault="00A83991" w:rsidP="00A83991">
      <w:pPr>
        <w:pStyle w:val="BodyPara"/>
      </w:pPr>
      <w:r w:rsidRPr="00FD274F">
        <w:t>must not contain macros, fields or other dynamic content that may interfere with the content of the documen</w:t>
      </w:r>
      <w:r w:rsidRPr="00EC7C33">
        <w:t xml:space="preserve">t (see </w:t>
      </w:r>
      <w:hyperlink r:id="rId485" w:history="1">
        <w:r w:rsidRPr="00EC7C33">
          <w:rPr>
            <w:rStyle w:val="Hyperlink"/>
          </w:rPr>
          <w:t>Rule</w:t>
        </w:r>
      </w:hyperlink>
      <w:r w:rsidRPr="00EC7C33">
        <w:t xml:space="preserve"> s 5(4)).</w:t>
      </w:r>
    </w:p>
    <w:bookmarkEnd w:id="225"/>
    <w:p w14:paraId="52BF9293" w14:textId="77777777" w:rsidR="0057232B" w:rsidRDefault="0057232B" w:rsidP="00A83991">
      <w:pPr>
        <w:pStyle w:val="Head2"/>
        <w:sectPr w:rsidR="0057232B" w:rsidSect="003D7DCE">
          <w:headerReference w:type="default" r:id="rId486"/>
          <w:pgSz w:w="11907" w:h="16839" w:code="9"/>
          <w:pgMar w:top="1440" w:right="1440" w:bottom="1418" w:left="1440" w:header="720" w:footer="720" w:gutter="0"/>
          <w:pgNumType w:start="63"/>
          <w:cols w:sep="1" w:space="567"/>
          <w:docGrid w:linePitch="360"/>
        </w:sectPr>
      </w:pPr>
    </w:p>
    <w:p w14:paraId="16D5EC0B" w14:textId="3F0E96EE" w:rsidR="00A83991" w:rsidRPr="00FD274F" w:rsidRDefault="00A83991" w:rsidP="00A83991">
      <w:pPr>
        <w:pStyle w:val="Head2"/>
      </w:pPr>
      <w:bookmarkStart w:id="228" w:name="_Toc183694722"/>
      <w:r w:rsidRPr="00FD274F">
        <w:lastRenderedPageBreak/>
        <w:t xml:space="preserve">Chapter </w:t>
      </w:r>
      <w:bookmarkStart w:id="229" w:name="Chapter9"/>
      <w:bookmarkEnd w:id="229"/>
      <w:r w:rsidRPr="00FD274F">
        <w:t>9—Parliamentary scrutiny (disallowance) processes</w:t>
      </w:r>
      <w:bookmarkEnd w:id="228"/>
    </w:p>
    <w:p w14:paraId="27CD20CA" w14:textId="77777777" w:rsidR="00A83991" w:rsidRPr="00FD274F" w:rsidRDefault="00A83991" w:rsidP="00A83991">
      <w:pPr>
        <w:pStyle w:val="SundryBoxHeadBold"/>
      </w:pPr>
      <w:r w:rsidRPr="00FD274F">
        <w:t>Main points</w:t>
      </w:r>
    </w:p>
    <w:p w14:paraId="036FA11B" w14:textId="77777777" w:rsidR="00A83991" w:rsidRDefault="00A83991" w:rsidP="00A83991">
      <w:pPr>
        <w:pStyle w:val="SundryBoxBullet"/>
      </w:pPr>
      <w:r w:rsidRPr="00FD274F">
        <w:t>•</w:t>
      </w:r>
      <w:r w:rsidRPr="00FD274F">
        <w:tab/>
        <w:t>All legislative instruments that are registered must be tabled in each House of the Parliament and, unless an exemption applies, they may be disallowed by either House.</w:t>
      </w:r>
    </w:p>
    <w:p w14:paraId="6C84335E" w14:textId="77777777" w:rsidR="00A83991" w:rsidRPr="00FD274F" w:rsidRDefault="00A83991" w:rsidP="00A83991">
      <w:pPr>
        <w:pStyle w:val="SundryBoxBullet"/>
      </w:pPr>
      <w:r w:rsidRPr="00FD274F">
        <w:t>•</w:t>
      </w:r>
      <w:r w:rsidRPr="00FD274F">
        <w:tab/>
      </w:r>
      <w:r>
        <w:t>If a disallowable legislative instrument is rectified, it must be re</w:t>
      </w:r>
      <w:r>
        <w:noBreakHyphen/>
        <w:t>tabled in each House of the Parliament and may be subject to a new or extended disallowance period.</w:t>
      </w:r>
    </w:p>
    <w:p w14:paraId="26B37D95" w14:textId="77777777" w:rsidR="00A83991" w:rsidRPr="00FD274F" w:rsidRDefault="00A83991" w:rsidP="00A83991">
      <w:pPr>
        <w:pStyle w:val="SundryBoxBullet"/>
      </w:pPr>
      <w:r w:rsidRPr="00FD274F">
        <w:t>•</w:t>
      </w:r>
      <w:r w:rsidRPr="00FD274F">
        <w:tab/>
        <w:t>OPC is responsible for delivering legislative instruments and their explanatory statements to the Parliament for tabling.</w:t>
      </w:r>
    </w:p>
    <w:p w14:paraId="4EE58E47" w14:textId="77777777" w:rsidR="00A83991" w:rsidRPr="00FD274F" w:rsidRDefault="00A83991" w:rsidP="00A83991">
      <w:pPr>
        <w:pStyle w:val="SundryBoxBullet"/>
      </w:pPr>
      <w:r w:rsidRPr="00FD274F">
        <w:t>•</w:t>
      </w:r>
      <w:r w:rsidRPr="00FD274F">
        <w:tab/>
        <w:t>The Parliamentary Table Offices are responsible for tabling legislative instruments and explanatory statements.</w:t>
      </w:r>
    </w:p>
    <w:p w14:paraId="579008C4" w14:textId="77777777" w:rsidR="00A83991" w:rsidRPr="00FD274F" w:rsidRDefault="00A83991" w:rsidP="00A83991">
      <w:pPr>
        <w:pStyle w:val="SundryBoxBullet"/>
      </w:pPr>
      <w:r w:rsidRPr="00FD274F">
        <w:t>•</w:t>
      </w:r>
      <w:r w:rsidRPr="00FD274F">
        <w:tab/>
        <w:t>The parliamentary sitting schedule determines when a legislative instrument can be tabled and how long it is open to disallowance (if applicable).</w:t>
      </w:r>
    </w:p>
    <w:p w14:paraId="4BAD3246" w14:textId="77777777" w:rsidR="00A83991" w:rsidRPr="00FD274F" w:rsidRDefault="00A83991" w:rsidP="00A83991">
      <w:pPr>
        <w:pStyle w:val="SundryBoxBullet"/>
      </w:pPr>
      <w:r w:rsidRPr="00FD274F">
        <w:t>•</w:t>
      </w:r>
      <w:r w:rsidRPr="00FD274F">
        <w:tab/>
        <w:t xml:space="preserve">If </w:t>
      </w:r>
      <w:r>
        <w:t xml:space="preserve">a </w:t>
      </w:r>
      <w:r w:rsidRPr="00FD274F">
        <w:t xml:space="preserve">notice of motion to disallow is given but is not dealt with within 15 sitting days of </w:t>
      </w:r>
      <w:r>
        <w:t>the giving of that notice</w:t>
      </w:r>
      <w:r w:rsidRPr="00FD274F">
        <w:t>, the legislative instrument is automatically disallowed.</w:t>
      </w:r>
    </w:p>
    <w:p w14:paraId="4E6E96EC" w14:textId="77777777" w:rsidR="00A83991" w:rsidRPr="00FD274F" w:rsidRDefault="00A83991" w:rsidP="00A83991">
      <w:pPr>
        <w:pStyle w:val="SundryBoxBullet"/>
      </w:pPr>
      <w:r w:rsidRPr="00FD274F">
        <w:t>•</w:t>
      </w:r>
      <w:r w:rsidRPr="00FD274F">
        <w:tab/>
        <w:t xml:space="preserve">If a legislative instrument is </w:t>
      </w:r>
      <w:proofErr w:type="gramStart"/>
      <w:r w:rsidRPr="00FD274F">
        <w:t>disallowed, or</w:t>
      </w:r>
      <w:proofErr w:type="gramEnd"/>
      <w:r w:rsidRPr="00FD274F">
        <w:t xml:space="preserve"> is not tabled within 6 sitting days of registration, it </w:t>
      </w:r>
      <w:r>
        <w:t>is repealed</w:t>
      </w:r>
      <w:r w:rsidRPr="00FD274F">
        <w:t xml:space="preserve"> immediately and any amendment or repeal made by it is undone.</w:t>
      </w:r>
    </w:p>
    <w:p w14:paraId="03A0C05E" w14:textId="77777777" w:rsidR="00A83991" w:rsidRDefault="00A83991" w:rsidP="00A83991">
      <w:pPr>
        <w:pStyle w:val="SundryBoxBullet"/>
      </w:pPr>
      <w:r w:rsidRPr="00FD274F">
        <w:t>•</w:t>
      </w:r>
      <w:r w:rsidRPr="00FD274F">
        <w:tab/>
        <w:t>A legislative instrument that has been registered recently, that is open to disallowance, or that has been disallowed in the last 6 months, generally cannot be remade.</w:t>
      </w:r>
    </w:p>
    <w:p w14:paraId="49008773" w14:textId="77777777" w:rsidR="00A83991" w:rsidRPr="00FD274F" w:rsidRDefault="00A83991" w:rsidP="00A83991">
      <w:pPr>
        <w:pStyle w:val="Head3"/>
      </w:pPr>
      <w:bookmarkStart w:id="230" w:name="_Toc183694723"/>
      <w:r w:rsidRPr="00FD274F">
        <w:t>Background</w:t>
      </w:r>
      <w:bookmarkEnd w:id="230"/>
    </w:p>
    <w:p w14:paraId="3459348C" w14:textId="77777777" w:rsidR="00A83991" w:rsidRPr="00FD274F" w:rsidRDefault="00A83991" w:rsidP="00A83991">
      <w:pPr>
        <w:pStyle w:val="BodyNum"/>
      </w:pPr>
      <w:r w:rsidRPr="00FD274F">
        <w:t xml:space="preserve">Until 2005, the process for deciding which instruments should be subject to parliamentary scrutiny and disallowance was largely ad hoc. An instrument was disallowable only if its enabling legislation declared it to be a statutory rule or otherwise disallowable, and a variety of disallowance periods and regimes applied. Individual agencies were responsible for delivering instruments </w:t>
      </w:r>
      <w:r>
        <w:t>for tabling if and as required.</w:t>
      </w:r>
    </w:p>
    <w:p w14:paraId="5D41BCAB" w14:textId="3FDF3CFA" w:rsidR="00A83991" w:rsidRPr="00FD274F" w:rsidRDefault="00A83991" w:rsidP="00A83991">
      <w:pPr>
        <w:pStyle w:val="BodyNum"/>
      </w:pPr>
      <w:r w:rsidRPr="00EC7C33">
        <w:t xml:space="preserve">Part 2 of Chapter 3 of the </w:t>
      </w:r>
      <w:hyperlink r:id="rId487" w:history="1">
        <w:hyperlink r:id="rId488" w:history="1">
          <w:hyperlink r:id="rId489" w:history="1">
            <w:hyperlink r:id="rId490" w:history="1">
              <w:r w:rsidRPr="00EC7C33">
                <w:rPr>
                  <w:rStyle w:val="Hyperlink"/>
                </w:rPr>
                <w:t>LA</w:t>
              </w:r>
            </w:hyperlink>
            <w:r w:rsidRPr="00EC7C33">
              <w:rPr>
                <w:rStyle w:val="Hyperlink"/>
              </w:rPr>
              <w:t xml:space="preserve"> </w:t>
            </w:r>
          </w:hyperlink>
        </w:hyperlink>
      </w:hyperlink>
      <w:r w:rsidRPr="00EC7C33">
        <w:t>e</w:t>
      </w:r>
      <w:r w:rsidRPr="00FD274F">
        <w:t>stablishes, with some exceptions, a single regime for parliamentary scrutiny and disallowance of legislative instruments. In particular:</w:t>
      </w:r>
    </w:p>
    <w:p w14:paraId="3DEFD5D8" w14:textId="41B0A2E9" w:rsidR="00A83991" w:rsidRPr="00FD274F" w:rsidRDefault="00A83991" w:rsidP="00A83991">
      <w:pPr>
        <w:pStyle w:val="BodyPara"/>
      </w:pPr>
      <w:r w:rsidRPr="00FD274F">
        <w:t>all legislative instruments must be tabled in each House of the Parliament within 6 sitting days of registration to remain in ef</w:t>
      </w:r>
      <w:r w:rsidRPr="00EC7C33">
        <w:t>fect (</w:t>
      </w:r>
      <w:hyperlink r:id="rId491" w:history="1">
        <w:hyperlink r:id="rId492" w:history="1">
          <w:hyperlink r:id="rId493" w:history="1">
            <w:r w:rsidRPr="00EC7C33">
              <w:rPr>
                <w:rStyle w:val="Hyperlink"/>
              </w:rPr>
              <w:t>LA</w:t>
            </w:r>
          </w:hyperlink>
          <w:r w:rsidRPr="00EC7C33">
            <w:rPr>
              <w:rStyle w:val="Hyperlink"/>
            </w:rPr>
            <w:t xml:space="preserve"> </w:t>
          </w:r>
        </w:hyperlink>
      </w:hyperlink>
      <w:r w:rsidRPr="00EC7C33">
        <w:t>s 38); an</w:t>
      </w:r>
      <w:r w:rsidRPr="00FD274F">
        <w:t>d</w:t>
      </w:r>
    </w:p>
    <w:p w14:paraId="34EBA49F" w14:textId="418006DF" w:rsidR="00A83991" w:rsidRPr="00EC7C33" w:rsidRDefault="00A83991" w:rsidP="00A83991">
      <w:pPr>
        <w:pStyle w:val="BodyPara"/>
        <w:rPr>
          <w:spacing w:val="-2"/>
        </w:rPr>
      </w:pPr>
      <w:r w:rsidRPr="00FD274F">
        <w:rPr>
          <w:spacing w:val="-2"/>
        </w:rPr>
        <w:t xml:space="preserve">all legislative instruments are subject to disallowance by either House for a period of </w:t>
      </w:r>
      <w:r>
        <w:rPr>
          <w:spacing w:val="-2"/>
        </w:rPr>
        <w:t xml:space="preserve">at least </w:t>
      </w:r>
      <w:r w:rsidRPr="00FD274F">
        <w:rPr>
          <w:spacing w:val="-2"/>
        </w:rPr>
        <w:t>15 sitt</w:t>
      </w:r>
      <w:r w:rsidRPr="00EC7C33">
        <w:rPr>
          <w:spacing w:val="-2"/>
        </w:rPr>
        <w:t>ing days (</w:t>
      </w:r>
      <w:hyperlink r:id="rId494" w:history="1">
        <w:hyperlink r:id="rId495" w:history="1">
          <w:hyperlink r:id="rId496" w:history="1">
            <w:r w:rsidRPr="00EC7C33">
              <w:rPr>
                <w:rStyle w:val="Hyperlink"/>
              </w:rPr>
              <w:t>LA</w:t>
            </w:r>
          </w:hyperlink>
          <w:r w:rsidRPr="00EC7C33">
            <w:rPr>
              <w:rStyle w:val="Hyperlink"/>
            </w:rPr>
            <w:t xml:space="preserve"> </w:t>
          </w:r>
        </w:hyperlink>
      </w:hyperlink>
      <w:r w:rsidRPr="00EC7C33">
        <w:rPr>
          <w:spacing w:val="-2"/>
        </w:rPr>
        <w:t>s 42), u</w:t>
      </w:r>
      <w:r w:rsidRPr="00FD274F">
        <w:rPr>
          <w:spacing w:val="-2"/>
        </w:rPr>
        <w:t>nless an exemption applies (</w:t>
      </w:r>
      <w:hyperlink r:id="rId497" w:history="1">
        <w:hyperlink r:id="rId498" w:history="1">
          <w:hyperlink r:id="rId499" w:history="1">
            <w:r w:rsidRPr="00EC7C33">
              <w:rPr>
                <w:rStyle w:val="Hyperlink"/>
              </w:rPr>
              <w:t>LA</w:t>
            </w:r>
          </w:hyperlink>
          <w:r w:rsidRPr="00EC7C33">
            <w:rPr>
              <w:rStyle w:val="Hyperlink"/>
            </w:rPr>
            <w:t xml:space="preserve"> </w:t>
          </w:r>
        </w:hyperlink>
      </w:hyperlink>
      <w:r w:rsidRPr="00EC7C33">
        <w:rPr>
          <w:spacing w:val="-2"/>
        </w:rPr>
        <w:t>s</w:t>
      </w:r>
      <w:r w:rsidRPr="00EC7C33">
        <w:t> </w:t>
      </w:r>
      <w:r w:rsidRPr="00EC7C33">
        <w:rPr>
          <w:spacing w:val="-2"/>
        </w:rPr>
        <w:t>44); and</w:t>
      </w:r>
    </w:p>
    <w:p w14:paraId="4F1749D8" w14:textId="09B00512" w:rsidR="00A83991" w:rsidRPr="00FD274F" w:rsidRDefault="00A83991" w:rsidP="00A83991">
      <w:pPr>
        <w:pStyle w:val="BodyPara"/>
      </w:pPr>
      <w:r w:rsidRPr="00FD274F">
        <w:lastRenderedPageBreak/>
        <w:t>a legislative instrument generally cannot be remade pending tabling or for a period after tabli</w:t>
      </w:r>
      <w:r w:rsidRPr="00EC7C33">
        <w:t>ng (</w:t>
      </w:r>
      <w:hyperlink r:id="rId500" w:history="1">
        <w:hyperlink r:id="rId501" w:history="1">
          <w:hyperlink r:id="rId502" w:history="1">
            <w:r w:rsidRPr="00EC7C33">
              <w:rPr>
                <w:rStyle w:val="Hyperlink"/>
              </w:rPr>
              <w:t>LA</w:t>
            </w:r>
          </w:hyperlink>
          <w:r w:rsidRPr="00EC7C33">
            <w:rPr>
              <w:rStyle w:val="Hyperlink"/>
            </w:rPr>
            <w:t xml:space="preserve"> </w:t>
          </w:r>
        </w:hyperlink>
      </w:hyperlink>
      <w:r w:rsidRPr="00EC7C33">
        <w:t>s 46), w</w:t>
      </w:r>
      <w:r w:rsidRPr="00FD274F">
        <w:t>hile open to disallowanc</w:t>
      </w:r>
      <w:r w:rsidRPr="00EC7C33">
        <w:t>e (</w:t>
      </w:r>
      <w:hyperlink r:id="rId503" w:history="1">
        <w:hyperlink r:id="rId504" w:history="1">
          <w:hyperlink r:id="rId505" w:history="1">
            <w:r w:rsidRPr="00EC7C33">
              <w:rPr>
                <w:rStyle w:val="Hyperlink"/>
              </w:rPr>
              <w:t>LA</w:t>
            </w:r>
          </w:hyperlink>
          <w:r w:rsidRPr="00EC7C33">
            <w:rPr>
              <w:rStyle w:val="Hyperlink"/>
            </w:rPr>
            <w:t xml:space="preserve"> </w:t>
          </w:r>
        </w:hyperlink>
      </w:hyperlink>
      <w:r w:rsidRPr="00EC7C33">
        <w:t>s 47)</w:t>
      </w:r>
      <w:r w:rsidRPr="00FD274F">
        <w:t xml:space="preserve"> or, if the instrument is disallowed, for 6 months after disallow</w:t>
      </w:r>
      <w:r w:rsidRPr="00EC7C33">
        <w:t>ance (</w:t>
      </w:r>
      <w:hyperlink r:id="rId506" w:history="1">
        <w:hyperlink r:id="rId507" w:history="1">
          <w:hyperlink r:id="rId508" w:history="1">
            <w:r w:rsidRPr="00EC7C33">
              <w:rPr>
                <w:rStyle w:val="Hyperlink"/>
              </w:rPr>
              <w:t>LA</w:t>
            </w:r>
          </w:hyperlink>
          <w:r w:rsidRPr="00EC7C33">
            <w:rPr>
              <w:rStyle w:val="Hyperlink"/>
            </w:rPr>
            <w:t xml:space="preserve"> </w:t>
          </w:r>
        </w:hyperlink>
      </w:hyperlink>
      <w:r w:rsidRPr="00EC7C33">
        <w:t>s 48).</w:t>
      </w:r>
    </w:p>
    <w:p w14:paraId="4B78B464" w14:textId="04C7EDF2" w:rsidR="00A83991" w:rsidRPr="00EC7C33" w:rsidRDefault="00A83991" w:rsidP="00A83991">
      <w:pPr>
        <w:pStyle w:val="BodyNum"/>
        <w:keepNext/>
        <w:keepLines/>
      </w:pPr>
      <w:bookmarkStart w:id="231" w:name="_Ref440451882"/>
      <w:r w:rsidRPr="00FD274F">
        <w:t xml:space="preserve">The Parliament’s sitting schedule is normally released at the start of each Parliament and each year, but extra sittings may be scheduled as needed. The Houses may sit on different days, and a </w:t>
      </w:r>
      <w:r w:rsidRPr="00FD274F">
        <w:rPr>
          <w:b/>
          <w:i/>
        </w:rPr>
        <w:t>sitting day</w:t>
      </w:r>
      <w:r w:rsidRPr="00FD274F">
        <w:t xml:space="preserve"> does not necessarily correspond to a calendar day</w:t>
      </w:r>
      <w:r>
        <w:t xml:space="preserve"> </w:t>
      </w:r>
      <w:r w:rsidRPr="00EC7C33">
        <w:t xml:space="preserve">(see </w:t>
      </w:r>
      <w:hyperlink r:id="rId509" w:history="1">
        <w:hyperlink r:id="rId510" w:history="1">
          <w:r w:rsidRPr="00EC7C33">
            <w:rPr>
              <w:rStyle w:val="Hyperlink"/>
              <w:i/>
            </w:rPr>
            <w:t>Acts Interpretation Act 1901</w:t>
          </w:r>
        </w:hyperlink>
      </w:hyperlink>
      <w:r w:rsidRPr="00EC7C33">
        <w:t xml:space="preserve"> s 2M). For example:</w:t>
      </w:r>
      <w:bookmarkEnd w:id="231"/>
    </w:p>
    <w:p w14:paraId="70AD40C2" w14:textId="77777777" w:rsidR="00A83991" w:rsidRPr="00FD274F" w:rsidRDefault="00A83991" w:rsidP="00A83991">
      <w:pPr>
        <w:pStyle w:val="BodyPara"/>
      </w:pPr>
      <w:r w:rsidRPr="00FD274F">
        <w:t>a sitting day may extend beyond a calenda</w:t>
      </w:r>
      <w:r>
        <w:t>r day if a House sits late; and</w:t>
      </w:r>
    </w:p>
    <w:p w14:paraId="419A49EA" w14:textId="77777777" w:rsidR="00A83991" w:rsidRPr="00CA2E52" w:rsidRDefault="00A83991" w:rsidP="00A83991">
      <w:pPr>
        <w:pStyle w:val="BodyPara"/>
      </w:pPr>
      <w:r w:rsidRPr="00CA2E52">
        <w:t xml:space="preserve">a sitting </w:t>
      </w:r>
      <w:r>
        <w:t xml:space="preserve">without adjournment </w:t>
      </w:r>
      <w:r w:rsidRPr="00CA2E52">
        <w:t>that is suspended and resumes on a later day onl</w:t>
      </w:r>
      <w:r>
        <w:t>y counts as one sitting day.</w:t>
      </w:r>
    </w:p>
    <w:p w14:paraId="57125E2A" w14:textId="059026F8" w:rsidR="00A83991" w:rsidRPr="00FD274F" w:rsidRDefault="00A83991" w:rsidP="00A83991">
      <w:pPr>
        <w:pStyle w:val="BodyNum"/>
      </w:pPr>
      <w:r w:rsidRPr="00FD274F">
        <w:t>For the purpose</w:t>
      </w:r>
      <w:r w:rsidRPr="00EC7C33">
        <w:t xml:space="preserve">s of Part 2 of Chapter 3 of the </w:t>
      </w:r>
      <w:hyperlink r:id="rId511" w:history="1">
        <w:hyperlink r:id="rId512" w:history="1">
          <w:hyperlink r:id="rId513" w:history="1">
            <w:r w:rsidRPr="00EC7C33">
              <w:rPr>
                <w:rStyle w:val="Hyperlink"/>
              </w:rPr>
              <w:t>LA</w:t>
            </w:r>
          </w:hyperlink>
        </w:hyperlink>
      </w:hyperlink>
      <w:r w:rsidRPr="00EC7C33">
        <w:t>, 15</w:t>
      </w:r>
      <w:r w:rsidRPr="00FD274F">
        <w:t xml:space="preserve"> sitting days of a House of the Parliament can equate to several months and is calculated from the first sitting day of a House after the sitting day on which the instrument is tabled. Similarly, the 6</w:t>
      </w:r>
      <w:r>
        <w:noBreakHyphen/>
      </w:r>
      <w:r w:rsidRPr="00FD274F">
        <w:t>sitting day deadline for the tabling of an instrument is calculated from the first sitting day of a House after the day of registration.</w:t>
      </w:r>
    </w:p>
    <w:p w14:paraId="76B34806" w14:textId="77777777" w:rsidR="00A83991" w:rsidRPr="00FD274F" w:rsidRDefault="00A83991" w:rsidP="00A83991">
      <w:pPr>
        <w:pStyle w:val="Head4"/>
      </w:pPr>
      <w:bookmarkStart w:id="232" w:name="_Toc183694724"/>
      <w:r w:rsidRPr="00FD274F">
        <w:t>If an enabling Act has special requirements for tabling or disallowance</w:t>
      </w:r>
      <w:bookmarkEnd w:id="232"/>
    </w:p>
    <w:p w14:paraId="56DEF50E" w14:textId="25F84872" w:rsidR="00A83991" w:rsidRPr="00FD274F" w:rsidRDefault="00A83991" w:rsidP="00A83991">
      <w:pPr>
        <w:pStyle w:val="BodyNum"/>
      </w:pPr>
      <w:r w:rsidRPr="00FD274F">
        <w:t xml:space="preserve">An instrument’s enabling legislation sometimes includes provisions for the tabling or disallowance of instruments that duplicate or differ from the standard regime established by the </w:t>
      </w:r>
      <w:hyperlink r:id="rId514" w:history="1">
        <w:hyperlink r:id="rId515" w:history="1">
          <w:hyperlink r:id="rId516" w:history="1">
            <w:r w:rsidRPr="00EC7C33">
              <w:rPr>
                <w:rStyle w:val="Hyperlink"/>
              </w:rPr>
              <w:t>LA</w:t>
            </w:r>
          </w:hyperlink>
        </w:hyperlink>
      </w:hyperlink>
      <w:r w:rsidRPr="00EC7C33">
        <w:t>.</w:t>
      </w:r>
      <w:r w:rsidRPr="00FD274F">
        <w:t xml:space="preserve"> The </w:t>
      </w:r>
      <w:hyperlink r:id="rId517" w:history="1">
        <w:hyperlink r:id="rId518" w:history="1">
          <w:hyperlink r:id="rId519" w:history="1">
            <w:r w:rsidRPr="00EC7C33">
              <w:rPr>
                <w:rStyle w:val="Hyperlink"/>
              </w:rPr>
              <w:t>LA</w:t>
            </w:r>
          </w:hyperlink>
        </w:hyperlink>
      </w:hyperlink>
      <w:r w:rsidRPr="00EC7C33">
        <w:t xml:space="preserve"> wi</w:t>
      </w:r>
      <w:r w:rsidRPr="00FD274F">
        <w:t>ll generally displace such special provisions, unless they:</w:t>
      </w:r>
    </w:p>
    <w:p w14:paraId="426C0310" w14:textId="1B506478" w:rsidR="00A83991" w:rsidRPr="00FD274F" w:rsidRDefault="00A83991" w:rsidP="00A83991">
      <w:pPr>
        <w:pStyle w:val="BodyPara"/>
      </w:pPr>
      <w:r w:rsidRPr="00FD274F">
        <w:t xml:space="preserve">are preserved by regulations made under </w:t>
      </w:r>
      <w:r w:rsidRPr="00EC7C33">
        <w:t xml:space="preserve">subsection 57(5) of the </w:t>
      </w:r>
      <w:hyperlink r:id="rId520" w:history="1">
        <w:hyperlink r:id="rId521" w:history="1">
          <w:hyperlink r:id="rId522" w:history="1">
            <w:r w:rsidRPr="00EC7C33">
              <w:rPr>
                <w:rStyle w:val="Hyperlink"/>
              </w:rPr>
              <w:t>LA</w:t>
            </w:r>
          </w:hyperlink>
        </w:hyperlink>
      </w:hyperlink>
      <w:r w:rsidRPr="00EC7C33">
        <w:t>;</w:t>
      </w:r>
      <w:r w:rsidRPr="00FD274F">
        <w:t xml:space="preserve"> </w:t>
      </w:r>
      <w:r>
        <w:t>or</w:t>
      </w:r>
    </w:p>
    <w:p w14:paraId="44BE42A5" w14:textId="762B22B0" w:rsidR="00A83991" w:rsidRPr="00FD274F" w:rsidRDefault="00A83991" w:rsidP="00A83991">
      <w:pPr>
        <w:pStyle w:val="BodyPara"/>
      </w:pPr>
      <w:r w:rsidRPr="00FD274F">
        <w:t xml:space="preserve">were made after the </w:t>
      </w:r>
      <w:hyperlink r:id="rId523" w:history="1">
        <w:r w:rsidRPr="00EC7C33">
          <w:rPr>
            <w:rStyle w:val="Hyperlink"/>
          </w:rPr>
          <w:t>LA</w:t>
        </w:r>
      </w:hyperlink>
      <w:r w:rsidRPr="00FD274F">
        <w:t xml:space="preserve"> commenced on 1 January 2005.</w:t>
      </w:r>
    </w:p>
    <w:p w14:paraId="520F98DE" w14:textId="6FDEA4A2" w:rsidR="00A83991" w:rsidRPr="00FD274F" w:rsidRDefault="00A83991" w:rsidP="00A83991">
      <w:pPr>
        <w:pStyle w:val="BodyNum"/>
      </w:pPr>
      <w:r w:rsidRPr="00FD274F">
        <w:t xml:space="preserve">If a special regime for tabling or disallowance applies, agencies should flag this as a special requirement when lodging the instrument for </w:t>
      </w:r>
      <w:proofErr w:type="gramStart"/>
      <w:r w:rsidRPr="00FD274F">
        <w:t>registration, and</w:t>
      </w:r>
      <w:proofErr w:type="gramEnd"/>
      <w:r w:rsidRPr="00FD274F">
        <w:t xml:space="preserve"> make their own calculations as to deadlines. Agencies should also consider adopting </w:t>
      </w:r>
      <w:r w:rsidRPr="00EC7C33">
        <w:t xml:space="preserve">the </w:t>
      </w:r>
      <w:hyperlink r:id="rId524" w:history="1">
        <w:r w:rsidRPr="00EC7C33">
          <w:rPr>
            <w:rStyle w:val="Hyperlink"/>
          </w:rPr>
          <w:t>LA</w:t>
        </w:r>
      </w:hyperlink>
      <w:r w:rsidRPr="00EC7C33">
        <w:t xml:space="preserve"> s</w:t>
      </w:r>
      <w:r w:rsidRPr="00FD274F">
        <w:t xml:space="preserve">tandard to avoid making the scrutiny process more complex than it needs to </w:t>
      </w:r>
      <w:r w:rsidRPr="00EC7C33">
        <w:t>be</w:t>
      </w:r>
      <w:r w:rsidRPr="00EC7C33">
        <w:rPr>
          <w:rStyle w:val="FootnoteReference"/>
        </w:rPr>
        <w:footnoteReference w:id="34"/>
      </w:r>
      <w:r w:rsidRPr="00EC7C33">
        <w:t>.</w:t>
      </w:r>
    </w:p>
    <w:p w14:paraId="3B687030" w14:textId="77777777" w:rsidR="00A83991" w:rsidRPr="00FD274F" w:rsidRDefault="00A83991" w:rsidP="00A83991">
      <w:pPr>
        <w:pStyle w:val="Head3"/>
      </w:pPr>
      <w:bookmarkStart w:id="233" w:name="_Toc183694725"/>
      <w:r>
        <w:t xml:space="preserve">Responsibility </w:t>
      </w:r>
      <w:r w:rsidRPr="00FD274F">
        <w:t>for delivering instruments for tabling</w:t>
      </w:r>
      <w:bookmarkEnd w:id="233"/>
    </w:p>
    <w:p w14:paraId="30A4BEB9" w14:textId="4883B914" w:rsidR="00A83991" w:rsidRPr="00FD274F" w:rsidRDefault="00A83991" w:rsidP="00A83991">
      <w:pPr>
        <w:pStyle w:val="BodyNum"/>
      </w:pPr>
      <w:r w:rsidRPr="00FD274F">
        <w:t>OPC is responsible for delivering registered instruments for tabling (</w:t>
      </w:r>
      <w:hyperlink r:id="rId525" w:history="1">
        <w:hyperlink r:id="rId526" w:history="1">
          <w:hyperlink r:id="rId527" w:history="1">
            <w:hyperlink r:id="rId528" w:history="1">
              <w:r w:rsidRPr="00EC7C33">
                <w:rPr>
                  <w:rStyle w:val="Hyperlink"/>
                </w:rPr>
                <w:t>LA</w:t>
              </w:r>
            </w:hyperlink>
            <w:r w:rsidRPr="00EC7C33">
              <w:rPr>
                <w:rStyle w:val="Hyperlink"/>
              </w:rPr>
              <w:t xml:space="preserve"> </w:t>
            </w:r>
          </w:hyperlink>
        </w:hyperlink>
      </w:hyperlink>
      <w:r w:rsidRPr="00EC7C33">
        <w:t>s 38(1)),</w:t>
      </w:r>
      <w:r w:rsidRPr="00FD274F">
        <w:t xml:space="preserve"> and generally does so as soon as practicable after they are registered whether or not the Parliament is sitting. As part of this process, OPC:</w:t>
      </w:r>
    </w:p>
    <w:p w14:paraId="3B359E84" w14:textId="5EF3C8F9" w:rsidR="00A83991" w:rsidRPr="00FD274F" w:rsidRDefault="00A83991" w:rsidP="00A83991">
      <w:pPr>
        <w:pStyle w:val="BodyPara"/>
      </w:pPr>
      <w:r>
        <w:t>delivers</w:t>
      </w:r>
      <w:r w:rsidRPr="00FD274F">
        <w:t xml:space="preserve"> </w:t>
      </w:r>
      <w:r>
        <w:t>hard copies of each instrument and its explanatory statement, including any supplementary materials such as a</w:t>
      </w:r>
      <w:r w:rsidR="00F4097B">
        <w:t>n Impact Analysis</w:t>
      </w:r>
      <w:r>
        <w:t>, to the Table Offices</w:t>
      </w:r>
      <w:r w:rsidRPr="00FD274F">
        <w:t>; and</w:t>
      </w:r>
    </w:p>
    <w:p w14:paraId="130F0998" w14:textId="77777777" w:rsidR="00A83991" w:rsidRPr="00FD274F" w:rsidRDefault="00A83991" w:rsidP="00A83991">
      <w:pPr>
        <w:pStyle w:val="BodyPara"/>
      </w:pPr>
      <w:r w:rsidRPr="00FD274F">
        <w:t>works wi</w:t>
      </w:r>
      <w:r>
        <w:t>th the T</w:t>
      </w:r>
      <w:r w:rsidRPr="00FD274F">
        <w:t xml:space="preserve">able </w:t>
      </w:r>
      <w:r>
        <w:t>O</w:t>
      </w:r>
      <w:r w:rsidRPr="00FD274F">
        <w:t>ffices to ensure that instruments are tabled before the relevant deadline</w:t>
      </w:r>
      <w:r>
        <w:t>.</w:t>
      </w:r>
    </w:p>
    <w:p w14:paraId="42EFC550" w14:textId="44445152" w:rsidR="00A83991" w:rsidRDefault="00A83991" w:rsidP="00A83991">
      <w:pPr>
        <w:pStyle w:val="BodyNum"/>
      </w:pPr>
      <w:r>
        <w:lastRenderedPageBreak/>
        <w:t>OPC is also responsible for delivering rectified disallowable legislative instruments for re</w:t>
      </w:r>
      <w:r>
        <w:noBreakHyphen/>
        <w:t xml:space="preserve">tabling </w:t>
      </w:r>
      <w:r w:rsidRPr="00FD274F">
        <w:t>(</w:t>
      </w:r>
      <w:r>
        <w:t>s</w:t>
      </w:r>
      <w:r w:rsidRPr="007809FB">
        <w:t xml:space="preserve">ee paragraph </w:t>
      </w:r>
      <w:r w:rsidRPr="007809FB">
        <w:fldChar w:fldCharType="begin"/>
      </w:r>
      <w:r w:rsidRPr="007809FB">
        <w:instrText xml:space="preserve"> REF _Ref2948989 \r \h </w:instrText>
      </w:r>
      <w:r>
        <w:rPr>
          <w:highlight w:val="yellow"/>
        </w:rPr>
        <w:instrText xml:space="preserve"> \* MERGEFORMAT </w:instrText>
      </w:r>
      <w:r w:rsidRPr="007809FB">
        <w:fldChar w:fldCharType="separate"/>
      </w:r>
      <w:r w:rsidR="00833171">
        <w:t>228</w:t>
      </w:r>
      <w:r w:rsidRPr="007809FB">
        <w:fldChar w:fldCharType="end"/>
      </w:r>
      <w:r w:rsidRPr="007809FB">
        <w:t xml:space="preserve"> a</w:t>
      </w:r>
      <w:r>
        <w:t xml:space="preserve">nd </w:t>
      </w:r>
      <w:hyperlink r:id="rId529" w:history="1">
        <w:hyperlink r:id="rId530" w:history="1">
          <w:hyperlink r:id="rId531" w:history="1">
            <w:hyperlink r:id="rId532" w:history="1">
              <w:r w:rsidRPr="00EC7C33">
                <w:rPr>
                  <w:rStyle w:val="Hyperlink"/>
                </w:rPr>
                <w:t>LA</w:t>
              </w:r>
            </w:hyperlink>
            <w:r w:rsidRPr="00EC7C33">
              <w:rPr>
                <w:rStyle w:val="Hyperlink"/>
              </w:rPr>
              <w:t xml:space="preserve"> </w:t>
            </w:r>
          </w:hyperlink>
        </w:hyperlink>
      </w:hyperlink>
      <w:r w:rsidRPr="00EC7C33">
        <w:t>s 15DA(2)).</w:t>
      </w:r>
    </w:p>
    <w:p w14:paraId="037177A4" w14:textId="77777777" w:rsidR="00A83991" w:rsidRDefault="00A83991" w:rsidP="00A83991">
      <w:pPr>
        <w:pStyle w:val="BodyNum"/>
      </w:pPr>
      <w:r>
        <w:t xml:space="preserve">If an agency wants registered documents tabled urgently, or has some other specific tabling requirement, the agency should go through its normal parliamentary liaison channels to </w:t>
      </w:r>
      <w:proofErr w:type="gramStart"/>
      <w:r>
        <w:t>make an arrangement</w:t>
      </w:r>
      <w:proofErr w:type="gramEnd"/>
      <w:r>
        <w:t xml:space="preserve"> with the Table Offices and relevant scrutiny bodies.</w:t>
      </w:r>
    </w:p>
    <w:p w14:paraId="33077F6F" w14:textId="77777777" w:rsidR="00A83991" w:rsidRDefault="00A83991" w:rsidP="00A83991">
      <w:pPr>
        <w:pStyle w:val="BodyNum"/>
      </w:pPr>
      <w:r>
        <w:t>For urgent tabling, please note that:</w:t>
      </w:r>
    </w:p>
    <w:p w14:paraId="41B08949" w14:textId="77777777" w:rsidR="00A83991" w:rsidRDefault="00A83991" w:rsidP="00B25E03">
      <w:pPr>
        <w:pStyle w:val="BodyPara"/>
      </w:pPr>
      <w:r>
        <w:t xml:space="preserve">OPC will work to prepare registered documents and reports for delivery to the table offices as soon as practicable but, particularly for larger documents, consideration for processing time should be </w:t>
      </w:r>
      <w:proofErr w:type="gramStart"/>
      <w:r>
        <w:t>taken into account</w:t>
      </w:r>
      <w:proofErr w:type="gramEnd"/>
      <w:r>
        <w:t>; and</w:t>
      </w:r>
    </w:p>
    <w:p w14:paraId="2C8F85B2" w14:textId="77777777" w:rsidR="00A83991" w:rsidRDefault="00A83991" w:rsidP="00B25E03">
      <w:pPr>
        <w:pStyle w:val="BodyPara"/>
      </w:pPr>
      <w:r>
        <w:t>while agencies are required to negotiate any special arrangements with the Table Offices, OPC is still responsible for the delivery of registered documents for tabling.</w:t>
      </w:r>
    </w:p>
    <w:p w14:paraId="1908BEC8" w14:textId="02AE27B3" w:rsidR="00A83991" w:rsidRPr="00FD274F" w:rsidRDefault="00A83991" w:rsidP="00A83991">
      <w:pPr>
        <w:pStyle w:val="BodyNum"/>
      </w:pPr>
      <w:r w:rsidRPr="00FD274F">
        <w:t xml:space="preserve">There are strict deadlines for tabling instruments. If a registered instrument is not tabled in a House of the Parliament within 6 sitting days after the day of registration, it </w:t>
      </w:r>
      <w:r>
        <w:t>is repealed</w:t>
      </w:r>
      <w:r w:rsidRPr="00FD274F">
        <w:t xml:space="preserve"> immediately after the 6th da</w:t>
      </w:r>
      <w:r w:rsidRPr="00EC7C33">
        <w:t>y (</w:t>
      </w:r>
      <w:hyperlink r:id="rId533" w:history="1">
        <w:hyperlink r:id="rId534" w:history="1">
          <w:hyperlink r:id="rId535" w:history="1">
            <w:hyperlink r:id="rId536" w:history="1">
              <w:r w:rsidRPr="00EC7C33">
                <w:rPr>
                  <w:rStyle w:val="Hyperlink"/>
                </w:rPr>
                <w:t>LA</w:t>
              </w:r>
            </w:hyperlink>
            <w:r w:rsidRPr="00EC7C33">
              <w:rPr>
                <w:rStyle w:val="Hyperlink"/>
              </w:rPr>
              <w:t xml:space="preserve"> </w:t>
            </w:r>
          </w:hyperlink>
        </w:hyperlink>
      </w:hyperlink>
      <w:r w:rsidRPr="00EC7C33">
        <w:t>s 38(3)).</w:t>
      </w:r>
    </w:p>
    <w:p w14:paraId="7F8BAC36" w14:textId="77777777" w:rsidR="00A83991" w:rsidRPr="00FD274F" w:rsidRDefault="00A83991" w:rsidP="00A83991">
      <w:pPr>
        <w:pStyle w:val="BodyNum"/>
      </w:pPr>
      <w:r w:rsidRPr="00FD274F">
        <w:t>OPC monitors tabling processes and routinely records relevant dates in the Register for the information of agency staff and external stakeholders. Tabling information can also be obtained from the Journals of the Senat</w:t>
      </w:r>
      <w:r w:rsidRPr="00EC7C33">
        <w:t>e</w:t>
      </w:r>
      <w:r w:rsidRPr="00EC7C33">
        <w:rPr>
          <w:rStyle w:val="FootnoteReference"/>
        </w:rPr>
        <w:footnoteReference w:id="35"/>
      </w:r>
      <w:r w:rsidRPr="00EC7C33">
        <w:t xml:space="preserve"> a</w:t>
      </w:r>
      <w:r w:rsidRPr="00FD274F">
        <w:t>nd the Votes and Proceedings of the House of Representative</w:t>
      </w:r>
      <w:r w:rsidRPr="00EC7C33">
        <w:t>s</w:t>
      </w:r>
      <w:r w:rsidRPr="00EC7C33">
        <w:rPr>
          <w:rStyle w:val="FootnoteReference"/>
        </w:rPr>
        <w:footnoteReference w:id="36"/>
      </w:r>
      <w:r w:rsidRPr="00EC7C33">
        <w:t>.</w:t>
      </w:r>
    </w:p>
    <w:p w14:paraId="2C5A7E3E" w14:textId="77777777" w:rsidR="00A83991" w:rsidRPr="00FD274F" w:rsidRDefault="00A83991" w:rsidP="00A83991">
      <w:pPr>
        <w:pStyle w:val="Head4"/>
      </w:pPr>
      <w:bookmarkStart w:id="234" w:name="_Toc183694726"/>
      <w:r w:rsidRPr="00FD274F">
        <w:t>If either House requires more information</w:t>
      </w:r>
      <w:bookmarkEnd w:id="234"/>
    </w:p>
    <w:p w14:paraId="26A9D649" w14:textId="77777777" w:rsidR="00A83991" w:rsidRPr="00FD274F" w:rsidRDefault="00A83991" w:rsidP="00A83991">
      <w:pPr>
        <w:pStyle w:val="BodyNum"/>
      </w:pPr>
      <w:bookmarkStart w:id="235" w:name="_Ref435530013"/>
      <w:r w:rsidRPr="00FD274F">
        <w:t>If a House of the Parliament requires more information about an instrument, the matter would normally be raised directly with the responsible Minister. A prompt response is usually enough to resolve factual questions associated with vague or incomplete explanatory material, or access to material incorporated by reference.</w:t>
      </w:r>
      <w:bookmarkEnd w:id="235"/>
    </w:p>
    <w:p w14:paraId="5C8E661D" w14:textId="5D49FDD6" w:rsidR="00A83991" w:rsidRPr="00FD274F" w:rsidRDefault="00A83991" w:rsidP="00A83991">
      <w:pPr>
        <w:pStyle w:val="BodyNum"/>
      </w:pPr>
      <w:r w:rsidRPr="00FD274F">
        <w:t xml:space="preserve"> </w:t>
      </w:r>
      <w:bookmarkStart w:id="236" w:name="_Ref435530018"/>
      <w:r w:rsidRPr="00FD274F">
        <w:t xml:space="preserve">If the matter is not dealt with to the satisfaction of a House, that House may escalate </w:t>
      </w:r>
      <w:r>
        <w:t>the matter</w:t>
      </w:r>
      <w:r w:rsidRPr="00FD274F">
        <w:t xml:space="preserve"> </w:t>
      </w:r>
      <w:r w:rsidR="008E78A8">
        <w:t>(</w:t>
      </w:r>
      <w:r w:rsidRPr="00FD274F">
        <w:t>for example, by giving notice of motion to disallow the instrument</w:t>
      </w:r>
      <w:r w:rsidR="008E78A8">
        <w:t>)</w:t>
      </w:r>
      <w:r w:rsidRPr="00FD274F">
        <w:t>. Less commonly, a House may also choose:</w:t>
      </w:r>
      <w:bookmarkEnd w:id="236"/>
    </w:p>
    <w:p w14:paraId="5DF05E32" w14:textId="3FEFB1DA" w:rsidR="00A83991" w:rsidRPr="00FD274F" w:rsidRDefault="00A83991" w:rsidP="00A83991">
      <w:pPr>
        <w:pStyle w:val="BodyPara"/>
      </w:pPr>
      <w:r w:rsidRPr="00FD274F">
        <w:t>to formally require documents incorporated by reference in a disallowable legislative instrument to be made available for inspe</w:t>
      </w:r>
      <w:r w:rsidRPr="00EC7C33">
        <w:t>ction (</w:t>
      </w:r>
      <w:hyperlink r:id="rId537" w:history="1">
        <w:hyperlink r:id="rId538" w:history="1">
          <w:hyperlink r:id="rId539" w:history="1">
            <w:hyperlink r:id="rId540" w:history="1">
              <w:r w:rsidRPr="00EC7C33">
                <w:rPr>
                  <w:rStyle w:val="Hyperlink"/>
                </w:rPr>
                <w:t>LA</w:t>
              </w:r>
            </w:hyperlink>
            <w:r w:rsidRPr="00EC7C33">
              <w:rPr>
                <w:rStyle w:val="Hyperlink"/>
              </w:rPr>
              <w:t xml:space="preserve"> </w:t>
            </w:r>
          </w:hyperlink>
        </w:hyperlink>
      </w:hyperlink>
      <w:r w:rsidRPr="00EC7C33">
        <w:t>s 41);</w:t>
      </w:r>
      <w:r w:rsidRPr="00FD274F">
        <w:t xml:space="preserve"> or</w:t>
      </w:r>
    </w:p>
    <w:p w14:paraId="695A8113" w14:textId="77777777" w:rsidR="00A83991" w:rsidRPr="00FD274F" w:rsidRDefault="00A83991" w:rsidP="00A83991">
      <w:pPr>
        <w:pStyle w:val="BodyPara"/>
      </w:pPr>
      <w:r w:rsidRPr="00FD274F">
        <w:t>to refer a matter to a committee for investigation; or</w:t>
      </w:r>
    </w:p>
    <w:p w14:paraId="501698BB" w14:textId="77777777" w:rsidR="00A83991" w:rsidRPr="00FD274F" w:rsidRDefault="00A83991" w:rsidP="00A83991">
      <w:pPr>
        <w:pStyle w:val="BodyPara"/>
      </w:pPr>
      <w:r w:rsidRPr="00FD274F">
        <w:t>to call witnesses to answer questions at hearings, which may be open or broadcast to the public.</w:t>
      </w:r>
    </w:p>
    <w:p w14:paraId="0DEE2E2E" w14:textId="77777777" w:rsidR="00A83991" w:rsidRPr="00FD274F" w:rsidRDefault="00A83991" w:rsidP="00A83991">
      <w:pPr>
        <w:pStyle w:val="Head4"/>
      </w:pPr>
      <w:bookmarkStart w:id="237" w:name="_Toc183694727"/>
      <w:r w:rsidRPr="00FD274F">
        <w:lastRenderedPageBreak/>
        <w:t>If extra documents need to be tabled or made available</w:t>
      </w:r>
      <w:bookmarkEnd w:id="237"/>
    </w:p>
    <w:p w14:paraId="056E51F0" w14:textId="158FAC92" w:rsidR="00A83991" w:rsidRDefault="00A83991" w:rsidP="00A83991">
      <w:pPr>
        <w:pStyle w:val="BodyNum"/>
      </w:pPr>
      <w:bookmarkStart w:id="238" w:name="_Ref384719737"/>
      <w:r w:rsidRPr="00FD274F">
        <w:t>If a replacement or supplementary explanatory statement is issued, it needs to meet certain requirements and should be lodged promptly with OPC for registration and delivery for tabling (see paragra</w:t>
      </w:r>
      <w:r w:rsidRPr="00F431F8">
        <w:t xml:space="preserve">phs </w:t>
      </w:r>
      <w:r w:rsidRPr="00EC7C33">
        <w:fldChar w:fldCharType="begin"/>
      </w:r>
      <w:r w:rsidRPr="00F431F8">
        <w:instrText xml:space="preserve"> REF _Ref29483854 \r \h </w:instrText>
      </w:r>
      <w:r>
        <w:rPr>
          <w:highlight w:val="yellow"/>
        </w:rPr>
        <w:instrText xml:space="preserve"> \* MERGEFORMAT </w:instrText>
      </w:r>
      <w:r w:rsidRPr="00EC7C33">
        <w:fldChar w:fldCharType="separate"/>
      </w:r>
      <w:r w:rsidR="00833171">
        <w:t>302</w:t>
      </w:r>
      <w:r w:rsidRPr="00EC7C33">
        <w:fldChar w:fldCharType="end"/>
      </w:r>
      <w:r w:rsidRPr="00F431F8">
        <w:t xml:space="preserve"> to </w:t>
      </w:r>
      <w:r w:rsidRPr="00EC7C33">
        <w:fldChar w:fldCharType="begin"/>
      </w:r>
      <w:r w:rsidRPr="00F431F8">
        <w:instrText xml:space="preserve"> REF _Ref29483856 \r \h </w:instrText>
      </w:r>
      <w:r>
        <w:rPr>
          <w:highlight w:val="yellow"/>
        </w:rPr>
        <w:instrText xml:space="preserve"> \* MERGEFORMAT </w:instrText>
      </w:r>
      <w:r w:rsidRPr="00EC7C33">
        <w:fldChar w:fldCharType="separate"/>
      </w:r>
      <w:r w:rsidR="00833171">
        <w:t>304</w:t>
      </w:r>
      <w:r w:rsidRPr="00EC7C33">
        <w:fldChar w:fldCharType="end"/>
      </w:r>
      <w:r w:rsidRPr="00EC7C33">
        <w:rPr>
          <w:b/>
          <w:bCs/>
          <w:lang w:val="en-US"/>
        </w:rPr>
        <w:fldChar w:fldCharType="begin"/>
      </w:r>
      <w:r w:rsidRPr="00EC7C33">
        <w:rPr>
          <w:b/>
          <w:bCs/>
          <w:lang w:val="en-US"/>
        </w:rPr>
        <w:instrText xml:space="preserve"> Error! Reference source not found. </w:instrText>
      </w:r>
      <w:r w:rsidRPr="00EC7C33">
        <w:rPr>
          <w:b/>
          <w:bCs/>
          <w:lang w:val="en-US"/>
        </w:rPr>
        <w:fldChar w:fldCharType="end"/>
      </w:r>
      <w:r w:rsidRPr="00F431F8">
        <w:t>).</w:t>
      </w:r>
      <w:bookmarkEnd w:id="238"/>
    </w:p>
    <w:p w14:paraId="744A12A4" w14:textId="3D744643" w:rsidR="00A83991" w:rsidRPr="00FD274F" w:rsidRDefault="00A83991" w:rsidP="00A83991">
      <w:pPr>
        <w:pStyle w:val="BodyNum"/>
      </w:pPr>
      <w:r w:rsidRPr="00FD274F">
        <w:t xml:space="preserve">Other documents cannot be lodged for tabling through OPC. The relevant agency should prepare and lodge these for tabling in accordance with the current </w:t>
      </w:r>
      <w:r w:rsidR="00083133">
        <w:t xml:space="preserve">Tabling </w:t>
      </w:r>
      <w:r w:rsidRPr="00FD274F">
        <w:t>Guidelines</w:t>
      </w:r>
      <w:r w:rsidRPr="00FD274F">
        <w:rPr>
          <w:rStyle w:val="FootnoteReference"/>
        </w:rPr>
        <w:footnoteReference w:id="37"/>
      </w:r>
      <w:r w:rsidRPr="00FD274F">
        <w:t>. It may also be appropriate to provide additional courtesy copies to relevant scrutiny bodies.</w:t>
      </w:r>
    </w:p>
    <w:p w14:paraId="58BA0F18" w14:textId="77777777" w:rsidR="00A83991" w:rsidRPr="00FD274F" w:rsidRDefault="00A83991" w:rsidP="00A83991">
      <w:pPr>
        <w:pStyle w:val="Head3"/>
      </w:pPr>
      <w:bookmarkStart w:id="239" w:name="_Toc183694728"/>
      <w:r>
        <w:t>Disallowance</w:t>
      </w:r>
      <w:bookmarkEnd w:id="239"/>
    </w:p>
    <w:p w14:paraId="74E1ECBF" w14:textId="7EF9DCAE" w:rsidR="00A83991" w:rsidRPr="00FD274F" w:rsidRDefault="00A83991" w:rsidP="00A83991">
      <w:pPr>
        <w:pStyle w:val="BodyNum"/>
      </w:pPr>
      <w:r w:rsidRPr="00FD274F">
        <w:t xml:space="preserve">Under </w:t>
      </w:r>
      <w:r w:rsidRPr="00EC7C33">
        <w:t xml:space="preserve">the </w:t>
      </w:r>
      <w:hyperlink r:id="rId541" w:history="1">
        <w:r w:rsidRPr="00EC7C33">
          <w:rPr>
            <w:rStyle w:val="Hyperlink"/>
          </w:rPr>
          <w:t>LA</w:t>
        </w:r>
      </w:hyperlink>
      <w:r w:rsidRPr="00EC7C33">
        <w:t>, all</w:t>
      </w:r>
      <w:r w:rsidRPr="00FD274F">
        <w:t xml:space="preserve"> new legislative instruments are subject to disallowance by either House of the Parliament for a set period, unless they are explicitly exempted from disallowance. Exemptions may be set out in se</w:t>
      </w:r>
      <w:r w:rsidRPr="00EC7C33">
        <w:t xml:space="preserve">ction 44 of the </w:t>
      </w:r>
      <w:hyperlink r:id="rId542" w:history="1">
        <w:hyperlink r:id="rId543" w:history="1">
          <w:hyperlink r:id="rId544" w:history="1">
            <w:r w:rsidRPr="00EC7C33">
              <w:rPr>
                <w:rStyle w:val="Hyperlink"/>
              </w:rPr>
              <w:t>LA</w:t>
            </w:r>
          </w:hyperlink>
        </w:hyperlink>
      </w:hyperlink>
      <w:r w:rsidRPr="00EC7C33">
        <w:t>, s</w:t>
      </w:r>
      <w:r w:rsidRPr="00FD274F">
        <w:t>ecti</w:t>
      </w:r>
      <w:r w:rsidRPr="00EC7C33">
        <w:t xml:space="preserve">ons 9 and 10 of </w:t>
      </w:r>
      <w:hyperlink r:id="rId545" w:history="1">
        <w:hyperlink r:id="rId546" w:history="1">
          <w:hyperlink r:id="rId547" w:history="1">
            <w:r w:rsidRPr="00EC7C33">
              <w:rPr>
                <w:rStyle w:val="Hyperlink"/>
              </w:rPr>
              <w:t>LEOMR</w:t>
            </w:r>
          </w:hyperlink>
        </w:hyperlink>
      </w:hyperlink>
      <w:r w:rsidRPr="00EC7C33">
        <w:t>, or the</w:t>
      </w:r>
      <w:r>
        <w:t xml:space="preserve"> enabling legislation.</w:t>
      </w:r>
    </w:p>
    <w:p w14:paraId="1A446435" w14:textId="7578B1CA" w:rsidR="00A83991" w:rsidRPr="00FD274F" w:rsidRDefault="00A83991" w:rsidP="00A83991">
      <w:pPr>
        <w:pStyle w:val="BodyNum"/>
      </w:pPr>
      <w:r w:rsidRPr="00FD274F">
        <w:t xml:space="preserve">Tabling and disallowance requirements that were in force before 1 January 2005 have been, in almost all cases, superseded by </w:t>
      </w:r>
      <w:r>
        <w:t xml:space="preserve">the operation of </w:t>
      </w:r>
      <w:r w:rsidRPr="00FD274F">
        <w:t>s</w:t>
      </w:r>
      <w:r w:rsidRPr="00EC7C33">
        <w:t xml:space="preserve">ection 57 of the </w:t>
      </w:r>
      <w:hyperlink r:id="rId548" w:history="1">
        <w:hyperlink r:id="rId549" w:history="1">
          <w:hyperlink r:id="rId550" w:history="1">
            <w:r w:rsidRPr="00EC7C33">
              <w:rPr>
                <w:rStyle w:val="Hyperlink"/>
              </w:rPr>
              <w:t>LA</w:t>
            </w:r>
          </w:hyperlink>
        </w:hyperlink>
      </w:hyperlink>
      <w:r w:rsidRPr="00EC7C33">
        <w:t>.</w:t>
      </w:r>
      <w:r w:rsidRPr="00FD274F">
        <w:t xml:space="preserve"> However, earlier provisions continue to apply if those provisions:</w:t>
      </w:r>
    </w:p>
    <w:p w14:paraId="4CC512CE" w14:textId="3249950F" w:rsidR="00A83991" w:rsidRPr="00FD274F" w:rsidRDefault="00A83991" w:rsidP="00A83991">
      <w:pPr>
        <w:pStyle w:val="BodyPara"/>
      </w:pPr>
      <w:r w:rsidRPr="00FD274F">
        <w:t>are preserved by regulations made under subse</w:t>
      </w:r>
      <w:r w:rsidRPr="00EC7C33">
        <w:t xml:space="preserve">ction 57(5) of the </w:t>
      </w:r>
      <w:hyperlink r:id="rId551" w:history="1">
        <w:r w:rsidRPr="00EC7C33">
          <w:rPr>
            <w:rStyle w:val="Hyperlink"/>
          </w:rPr>
          <w:t>LA</w:t>
        </w:r>
      </w:hyperlink>
      <w:r w:rsidRPr="00EC7C33">
        <w:t>; o</w:t>
      </w:r>
      <w:r w:rsidRPr="00FD274F">
        <w:t>r</w:t>
      </w:r>
    </w:p>
    <w:p w14:paraId="3F6F429A" w14:textId="77777777" w:rsidR="00A83991" w:rsidRPr="00FD274F" w:rsidRDefault="00A83991" w:rsidP="00A83991">
      <w:pPr>
        <w:pStyle w:val="BodyPara"/>
      </w:pPr>
      <w:r w:rsidRPr="00FD274F">
        <w:t>require things to be done before, or at the same time as, a legislative instrument is tabled (e.g. to prepare a report and table it with an instrument).</w:t>
      </w:r>
    </w:p>
    <w:p w14:paraId="2A5AD8A7" w14:textId="77777777" w:rsidR="00A83991" w:rsidRPr="00FD274F" w:rsidRDefault="00A83991" w:rsidP="00A83991">
      <w:pPr>
        <w:pStyle w:val="Head4"/>
      </w:pPr>
      <w:bookmarkStart w:id="240" w:name="_Toc183694729"/>
      <w:r w:rsidRPr="00FD274F">
        <w:t>What instruments are exempt from disallowance</w:t>
      </w:r>
      <w:bookmarkEnd w:id="240"/>
    </w:p>
    <w:p w14:paraId="7A3635D0" w14:textId="45FA5DD5" w:rsidR="00A83991" w:rsidRPr="00FD274F" w:rsidRDefault="00A83991" w:rsidP="00A83991">
      <w:pPr>
        <w:pStyle w:val="BodyNum"/>
      </w:pPr>
      <w:r w:rsidRPr="00FD274F">
        <w:t>When an instrument is lodged for registration, the lodging agency is asked to certify a range of information</w:t>
      </w:r>
      <w:r w:rsidR="00D465E5">
        <w:t>,</w:t>
      </w:r>
      <w:r w:rsidRPr="00FD274F">
        <w:t xml:space="preserve"> including whether an exemption from disallowance applies and, if so, what legisl</w:t>
      </w:r>
      <w:r>
        <w:t>ation authorises the exemption.</w:t>
      </w:r>
    </w:p>
    <w:p w14:paraId="0CBB60C8" w14:textId="44A68972" w:rsidR="00A83991" w:rsidRPr="00FD274F" w:rsidRDefault="00A83991" w:rsidP="00A83991">
      <w:pPr>
        <w:pStyle w:val="BodyNum"/>
      </w:pPr>
      <w:r w:rsidRPr="00FD274F">
        <w:t>Most exemptions are straightforward and nominate a specific enabling provision such as instruments made unde</w:t>
      </w:r>
      <w:r w:rsidRPr="007809FB">
        <w:t xml:space="preserve">r section 123 of the </w:t>
      </w:r>
      <w:r w:rsidR="00822C5D">
        <w:rPr>
          <w:i/>
        </w:rPr>
        <w:t>Example</w:t>
      </w:r>
      <w:r w:rsidRPr="007809FB">
        <w:rPr>
          <w:i/>
        </w:rPr>
        <w:t xml:space="preserve"> Act 20</w:t>
      </w:r>
      <w:r w:rsidR="00822C5D">
        <w:rPr>
          <w:i/>
        </w:rPr>
        <w:t>24</w:t>
      </w:r>
      <w:r w:rsidRPr="007809FB">
        <w:t>. H</w:t>
      </w:r>
      <w:r w:rsidRPr="00FD274F">
        <w:t xml:space="preserve">owever, other exemptions are more </w:t>
      </w:r>
      <w:proofErr w:type="gramStart"/>
      <w:r w:rsidRPr="00FD274F">
        <w:t>generic</w:t>
      </w:r>
      <w:proofErr w:type="gramEnd"/>
      <w:r w:rsidRPr="00FD274F">
        <w:t xml:space="preserve"> and some can be difficult to apply, particularly if they refer t</w:t>
      </w:r>
      <w:r>
        <w:t>o the purpose of an instrument.</w:t>
      </w:r>
    </w:p>
    <w:p w14:paraId="0B7C81A5" w14:textId="77777777" w:rsidR="00A83991" w:rsidRPr="00FD274F" w:rsidRDefault="00A83991" w:rsidP="00A83991">
      <w:pPr>
        <w:pStyle w:val="BodyNum"/>
      </w:pPr>
      <w:r w:rsidRPr="00FD274F">
        <w:t>If there is any doubt about whether an instrument is exempt, the rule</w:t>
      </w:r>
      <w:r>
        <w:noBreakHyphen/>
      </w:r>
      <w:r w:rsidRPr="00FD274F">
        <w:t xml:space="preserve">making agency should get legal advice and consider the potential risks to government policy if an instrument is listed as not subject to disallowance. There could be significant consequences if, for example, an agency claims an instrument is </w:t>
      </w:r>
      <w:proofErr w:type="gramStart"/>
      <w:r w:rsidRPr="00FD274F">
        <w:t>exempt</w:t>
      </w:r>
      <w:proofErr w:type="gramEnd"/>
      <w:r w:rsidRPr="00FD274F">
        <w:t xml:space="preserve"> but</w:t>
      </w:r>
      <w:r>
        <w:t xml:space="preserve"> the Parliament does not agree.</w:t>
      </w:r>
    </w:p>
    <w:p w14:paraId="42865821" w14:textId="4FCE7775" w:rsidR="00A83991" w:rsidRPr="00FD274F" w:rsidRDefault="00A83991" w:rsidP="00A83991">
      <w:pPr>
        <w:pStyle w:val="BodyNum"/>
      </w:pPr>
      <w:r w:rsidRPr="00FD274F">
        <w:t xml:space="preserve">If a new exemption may be appropriate </w:t>
      </w:r>
      <w:r w:rsidR="00B60DF0">
        <w:t>(</w:t>
      </w:r>
      <w:r w:rsidRPr="00FD274F">
        <w:t>for example, because a new class of instrument is being created</w:t>
      </w:r>
      <w:r w:rsidR="00B60DF0">
        <w:t>)</w:t>
      </w:r>
      <w:r w:rsidRPr="00FD274F">
        <w:t xml:space="preserve">, the proposal should be discussed in the first instance with AGD </w:t>
      </w:r>
      <w:r w:rsidR="00E277CA" w:rsidRPr="00F409B4">
        <w:t>(</w:t>
      </w:r>
      <w:r w:rsidR="00E277CA">
        <w:t xml:space="preserve">email </w:t>
      </w:r>
      <w:hyperlink r:id="rId552" w:history="1">
        <w:r w:rsidR="00E277CA" w:rsidRPr="00C24A30">
          <w:rPr>
            <w:rStyle w:val="Hyperlink"/>
          </w:rPr>
          <w:t>adminlaw@ag.gov.au</w:t>
        </w:r>
      </w:hyperlink>
      <w:r w:rsidR="00E277CA" w:rsidRPr="00FD274F">
        <w:rPr>
          <w:rStyle w:val="Hyperlink"/>
        </w:rPr>
        <w:t xml:space="preserve"> </w:t>
      </w:r>
      <w:r w:rsidR="00E277CA" w:rsidRPr="00FD274F">
        <w:t xml:space="preserve">or </w:t>
      </w:r>
      <w:r w:rsidR="00E277CA">
        <w:t xml:space="preserve">call the AGD Switchboard on </w:t>
      </w:r>
      <w:r w:rsidR="00E277CA" w:rsidRPr="00E277CA">
        <w:t>(02) 6141 6666</w:t>
      </w:r>
      <w:r w:rsidR="00E277CA">
        <w:t xml:space="preserve"> and ask to be redirected to the Administrative Law Section</w:t>
      </w:r>
      <w:r w:rsidR="00E277CA" w:rsidRPr="00F409B4">
        <w:t>)</w:t>
      </w:r>
      <w:r w:rsidRPr="00FD274F">
        <w:t>. The formal policy approval of the responsible Minister and the Attorney</w:t>
      </w:r>
      <w:r>
        <w:noBreakHyphen/>
      </w:r>
      <w:r w:rsidRPr="00FD274F">
        <w:t>General is required for new exemptions.</w:t>
      </w:r>
    </w:p>
    <w:p w14:paraId="36EFC4E1" w14:textId="77777777" w:rsidR="00A83991" w:rsidRPr="00FD274F" w:rsidRDefault="00A83991" w:rsidP="00A83991">
      <w:pPr>
        <w:pStyle w:val="Head4"/>
      </w:pPr>
      <w:bookmarkStart w:id="241" w:name="_Toc183694730"/>
      <w:r w:rsidRPr="00FD274F">
        <w:lastRenderedPageBreak/>
        <w:t>When instruments are open to disallowance</w:t>
      </w:r>
      <w:bookmarkEnd w:id="241"/>
    </w:p>
    <w:p w14:paraId="2760ABE1" w14:textId="77777777" w:rsidR="00A83991" w:rsidRPr="00FD274F" w:rsidRDefault="00A83991" w:rsidP="00A83991">
      <w:pPr>
        <w:pStyle w:val="BodyNum"/>
      </w:pPr>
      <w:r w:rsidRPr="00FD274F">
        <w:t xml:space="preserve">Unless exempt from disallowance or subject to a special disallowance regime, legislative instruments are open to disallowance in whole or in part for </w:t>
      </w:r>
      <w:r>
        <w:t xml:space="preserve">at least </w:t>
      </w:r>
      <w:r w:rsidRPr="00FD274F">
        <w:t>15 sitting days. This timeframe needs to be calcu</w:t>
      </w:r>
      <w:r>
        <w:t>lated separately for each House</w:t>
      </w:r>
      <w:r w:rsidRPr="00FD274F">
        <w:t xml:space="preserve"> from the first sitting day after th</w:t>
      </w:r>
      <w:r>
        <w:t>e day the instrument is tabled.</w:t>
      </w:r>
    </w:p>
    <w:p w14:paraId="42AE9CCC" w14:textId="004171CA" w:rsidR="00A83991" w:rsidRDefault="00A83991" w:rsidP="00A83991">
      <w:pPr>
        <w:pStyle w:val="BodyNum"/>
      </w:pPr>
      <w:r w:rsidRPr="00FD274F">
        <w:t>If an election is called, the disallowance “clock” for each House generally stops and then resumes once the House starts sitting again. However, the clock must be re</w:t>
      </w:r>
      <w:r>
        <w:noBreakHyphen/>
      </w:r>
      <w:r w:rsidRPr="00FD274F">
        <w:t>started if notice of motion to disallow an instrument has been given but not resolved. An affected instrument is again open to disallowance for the full disallowance period of 15 sitting days once sittings res</w:t>
      </w:r>
      <w:r w:rsidRPr="00EC7C33">
        <w:t>ume (</w:t>
      </w:r>
      <w:hyperlink r:id="rId553" w:history="1">
        <w:hyperlink r:id="rId554" w:history="1">
          <w:hyperlink r:id="rId555" w:history="1">
            <w:hyperlink r:id="rId556" w:history="1">
              <w:r w:rsidRPr="00EC7C33">
                <w:rPr>
                  <w:rStyle w:val="Hyperlink"/>
                </w:rPr>
                <w:t>LA</w:t>
              </w:r>
            </w:hyperlink>
            <w:r w:rsidRPr="00EC7C33">
              <w:rPr>
                <w:rStyle w:val="Hyperlink"/>
              </w:rPr>
              <w:t xml:space="preserve"> </w:t>
            </w:r>
          </w:hyperlink>
        </w:hyperlink>
      </w:hyperlink>
      <w:r w:rsidRPr="00EC7C33">
        <w:t>s 42(3)).</w:t>
      </w:r>
    </w:p>
    <w:p w14:paraId="3FC21194" w14:textId="2E1139AF" w:rsidR="00A83991" w:rsidRPr="00FD274F" w:rsidRDefault="00A83991" w:rsidP="00A83991">
      <w:pPr>
        <w:pStyle w:val="BodyNum"/>
      </w:pPr>
      <w:r>
        <w:t>If a disallowable legislative instrument is rectified, the instrument must be re</w:t>
      </w:r>
      <w:r>
        <w:noBreakHyphen/>
        <w:t>tabled</w:t>
      </w:r>
      <w:r w:rsidR="0012581B">
        <w:t>,</w:t>
      </w:r>
      <w:r>
        <w:t xml:space="preserve"> which may extend an existing, or start a new, disallowance period </w:t>
      </w:r>
      <w:r w:rsidRPr="00FD274F">
        <w:t>(</w:t>
      </w:r>
      <w:r>
        <w:t>see p</w:t>
      </w:r>
      <w:r w:rsidRPr="007809FB">
        <w:t xml:space="preserve">aragraphs </w:t>
      </w:r>
      <w:r w:rsidRPr="007809FB">
        <w:fldChar w:fldCharType="begin"/>
      </w:r>
      <w:r w:rsidRPr="007809FB">
        <w:instrText xml:space="preserve"> REF _Ref2948989 \r \h </w:instrText>
      </w:r>
      <w:r>
        <w:rPr>
          <w:highlight w:val="yellow"/>
        </w:rPr>
        <w:instrText xml:space="preserve"> \* MERGEFORMAT </w:instrText>
      </w:r>
      <w:r w:rsidRPr="007809FB">
        <w:fldChar w:fldCharType="separate"/>
      </w:r>
      <w:r w:rsidR="00833171">
        <w:t>228</w:t>
      </w:r>
      <w:r w:rsidRPr="007809FB">
        <w:fldChar w:fldCharType="end"/>
      </w:r>
      <w:r w:rsidRPr="007809FB">
        <w:t xml:space="preserve"> to </w:t>
      </w:r>
      <w:r w:rsidRPr="007809FB">
        <w:fldChar w:fldCharType="begin"/>
      </w:r>
      <w:r w:rsidRPr="007809FB">
        <w:instrText xml:space="preserve"> REF _Ref2949476 \r \h </w:instrText>
      </w:r>
      <w:r>
        <w:rPr>
          <w:highlight w:val="yellow"/>
        </w:rPr>
        <w:instrText xml:space="preserve"> \* MERGEFORMAT </w:instrText>
      </w:r>
      <w:r w:rsidRPr="007809FB">
        <w:fldChar w:fldCharType="separate"/>
      </w:r>
      <w:r w:rsidR="00833171">
        <w:t>230</w:t>
      </w:r>
      <w:r w:rsidRPr="007809FB">
        <w:fldChar w:fldCharType="end"/>
      </w:r>
      <w:r>
        <w:t xml:space="preserve"> an</w:t>
      </w:r>
      <w:r w:rsidRPr="00DF0780">
        <w:t xml:space="preserve">d </w:t>
      </w:r>
      <w:hyperlink r:id="rId557" w:history="1">
        <w:hyperlink r:id="rId558" w:history="1">
          <w:hyperlink r:id="rId559" w:history="1">
            <w:hyperlink r:id="rId560" w:history="1">
              <w:r w:rsidRPr="00DF0780">
                <w:rPr>
                  <w:rStyle w:val="Hyperlink"/>
                </w:rPr>
                <w:t>LA</w:t>
              </w:r>
            </w:hyperlink>
            <w:r w:rsidRPr="00DF0780">
              <w:rPr>
                <w:rStyle w:val="Hyperlink"/>
              </w:rPr>
              <w:t xml:space="preserve"> </w:t>
            </w:r>
          </w:hyperlink>
        </w:hyperlink>
      </w:hyperlink>
      <w:r w:rsidRPr="00DF0780">
        <w:t>s 15DA)</w:t>
      </w:r>
      <w:r>
        <w:t>.</w:t>
      </w:r>
    </w:p>
    <w:p w14:paraId="132941F2" w14:textId="77777777" w:rsidR="00A83991" w:rsidRPr="00FD274F" w:rsidRDefault="00A83991" w:rsidP="00A83991">
      <w:pPr>
        <w:pStyle w:val="Head4"/>
      </w:pPr>
      <w:bookmarkStart w:id="242" w:name="_Toc183694731"/>
      <w:r w:rsidRPr="00FD274F">
        <w:t>How notice of motion to disallow may be resolved</w:t>
      </w:r>
      <w:bookmarkEnd w:id="242"/>
    </w:p>
    <w:p w14:paraId="30D398F6" w14:textId="77777777" w:rsidR="00A83991" w:rsidRPr="00FD274F" w:rsidRDefault="00A83991" w:rsidP="00A83991">
      <w:pPr>
        <w:pStyle w:val="BodyNum"/>
      </w:pPr>
      <w:r w:rsidRPr="00FD274F">
        <w:t>If a Senator or Member gives notice of motion to disallow an instrument, or a provision of an instrument, the standing orders of both Houses do not allow the motion to be moved on the same day. However, if a matter is controversial, a House may grant leave or suspend standing orders so that the motion is moved, debated and voted on immediately.</w:t>
      </w:r>
    </w:p>
    <w:p w14:paraId="409FEA1D" w14:textId="77777777" w:rsidR="00A83991" w:rsidRPr="00FD274F" w:rsidRDefault="00A83991" w:rsidP="00A83991">
      <w:pPr>
        <w:pStyle w:val="BodyNum"/>
      </w:pPr>
      <w:r w:rsidRPr="00FD274F">
        <w:t xml:space="preserve">A notice of motion may be withdrawn. Once the motion is moved, it may be withdrawn or put to a vote by the House on the day specified in the motion. In the Senate, standing orders require the Senator who initiated the motion to give notice of intention to withdraw </w:t>
      </w:r>
      <w:proofErr w:type="gramStart"/>
      <w:r w:rsidRPr="00FD274F">
        <w:t>it, and</w:t>
      </w:r>
      <w:proofErr w:type="gramEnd"/>
      <w:r w:rsidRPr="00FD274F">
        <w:t xml:space="preserve"> permit another Senator to take over the motion even if the initial period for giving notice has elapsed. The House of Representatives does not have a similar procedure.</w:t>
      </w:r>
    </w:p>
    <w:p w14:paraId="51E51EB8" w14:textId="63815D9B" w:rsidR="00A83991" w:rsidRPr="00DF0780" w:rsidRDefault="00A83991" w:rsidP="00A83991">
      <w:pPr>
        <w:pStyle w:val="BodyNum"/>
      </w:pPr>
      <w:r w:rsidRPr="00FD274F">
        <w:t xml:space="preserve">If a disallowance motion is not withdrawn, put to a vote or otherwise disposed of within 15 sitting days after the sitting day that the notice of motion is given, the relevant instrument or provision is taken to have been disallowed at the end of that period </w:t>
      </w:r>
      <w:r w:rsidRPr="00DF0780">
        <w:t>(</w:t>
      </w:r>
      <w:hyperlink r:id="rId561" w:history="1">
        <w:hyperlink r:id="rId562" w:history="1">
          <w:hyperlink r:id="rId563" w:history="1">
            <w:r w:rsidRPr="00DF0780">
              <w:rPr>
                <w:rStyle w:val="Hyperlink"/>
              </w:rPr>
              <w:t>LA</w:t>
            </w:r>
          </w:hyperlink>
        </w:hyperlink>
      </w:hyperlink>
      <w:r w:rsidRPr="00DF0780">
        <w:rPr>
          <w:rStyle w:val="Hyperlink"/>
        </w:rPr>
        <w:t xml:space="preserve"> </w:t>
      </w:r>
      <w:r w:rsidRPr="00DF0780">
        <w:t>s 42(2)).</w:t>
      </w:r>
    </w:p>
    <w:p w14:paraId="5DD85DEC" w14:textId="77777777" w:rsidR="00A83991" w:rsidRPr="00FD274F" w:rsidRDefault="00A83991" w:rsidP="00A83991">
      <w:pPr>
        <w:pStyle w:val="Head4"/>
      </w:pPr>
      <w:bookmarkStart w:id="243" w:name="_Toc183694732"/>
      <w:r w:rsidRPr="00FD274F">
        <w:t>If notice of motion to disallow has been given</w:t>
      </w:r>
      <w:bookmarkEnd w:id="243"/>
    </w:p>
    <w:p w14:paraId="509801D9" w14:textId="5AD0E2DD" w:rsidR="00A83991" w:rsidRDefault="00A83991" w:rsidP="00A83991">
      <w:pPr>
        <w:pStyle w:val="BodyNum"/>
      </w:pPr>
      <w:bookmarkStart w:id="244" w:name="_Ref422756800"/>
      <w:r w:rsidRPr="00FD274F">
        <w:t xml:space="preserve">OPC monitors parliamentary proceedings and, if notice of motion to disallow is given, will update the Register and alert the lodging agency as necessary. </w:t>
      </w:r>
      <w:r>
        <w:t>Agencies can also track the progress of disallowance motions via the SDLC’s Disallowance Al</w:t>
      </w:r>
      <w:r w:rsidRPr="00DF0780">
        <w:t>ert</w:t>
      </w:r>
      <w:r w:rsidRPr="00DF0780">
        <w:rPr>
          <w:rStyle w:val="FootnoteReference"/>
        </w:rPr>
        <w:footnoteReference w:id="38"/>
      </w:r>
      <w:r w:rsidRPr="00DF0780">
        <w:t>. I</w:t>
      </w:r>
      <w:r w:rsidRPr="00FD274F">
        <w:t>t is important to take such matters seriously.</w:t>
      </w:r>
    </w:p>
    <w:p w14:paraId="728BB6DF" w14:textId="77777777" w:rsidR="00A83991" w:rsidRPr="00FD274F" w:rsidRDefault="00A83991" w:rsidP="00A83991">
      <w:pPr>
        <w:pStyle w:val="BodyNum"/>
        <w:keepNext/>
      </w:pPr>
      <w:r w:rsidRPr="00FD274F">
        <w:t>Consequently, if a House has not yet voted on a disallowance motion, the responsible Minister should be briefed quickly on the issues and options. It may be possible for the responsible Minister to resolve the situation</w:t>
      </w:r>
      <w:r>
        <w:t xml:space="preserve"> </w:t>
      </w:r>
      <w:r w:rsidRPr="00FD274F">
        <w:t>by:</w:t>
      </w:r>
    </w:p>
    <w:p w14:paraId="74F38F6E" w14:textId="2CCFD24C" w:rsidR="00A83991" w:rsidRPr="00FD274F" w:rsidRDefault="00A83991" w:rsidP="00A83991">
      <w:pPr>
        <w:pStyle w:val="BodyPara"/>
      </w:pPr>
      <w:r w:rsidRPr="00FD274F">
        <w:t>responding with and, if appropriate, tabling additional information such as a replacement or supplementary explanatory statemen</w:t>
      </w:r>
      <w:r w:rsidRPr="00F431F8">
        <w:t xml:space="preserve">t (see paragraph </w:t>
      </w:r>
      <w:r w:rsidRPr="00DF0780">
        <w:fldChar w:fldCharType="begin"/>
      </w:r>
      <w:r w:rsidRPr="00F431F8">
        <w:instrText xml:space="preserve"> REF _Ref384719737 \r \h </w:instrText>
      </w:r>
      <w:r>
        <w:rPr>
          <w:highlight w:val="yellow"/>
        </w:rPr>
        <w:instrText xml:space="preserve"> \* MERGEFORMAT </w:instrText>
      </w:r>
      <w:r w:rsidRPr="00DF0780">
        <w:fldChar w:fldCharType="separate"/>
      </w:r>
      <w:r w:rsidR="00833171">
        <w:t>320</w:t>
      </w:r>
      <w:r w:rsidRPr="00DF0780">
        <w:fldChar w:fldCharType="end"/>
      </w:r>
      <w:r w:rsidRPr="00F431F8">
        <w:t>);</w:t>
      </w:r>
      <w:r>
        <w:t xml:space="preserve"> or</w:t>
      </w:r>
    </w:p>
    <w:p w14:paraId="3ED26A12" w14:textId="77777777" w:rsidR="00A83991" w:rsidRPr="00FD274F" w:rsidRDefault="00A83991" w:rsidP="00A83991">
      <w:pPr>
        <w:pStyle w:val="BodyPara"/>
      </w:pPr>
      <w:r w:rsidRPr="00FD274F">
        <w:lastRenderedPageBreak/>
        <w:t>giving an undertaking to review or change how an instrument operates, or to change drafting, consultation or other practices.</w:t>
      </w:r>
    </w:p>
    <w:p w14:paraId="293BF8CD" w14:textId="77777777" w:rsidR="00A83991" w:rsidRPr="00FD274F" w:rsidRDefault="00A83991" w:rsidP="00A83991">
      <w:pPr>
        <w:pStyle w:val="BodyNum"/>
      </w:pPr>
      <w:r>
        <w:t>I</w:t>
      </w:r>
      <w:r w:rsidRPr="00FD274F">
        <w:t>f an undertaking is given, agencies should ensure that it is implemented and provide feedback to this effect through, for example, subsequent explanatory statements if relevant. Prompt action should be taken because scrutiny bodies often include details of both new and outstanding undertakings in their peri</w:t>
      </w:r>
      <w:r>
        <w:t>odic reports to the Parliament.</w:t>
      </w:r>
    </w:p>
    <w:p w14:paraId="7CC49627" w14:textId="03A84854" w:rsidR="00A83991" w:rsidRPr="00FD274F" w:rsidRDefault="00A83991" w:rsidP="00A83991">
      <w:pPr>
        <w:pStyle w:val="BodyNum"/>
      </w:pPr>
      <w:r w:rsidRPr="00FD274F">
        <w:t>Agencies should also prepare for the possibility of disallowance</w:t>
      </w:r>
      <w:r w:rsidR="00B9391E">
        <w:t>,</w:t>
      </w:r>
      <w:r w:rsidRPr="00FD274F">
        <w:t xml:space="preserve"> as swift action may be required. For example, it may be necessary to do some or all of the following:</w:t>
      </w:r>
    </w:p>
    <w:p w14:paraId="1CC15387" w14:textId="77777777" w:rsidR="00A83991" w:rsidRPr="00FD274F" w:rsidRDefault="00A83991" w:rsidP="00A83991">
      <w:pPr>
        <w:pStyle w:val="BodyPara"/>
      </w:pPr>
      <w:r w:rsidRPr="00FD274F">
        <w:t>notify people who rely on the instrument for authority to act (particularly if it is a matter that could go to court or involves public money</w:t>
      </w:r>
      <w:proofErr w:type="gramStart"/>
      <w:r w:rsidRPr="00FD274F">
        <w:t>);</w:t>
      </w:r>
      <w:proofErr w:type="gramEnd"/>
    </w:p>
    <w:p w14:paraId="3FAE112C" w14:textId="77777777" w:rsidR="00A83991" w:rsidRPr="00FD274F" w:rsidRDefault="00A83991" w:rsidP="00A83991">
      <w:pPr>
        <w:pStyle w:val="BodyPara"/>
      </w:pPr>
      <w:r w:rsidRPr="00FD274F">
        <w:t xml:space="preserve">get legal advice on other legislation that may be revived or amended as a result of the </w:t>
      </w:r>
      <w:proofErr w:type="gramStart"/>
      <w:r w:rsidRPr="00FD274F">
        <w:t>disallowance;</w:t>
      </w:r>
      <w:proofErr w:type="gramEnd"/>
    </w:p>
    <w:p w14:paraId="13D5A87E" w14:textId="7B97C960" w:rsidR="00A83991" w:rsidRPr="00FD274F" w:rsidRDefault="00A83991" w:rsidP="00A83991">
      <w:pPr>
        <w:pStyle w:val="BodyPara"/>
      </w:pPr>
      <w:r w:rsidRPr="00FD274F">
        <w:t xml:space="preserve">prepare one or more compilations to reflect the revised text of the instrument and any other affected legislation </w:t>
      </w:r>
      <w:r w:rsidRPr="00F431F8">
        <w:t xml:space="preserve">(see </w:t>
      </w:r>
      <w:hyperlink w:anchor="Chapter5" w:history="1">
        <w:r w:rsidRPr="00F431F8">
          <w:rPr>
            <w:rStyle w:val="Hyperlink"/>
          </w:rPr>
          <w:t>Chapter 5</w:t>
        </w:r>
      </w:hyperlink>
      <w:r w:rsidRPr="00F431F8">
        <w:t>).</w:t>
      </w:r>
    </w:p>
    <w:p w14:paraId="06ADA5A5" w14:textId="77777777" w:rsidR="00A83991" w:rsidRPr="00FD274F" w:rsidRDefault="00A83991" w:rsidP="00A83991">
      <w:pPr>
        <w:pStyle w:val="Head4"/>
      </w:pPr>
      <w:bookmarkStart w:id="245" w:name="_Toc183694733"/>
      <w:r w:rsidRPr="00FD274F">
        <w:t xml:space="preserve">If notice of motion to disallow has </w:t>
      </w:r>
      <w:r>
        <w:t>passed</w:t>
      </w:r>
      <w:bookmarkEnd w:id="245"/>
    </w:p>
    <w:p w14:paraId="4EB86370" w14:textId="77777777" w:rsidR="00A83991" w:rsidRPr="00FD274F" w:rsidRDefault="00A83991" w:rsidP="00A83991">
      <w:pPr>
        <w:pStyle w:val="BodyNum"/>
      </w:pPr>
      <w:r w:rsidRPr="00FD274F">
        <w:t>If a notice of motion is passed, or taken to have passed, the effect of disallowance is:</w:t>
      </w:r>
      <w:bookmarkEnd w:id="244"/>
    </w:p>
    <w:p w14:paraId="12CB97E2" w14:textId="287C4D9E" w:rsidR="00A83991" w:rsidRPr="00715EC3" w:rsidRDefault="00A83991" w:rsidP="00A83991">
      <w:pPr>
        <w:pStyle w:val="BodyPara"/>
      </w:pPr>
      <w:r w:rsidRPr="00FD274F">
        <w:t xml:space="preserve">to repeal the instrument or provision immediately, that is, from the day and time of disallowance </w:t>
      </w:r>
      <w:r w:rsidRPr="00DF0780">
        <w:t>(</w:t>
      </w:r>
      <w:hyperlink r:id="rId564" w:history="1">
        <w:hyperlink r:id="rId565" w:history="1">
          <w:hyperlink r:id="rId566" w:history="1">
            <w:hyperlink r:id="rId567" w:history="1">
              <w:r w:rsidRPr="00DF0780">
                <w:rPr>
                  <w:rStyle w:val="Hyperlink"/>
                </w:rPr>
                <w:t>LA</w:t>
              </w:r>
            </w:hyperlink>
            <w:r w:rsidRPr="00DF0780">
              <w:rPr>
                <w:rStyle w:val="Hyperlink"/>
              </w:rPr>
              <w:t xml:space="preserve"> </w:t>
            </w:r>
          </w:hyperlink>
        </w:hyperlink>
      </w:hyperlink>
      <w:r w:rsidRPr="00DF0780">
        <w:t>s 42(1) and (2)); an</w:t>
      </w:r>
      <w:r>
        <w:t>d</w:t>
      </w:r>
    </w:p>
    <w:p w14:paraId="278E6490" w14:textId="15134047" w:rsidR="00A83991" w:rsidRDefault="00A83991" w:rsidP="00A83991">
      <w:pPr>
        <w:pStyle w:val="BodyPara"/>
      </w:pPr>
      <w:r w:rsidRPr="00FD274F">
        <w:t xml:space="preserve">to revive any instrument, law or provision repealed by the instrument or provision unless the repealed instrument or provision had </w:t>
      </w:r>
      <w:proofErr w:type="spellStart"/>
      <w:r w:rsidRPr="00FD274F">
        <w:t>sunsetted</w:t>
      </w:r>
      <w:proofErr w:type="spellEnd"/>
      <w:r w:rsidRPr="00FD274F">
        <w:t xml:space="preserve"> under </w:t>
      </w:r>
      <w:r w:rsidRPr="00DF0780">
        <w:t xml:space="preserve">Part 4 of Chapter 3 of the </w:t>
      </w:r>
      <w:hyperlink r:id="rId568" w:history="1">
        <w:hyperlink r:id="rId569" w:history="1">
          <w:hyperlink r:id="rId570" w:history="1">
            <w:hyperlink r:id="rId571" w:history="1">
              <w:r w:rsidRPr="00DF0780">
                <w:rPr>
                  <w:rStyle w:val="Hyperlink"/>
                </w:rPr>
                <w:t>LA</w:t>
              </w:r>
            </w:hyperlink>
            <w:r w:rsidRPr="00DF0780">
              <w:rPr>
                <w:rStyle w:val="Hyperlink"/>
              </w:rPr>
              <w:t xml:space="preserve"> </w:t>
            </w:r>
          </w:hyperlink>
        </w:hyperlink>
      </w:hyperlink>
      <w:r w:rsidRPr="00DF0780">
        <w:t>(s 45(2) and (3)); and</w:t>
      </w:r>
    </w:p>
    <w:p w14:paraId="1CB4A947" w14:textId="7D53B82B" w:rsidR="00A83991" w:rsidRPr="00715EC3" w:rsidRDefault="00A83991" w:rsidP="00A83991">
      <w:pPr>
        <w:pStyle w:val="BodyPara"/>
      </w:pPr>
      <w:r>
        <w:t xml:space="preserve">to undo the effects of a disallowed amending instrument or provision </w:t>
      </w:r>
      <w:r w:rsidRPr="00FD274F">
        <w:t>immediately, that is, from the day and time of disallowance</w:t>
      </w:r>
      <w:r>
        <w:t>. This will also require a compilation to be prepared to show the effect of the disallowance (</w:t>
      </w:r>
      <w:hyperlink r:id="rId572" w:history="1">
        <w:r w:rsidRPr="00DF0780">
          <w:rPr>
            <w:rStyle w:val="Hyperlink"/>
          </w:rPr>
          <w:t>LA</w:t>
        </w:r>
      </w:hyperlink>
      <w:r>
        <w:rPr>
          <w:rStyle w:val="Hyperlink"/>
        </w:rPr>
        <w:t xml:space="preserve"> </w:t>
      </w:r>
      <w:r w:rsidRPr="00DF0780">
        <w:t>s </w:t>
      </w:r>
      <w:r>
        <w:t>15Q</w:t>
      </w:r>
      <w:r w:rsidRPr="00DF0780">
        <w:t>(1)</w:t>
      </w:r>
      <w:r>
        <w:t>(b))</w:t>
      </w:r>
      <w:r w:rsidR="00351D36">
        <w:t>; and</w:t>
      </w:r>
    </w:p>
    <w:p w14:paraId="59CECEC6" w14:textId="6F04EC35" w:rsidR="00A83991" w:rsidRPr="00FD274F" w:rsidRDefault="00A83991" w:rsidP="00A83991">
      <w:pPr>
        <w:pStyle w:val="BodyPara"/>
      </w:pPr>
      <w:r w:rsidRPr="00FD274F">
        <w:t>to extend the restrictions on remaking the disallowed instrument or provision for 6 months after the day of disallowanc</w:t>
      </w:r>
      <w:r w:rsidRPr="00DF0780">
        <w:t>e (</w:t>
      </w:r>
      <w:hyperlink r:id="rId573" w:history="1">
        <w:hyperlink r:id="rId574" w:history="1">
          <w:hyperlink r:id="rId575" w:history="1">
            <w:hyperlink r:id="rId576" w:history="1">
              <w:r w:rsidRPr="00DF0780">
                <w:rPr>
                  <w:rStyle w:val="Hyperlink"/>
                </w:rPr>
                <w:t>LA</w:t>
              </w:r>
            </w:hyperlink>
            <w:r w:rsidRPr="00DF0780">
              <w:rPr>
                <w:rStyle w:val="Hyperlink"/>
              </w:rPr>
              <w:t xml:space="preserve"> </w:t>
            </w:r>
          </w:hyperlink>
        </w:hyperlink>
      </w:hyperlink>
      <w:r w:rsidRPr="00DF0780">
        <w:t>s 48).</w:t>
      </w:r>
    </w:p>
    <w:p w14:paraId="6DDF74CB" w14:textId="77777777" w:rsidR="00A83991" w:rsidRPr="00FD274F" w:rsidRDefault="00A83991" w:rsidP="00A83991">
      <w:pPr>
        <w:pStyle w:val="Head3"/>
      </w:pPr>
      <w:bookmarkStart w:id="246" w:name="_Toc183694734"/>
      <w:r w:rsidRPr="00FD274F">
        <w:t>Restrictions on remaking instruments before and after tabling</w:t>
      </w:r>
      <w:bookmarkEnd w:id="246"/>
    </w:p>
    <w:p w14:paraId="30907B0B" w14:textId="77777777" w:rsidR="00A83991" w:rsidRPr="00FD274F" w:rsidRDefault="00A83991" w:rsidP="00A83991">
      <w:pPr>
        <w:pStyle w:val="BodyNum"/>
      </w:pPr>
      <w:bookmarkStart w:id="247" w:name="_Ref383697445"/>
      <w:r w:rsidRPr="00FD274F">
        <w:t>Sometimes problems are identified with the text of an instrument soon after it has been lodged for registration. If so, the instrument may be amended or repealed, but a second instrument that is the same in substance as the first instrument cannot be made before the first instrument is tabled, and for a period after its tabling, without the Parliament’s approval.</w:t>
      </w:r>
      <w:bookmarkEnd w:id="247"/>
    </w:p>
    <w:p w14:paraId="31CD3308" w14:textId="0BF5759C" w:rsidR="00A83991" w:rsidRPr="00FD274F" w:rsidRDefault="00A83991" w:rsidP="00A83991">
      <w:pPr>
        <w:pStyle w:val="BodyNum"/>
      </w:pPr>
      <w:r w:rsidRPr="00FD274F">
        <w:t xml:space="preserve">Irrespective of whether a legislative instrument is disallowable, once it has been registered a second instrument that is the same in substance as the first instrument cannot be made </w:t>
      </w:r>
      <w:bookmarkStart w:id="248" w:name="_Ref367446655"/>
      <w:r w:rsidRPr="00FD274F">
        <w:t xml:space="preserve">for a period of 7 calendar days from the following </w:t>
      </w:r>
      <w:r w:rsidRPr="00DF0780">
        <w:t>(</w:t>
      </w:r>
      <w:hyperlink r:id="rId577" w:history="1">
        <w:hyperlink r:id="rId578" w:history="1">
          <w:hyperlink r:id="rId579" w:history="1">
            <w:hyperlink r:id="rId580" w:history="1">
              <w:r w:rsidRPr="00DF0780">
                <w:rPr>
                  <w:rStyle w:val="Hyperlink"/>
                </w:rPr>
                <w:t>LA</w:t>
              </w:r>
            </w:hyperlink>
            <w:r w:rsidRPr="00DF0780">
              <w:rPr>
                <w:rStyle w:val="Hyperlink"/>
              </w:rPr>
              <w:t xml:space="preserve"> </w:t>
            </w:r>
          </w:hyperlink>
        </w:hyperlink>
      </w:hyperlink>
      <w:r w:rsidRPr="00DF0780">
        <w:t>s 46)</w:t>
      </w:r>
      <w:r w:rsidRPr="00FD274F">
        <w:t>:</w:t>
      </w:r>
      <w:bookmarkEnd w:id="248"/>
    </w:p>
    <w:p w14:paraId="282B922C" w14:textId="77777777" w:rsidR="00A83991" w:rsidRPr="00FD274F" w:rsidRDefault="00A83991" w:rsidP="00A83991">
      <w:pPr>
        <w:pStyle w:val="BodyPara"/>
      </w:pPr>
      <w:r w:rsidRPr="00FD274F">
        <w:lastRenderedPageBreak/>
        <w:t xml:space="preserve">if it was tabled on the same day in both Houses—the day of </w:t>
      </w:r>
      <w:proofErr w:type="gramStart"/>
      <w:r w:rsidRPr="00FD274F">
        <w:t>tabling;</w:t>
      </w:r>
      <w:proofErr w:type="gramEnd"/>
    </w:p>
    <w:p w14:paraId="2A937AC7" w14:textId="77777777" w:rsidR="00A83991" w:rsidRPr="00FD274F" w:rsidRDefault="00A83991" w:rsidP="00A83991">
      <w:pPr>
        <w:pStyle w:val="BodyPara"/>
      </w:pPr>
      <w:r w:rsidRPr="00FD274F">
        <w:t xml:space="preserve">if it was tabled on different days in both </w:t>
      </w:r>
      <w:r>
        <w:t xml:space="preserve">Houses—the later of those </w:t>
      </w:r>
      <w:proofErr w:type="gramStart"/>
      <w:r>
        <w:t>days;</w:t>
      </w:r>
      <w:proofErr w:type="gramEnd"/>
    </w:p>
    <w:p w14:paraId="76D9E122" w14:textId="7E9BB6E1" w:rsidR="00A83991" w:rsidRPr="00FD274F" w:rsidRDefault="00A83991" w:rsidP="00A83991">
      <w:pPr>
        <w:pStyle w:val="BodyPara"/>
      </w:pPr>
      <w:r w:rsidRPr="00FD274F">
        <w:t xml:space="preserve">if it was not tabled in both Houses—the last day when the instrument could have been tabled under </w:t>
      </w:r>
      <w:r w:rsidRPr="00DF0780">
        <w:t xml:space="preserve">section 38 of the </w:t>
      </w:r>
      <w:hyperlink r:id="rId581" w:history="1">
        <w:hyperlink r:id="rId582" w:history="1">
          <w:hyperlink r:id="rId583" w:history="1">
            <w:r w:rsidRPr="00DF0780">
              <w:rPr>
                <w:rStyle w:val="Hyperlink"/>
              </w:rPr>
              <w:t>LA</w:t>
            </w:r>
          </w:hyperlink>
        </w:hyperlink>
      </w:hyperlink>
      <w:r w:rsidRPr="00DF0780">
        <w:rPr>
          <w:rStyle w:val="Hyperlink"/>
        </w:rPr>
        <w:t>.</w:t>
      </w:r>
    </w:p>
    <w:p w14:paraId="1F9EC213" w14:textId="5D3C3466" w:rsidR="00A83991" w:rsidRPr="00FD274F" w:rsidRDefault="00A83991" w:rsidP="00A83991">
      <w:pPr>
        <w:pStyle w:val="BodyNum"/>
        <w:keepLines/>
      </w:pPr>
      <w:r w:rsidRPr="00FD274F">
        <w:t>If a legislative instrument is disallowable, longer timeframes may apply. If notice of a motion to disallow is given, an instrument, or a provision of the instrument, that is the same in substance as the original instrument or provision cannot be made while the original instrument or provision can be disallowe</w:t>
      </w:r>
      <w:r w:rsidRPr="00DF0780">
        <w:t>d (</w:t>
      </w:r>
      <w:hyperlink r:id="rId584" w:history="1">
        <w:hyperlink r:id="rId585" w:history="1">
          <w:hyperlink r:id="rId586" w:history="1">
            <w:hyperlink r:id="rId587" w:history="1">
              <w:r w:rsidRPr="00DF0780">
                <w:rPr>
                  <w:rStyle w:val="Hyperlink"/>
                </w:rPr>
                <w:t>LA</w:t>
              </w:r>
            </w:hyperlink>
            <w:r w:rsidRPr="00DF0780">
              <w:rPr>
                <w:rStyle w:val="Hyperlink"/>
              </w:rPr>
              <w:t xml:space="preserve"> </w:t>
            </w:r>
          </w:hyperlink>
        </w:hyperlink>
      </w:hyperlink>
      <w:r w:rsidRPr="00DF0780">
        <w:t>s 47).</w:t>
      </w:r>
      <w:r w:rsidRPr="00FD274F">
        <w:t xml:space="preserve"> If the original instrument or provision is disallowed, an instrument or provision the same in substance cannot be made for 6 months after the day of disallo</w:t>
      </w:r>
      <w:r w:rsidRPr="00DF0780">
        <w:t>wance (</w:t>
      </w:r>
      <w:hyperlink r:id="rId588" w:history="1">
        <w:hyperlink r:id="rId589" w:history="1">
          <w:hyperlink r:id="rId590" w:history="1">
            <w:hyperlink r:id="rId591" w:history="1">
              <w:r w:rsidRPr="00DF0780">
                <w:rPr>
                  <w:rStyle w:val="Hyperlink"/>
                </w:rPr>
                <w:t>LA</w:t>
              </w:r>
            </w:hyperlink>
            <w:r w:rsidRPr="00DF0780">
              <w:rPr>
                <w:rStyle w:val="Hyperlink"/>
              </w:rPr>
              <w:t xml:space="preserve"> </w:t>
            </w:r>
          </w:hyperlink>
        </w:hyperlink>
      </w:hyperlink>
      <w:r w:rsidRPr="00DF0780">
        <w:t>s 48).</w:t>
      </w:r>
    </w:p>
    <w:p w14:paraId="28881BF6" w14:textId="148E1C61" w:rsidR="00A83991" w:rsidRPr="00FD274F" w:rsidRDefault="00A83991" w:rsidP="00A83991">
      <w:pPr>
        <w:pStyle w:val="BodyNum"/>
      </w:pPr>
      <w:r w:rsidRPr="00FD274F">
        <w:t>It is important to note that the restrictions on remaking are broadly expressed and focus on whether an instrument or provision is “the same in substance” as an earlier instrument or provision. This usually requires an assessment of whether it has “in large measure, though not in all details, the same effect” as an earlier instrument or provision</w:t>
      </w:r>
      <w:r w:rsidRPr="00FD274F">
        <w:rPr>
          <w:rStyle w:val="FootnoteReference"/>
        </w:rPr>
        <w:footnoteReference w:id="39"/>
      </w:r>
      <w:r w:rsidRPr="00FD274F">
        <w:t>.</w:t>
      </w:r>
    </w:p>
    <w:p w14:paraId="08A563AB" w14:textId="38D14C51" w:rsidR="00A83991" w:rsidRPr="00FD274F" w:rsidRDefault="00A83991" w:rsidP="00A83991">
      <w:pPr>
        <w:pStyle w:val="BodyNum"/>
      </w:pPr>
      <w:r w:rsidRPr="00FD274F">
        <w:t xml:space="preserve">It is also important to comply with the restrictions on remaking. An instrument or provision that is remade in breach of these restrictions has no effect, and can never take effect even if it is registered and </w:t>
      </w:r>
      <w:r w:rsidRPr="00DF0780">
        <w:t>tabled (</w:t>
      </w:r>
      <w:hyperlink r:id="rId592" w:history="1">
        <w:hyperlink r:id="rId593" w:history="1">
          <w:hyperlink r:id="rId594" w:history="1">
            <w:r w:rsidRPr="00DF0780">
              <w:rPr>
                <w:rStyle w:val="Hyperlink"/>
              </w:rPr>
              <w:t>LA</w:t>
            </w:r>
          </w:hyperlink>
          <w:r w:rsidRPr="00DF0780">
            <w:rPr>
              <w:rStyle w:val="Hyperlink"/>
            </w:rPr>
            <w:t xml:space="preserve"> </w:t>
          </w:r>
        </w:hyperlink>
      </w:hyperlink>
      <w:r w:rsidRPr="00DF0780">
        <w:t>s 46(3), s 47(3) and s 48(4)).</w:t>
      </w:r>
    </w:p>
    <w:p w14:paraId="4BED4C8B" w14:textId="77777777" w:rsidR="00A83991" w:rsidRPr="00FD274F" w:rsidRDefault="00A83991" w:rsidP="00A83991">
      <w:pPr>
        <w:pStyle w:val="BodyNum"/>
      </w:pPr>
      <w:r w:rsidRPr="00FD274F">
        <w:t>Consequently, if there is a compelling need to remake an instrument or provision before these restrictions end, there are only two practical options for resolving the situation:</w:t>
      </w:r>
    </w:p>
    <w:p w14:paraId="699E5DE4" w14:textId="77777777" w:rsidR="00A83991" w:rsidRPr="00FD274F" w:rsidRDefault="00A83991" w:rsidP="00A83991">
      <w:pPr>
        <w:pStyle w:val="BodyPara"/>
      </w:pPr>
      <w:r w:rsidRPr="00FD274F">
        <w:t>remake the instrument or provision with changes, so that it is not the same in substance as the earlier instrument or provision, or</w:t>
      </w:r>
    </w:p>
    <w:p w14:paraId="7B84D528" w14:textId="13DA8C41" w:rsidR="00A83991" w:rsidRPr="00FD274F" w:rsidRDefault="00A83991" w:rsidP="00A83991">
      <w:pPr>
        <w:pStyle w:val="BodyPara"/>
      </w:pPr>
      <w:r w:rsidRPr="00FD274F">
        <w:t xml:space="preserve">seek a resolution by the Parliament approving the remaking of the instrument or provision </w:t>
      </w:r>
      <w:r w:rsidRPr="00DF0780">
        <w:t xml:space="preserve">(see </w:t>
      </w:r>
      <w:hyperlink r:id="rId595" w:history="1">
        <w:hyperlink r:id="rId596" w:history="1">
          <w:hyperlink r:id="rId597" w:history="1">
            <w:hyperlink r:id="rId598" w:history="1">
              <w:r w:rsidRPr="00DF0780">
                <w:rPr>
                  <w:rStyle w:val="Hyperlink"/>
                </w:rPr>
                <w:t>LA</w:t>
              </w:r>
            </w:hyperlink>
            <w:r w:rsidRPr="00DF0780">
              <w:rPr>
                <w:rStyle w:val="Hyperlink"/>
              </w:rPr>
              <w:t xml:space="preserve"> </w:t>
            </w:r>
          </w:hyperlink>
        </w:hyperlink>
      </w:hyperlink>
      <w:r w:rsidRPr="00DF0780">
        <w:t>s 46(1) and s 48(2)).</w:t>
      </w:r>
    </w:p>
    <w:p w14:paraId="31F25DDD" w14:textId="77777777" w:rsidR="00A83991" w:rsidRPr="00FD274F" w:rsidRDefault="00A83991" w:rsidP="00A83991">
      <w:pPr>
        <w:pStyle w:val="BodyNum"/>
      </w:pPr>
      <w:bookmarkStart w:id="249" w:name="_Ref384353833"/>
      <w:r w:rsidRPr="00FD274F">
        <w:t xml:space="preserve">In either case, agencies are strongly advised to obtain legal advice on whether the proposed new instrument or provision is the same in substance as the earlier one. Also, </w:t>
      </w:r>
      <w:r>
        <w:t xml:space="preserve">agencies are advised </w:t>
      </w:r>
      <w:r w:rsidRPr="00FD274F">
        <w:t>to consider the possibility that the Parliament may disallow the new instrument or provision based on a broader view of the concept than that adopted by the courts to date.</w:t>
      </w:r>
    </w:p>
    <w:p w14:paraId="3A07A45A" w14:textId="77777777" w:rsidR="00A83991" w:rsidRPr="00FD274F" w:rsidRDefault="00A83991" w:rsidP="00A83991">
      <w:pPr>
        <w:pStyle w:val="BodyNum"/>
      </w:pPr>
      <w:r w:rsidRPr="00FD274F">
        <w:t>If a Parliamentary resolution for remaking is obtained and an instrument or provision is remade, the resolution date and other details should be noted in the explanatory statement. This will ensure that the details are readily available if the validity of remaking is questioned at any point in the future.</w:t>
      </w:r>
      <w:bookmarkEnd w:id="249"/>
    </w:p>
    <w:p w14:paraId="5238EBF5" w14:textId="77777777" w:rsidR="00A83991" w:rsidRPr="00FD274F" w:rsidRDefault="00A83991" w:rsidP="00A83991">
      <w:pPr>
        <w:pStyle w:val="BodyNum"/>
      </w:pPr>
      <w:bookmarkStart w:id="250" w:name="_Ref384355195"/>
      <w:r w:rsidRPr="00FD274F">
        <w:t xml:space="preserve">Similarly, if a decision is taken to remake an instrument or provision shortly after the restrictions have ended, the relevant date calculations should be included in the explanatory statement. This is particularly important if the new instrument is </w:t>
      </w:r>
      <w:proofErr w:type="gramStart"/>
      <w:r w:rsidRPr="00FD274F">
        <w:t>disallowable</w:t>
      </w:r>
      <w:proofErr w:type="gramEnd"/>
      <w:r w:rsidRPr="00FD274F">
        <w:t xml:space="preserve"> or the earlier instrument was disallowed.</w:t>
      </w:r>
      <w:bookmarkEnd w:id="250"/>
    </w:p>
    <w:p w14:paraId="053975B2" w14:textId="77777777" w:rsidR="0057232B" w:rsidRDefault="0057232B" w:rsidP="00A83991">
      <w:pPr>
        <w:pStyle w:val="Head2"/>
        <w:sectPr w:rsidR="0057232B" w:rsidSect="003D7DCE">
          <w:headerReference w:type="default" r:id="rId599"/>
          <w:pgSz w:w="11907" w:h="16839" w:code="9"/>
          <w:pgMar w:top="1440" w:right="1440" w:bottom="1418" w:left="1440" w:header="720" w:footer="720" w:gutter="0"/>
          <w:pgNumType w:start="72"/>
          <w:cols w:sep="1" w:space="567"/>
          <w:docGrid w:linePitch="360"/>
        </w:sectPr>
      </w:pPr>
      <w:bookmarkStart w:id="251" w:name="Chapter10"/>
    </w:p>
    <w:p w14:paraId="421CB35D" w14:textId="1A66F450" w:rsidR="00A83991" w:rsidRPr="00FD274F" w:rsidRDefault="00A83991" w:rsidP="00A83991">
      <w:pPr>
        <w:pStyle w:val="Head2"/>
      </w:pPr>
      <w:bookmarkStart w:id="252" w:name="_Toc183694735"/>
      <w:r w:rsidRPr="00FD274F">
        <w:lastRenderedPageBreak/>
        <w:t>Chapter 10—Sunsetting</w:t>
      </w:r>
      <w:bookmarkEnd w:id="252"/>
    </w:p>
    <w:bookmarkEnd w:id="251"/>
    <w:p w14:paraId="6219CC20" w14:textId="77777777" w:rsidR="00A83991" w:rsidRPr="00FD274F" w:rsidRDefault="00A83991" w:rsidP="00A83991">
      <w:pPr>
        <w:pStyle w:val="SundryBoxHeadBold"/>
      </w:pPr>
      <w:r w:rsidRPr="00FD274F">
        <w:t>Main points</w:t>
      </w:r>
    </w:p>
    <w:p w14:paraId="12B8E38F" w14:textId="4243624B" w:rsidR="00A83991" w:rsidRPr="00FD274F" w:rsidRDefault="00A83991" w:rsidP="00A83991">
      <w:pPr>
        <w:pStyle w:val="SundryBoxBullet"/>
      </w:pPr>
      <w:r w:rsidRPr="00FD274F">
        <w:t>•</w:t>
      </w:r>
      <w:r w:rsidRPr="00FD274F">
        <w:tab/>
        <w:t>Many legislative instruments are auto</w:t>
      </w:r>
      <w:r w:rsidRPr="00474C8A">
        <w:t xml:space="preserve">matically repealed after 10 years—this process is known as sunsetting and is governed by Part 4 of Chapter 3 of the </w:t>
      </w:r>
      <w:hyperlink r:id="rId600" w:history="1">
        <w:r w:rsidRPr="00474C8A">
          <w:rPr>
            <w:rStyle w:val="Hyperlink"/>
          </w:rPr>
          <w:t>LA</w:t>
        </w:r>
      </w:hyperlink>
      <w:r w:rsidRPr="00474C8A">
        <w:t>.</w:t>
      </w:r>
    </w:p>
    <w:p w14:paraId="48F90152" w14:textId="58D159B4" w:rsidR="000A2D2D" w:rsidRDefault="000A2D2D" w:rsidP="000A2D2D">
      <w:pPr>
        <w:pStyle w:val="SundryBoxBullet"/>
      </w:pPr>
      <w:r w:rsidRPr="00FD274F">
        <w:t>•</w:t>
      </w:r>
      <w:r w:rsidRPr="00FD274F">
        <w:tab/>
      </w:r>
      <w:r>
        <w:rPr>
          <w:rFonts w:eastAsia="Times New Roman"/>
        </w:rPr>
        <w:t>Early action on sunsetting is required to achieve a smooth process and ensure instruments are remade in good time.</w:t>
      </w:r>
    </w:p>
    <w:p w14:paraId="19A88290" w14:textId="77777777" w:rsidR="00A83991" w:rsidRPr="00FD274F" w:rsidRDefault="00A83991" w:rsidP="00A83991">
      <w:pPr>
        <w:pStyle w:val="SundryBoxBullet"/>
      </w:pPr>
      <w:r w:rsidRPr="00FD274F">
        <w:t>•</w:t>
      </w:r>
      <w:r w:rsidRPr="00FD274F">
        <w:tab/>
        <w:t>Sunset dates can only be deferred or rolled over in limited circumstances, and this requires the consent of the Attorney</w:t>
      </w:r>
      <w:r>
        <w:noBreakHyphen/>
      </w:r>
      <w:r w:rsidRPr="00FD274F">
        <w:t>General, the Parliament or both.</w:t>
      </w:r>
    </w:p>
    <w:p w14:paraId="70A5872E" w14:textId="77777777" w:rsidR="00A83991" w:rsidRPr="00FD274F" w:rsidRDefault="00A83991" w:rsidP="00A83991">
      <w:pPr>
        <w:pStyle w:val="SundryBoxBullet"/>
      </w:pPr>
      <w:r w:rsidRPr="00FD274F">
        <w:t>•</w:t>
      </w:r>
      <w:r w:rsidRPr="00FD274F">
        <w:tab/>
        <w:t xml:space="preserve">In many cases, a replacement instrument will need to be made and registered before an </w:t>
      </w:r>
      <w:proofErr w:type="gramStart"/>
      <w:r w:rsidRPr="00FD274F">
        <w:t>instrument sunsets</w:t>
      </w:r>
      <w:proofErr w:type="gramEnd"/>
      <w:r w:rsidRPr="00FD274F">
        <w:t xml:space="preserve"> to ensure continuity of the law.</w:t>
      </w:r>
    </w:p>
    <w:p w14:paraId="193FEABF" w14:textId="77777777" w:rsidR="00A83991" w:rsidRPr="00FD274F" w:rsidRDefault="00A83991" w:rsidP="00A83991">
      <w:pPr>
        <w:pStyle w:val="Head3"/>
      </w:pPr>
      <w:bookmarkStart w:id="253" w:name="_Toc183694736"/>
      <w:r w:rsidRPr="00FD274F">
        <w:t>Background</w:t>
      </w:r>
      <w:bookmarkEnd w:id="253"/>
    </w:p>
    <w:p w14:paraId="441D5EC1" w14:textId="2E1EB86E" w:rsidR="00A83991" w:rsidRPr="00FD274F" w:rsidRDefault="00A83991" w:rsidP="00A83991">
      <w:pPr>
        <w:pStyle w:val="BodyNum"/>
      </w:pPr>
      <w:r w:rsidRPr="00FD274F">
        <w:t xml:space="preserve">This chapter describes the framework for sunsetting established by </w:t>
      </w:r>
      <w:r w:rsidRPr="00474C8A">
        <w:t xml:space="preserve">the </w:t>
      </w:r>
      <w:hyperlink r:id="rId601" w:history="1">
        <w:r w:rsidRPr="00474C8A">
          <w:rPr>
            <w:rStyle w:val="Hyperlink"/>
          </w:rPr>
          <w:t>LA</w:t>
        </w:r>
      </w:hyperlink>
      <w:r w:rsidRPr="00474C8A">
        <w:t>,</w:t>
      </w:r>
      <w:r w:rsidRPr="00FD274F">
        <w:t xml:space="preserve"> and highlights key considerations in the drafting and registration of instruments. It shou</w:t>
      </w:r>
      <w:r>
        <w:t>ld be read in conjunction with:</w:t>
      </w:r>
    </w:p>
    <w:p w14:paraId="35C8E2E3" w14:textId="77777777" w:rsidR="00A83991" w:rsidRDefault="00A83991" w:rsidP="00A83991">
      <w:pPr>
        <w:pStyle w:val="BodyPara"/>
      </w:pPr>
      <w:r w:rsidRPr="00FD274F">
        <w:t>the A</w:t>
      </w:r>
      <w:r w:rsidRPr="00474C8A">
        <w:t>GD Guide to Managing Sunsetting of Legislative Instruments</w:t>
      </w:r>
      <w:r w:rsidRPr="00474C8A">
        <w:rPr>
          <w:rStyle w:val="FootnoteReference"/>
        </w:rPr>
        <w:footnoteReference w:id="40"/>
      </w:r>
      <w:r w:rsidRPr="00474C8A">
        <w:t>; a</w:t>
      </w:r>
      <w:r w:rsidRPr="00FD274F">
        <w:t>nd</w:t>
      </w:r>
    </w:p>
    <w:p w14:paraId="76B4F0F5" w14:textId="77777777" w:rsidR="00A83991" w:rsidRPr="00FD274F" w:rsidRDefault="00A83991" w:rsidP="00A83991">
      <w:pPr>
        <w:pStyle w:val="BodyPara"/>
      </w:pPr>
      <w:r w:rsidRPr="00474C8A">
        <w:t>the Sunsetting Checklist in Appendix A of this Handbook;</w:t>
      </w:r>
      <w:r>
        <w:t xml:space="preserve"> and</w:t>
      </w:r>
    </w:p>
    <w:p w14:paraId="168CE6AF" w14:textId="77777777" w:rsidR="00A83991" w:rsidRPr="00FD274F" w:rsidRDefault="00A83991" w:rsidP="00A83991">
      <w:pPr>
        <w:pStyle w:val="BodyPara"/>
      </w:pPr>
      <w:r w:rsidRPr="00FD274F">
        <w:t>the Austra</w:t>
      </w:r>
      <w:r w:rsidRPr="00474C8A">
        <w:t>lian Government’s deregulation policies.</w:t>
      </w:r>
    </w:p>
    <w:p w14:paraId="367A8ED5" w14:textId="77777777" w:rsidR="00A83991" w:rsidRPr="00FD274F" w:rsidRDefault="00A83991" w:rsidP="00A83991">
      <w:pPr>
        <w:pStyle w:val="BodyNum"/>
      </w:pPr>
      <w:r w:rsidRPr="00FD274F">
        <w:t xml:space="preserve">The automatic repeal or sunsetting of older legislative instruments presents a unique opportunity for the Australian Government to reduce red tape, deliver clearer laws, and align existing legislation </w:t>
      </w:r>
      <w:r>
        <w:t>with current government policy.</w:t>
      </w:r>
    </w:p>
    <w:p w14:paraId="16C65141" w14:textId="49212D28" w:rsidR="00A83991" w:rsidRPr="00FD274F" w:rsidRDefault="00A83991" w:rsidP="00A83991">
      <w:pPr>
        <w:pStyle w:val="BodyNum"/>
      </w:pPr>
      <w:r w:rsidRPr="00FD274F">
        <w:t xml:space="preserve">Sunsetting may, at first, require some agencies to change the way they manage their </w:t>
      </w:r>
      <w:proofErr w:type="gramStart"/>
      <w:r w:rsidRPr="00FD274F">
        <w:t>legislation</w:t>
      </w:r>
      <w:proofErr w:type="gramEnd"/>
      <w:r w:rsidRPr="00FD274F">
        <w:t xml:space="preserve"> but it is an important process. Its purpose is to “ensure that legislative instruments are kept </w:t>
      </w:r>
      <w:r w:rsidR="00A35420">
        <w:t>up to date</w:t>
      </w:r>
      <w:r w:rsidRPr="00FD274F">
        <w:t xml:space="preserve"> and only remain in force for </w:t>
      </w:r>
      <w:r w:rsidR="00A35420">
        <w:t>so</w:t>
      </w:r>
      <w:r w:rsidRPr="00FD274F">
        <w:t xml:space="preserve"> long as they are needed</w:t>
      </w:r>
      <w:r w:rsidRPr="00474C8A">
        <w:t>” (</w:t>
      </w:r>
      <w:hyperlink r:id="rId602" w:history="1">
        <w:hyperlink r:id="rId603" w:history="1">
          <w:hyperlink r:id="rId604" w:history="1">
            <w:hyperlink r:id="rId605" w:history="1">
              <w:r w:rsidRPr="00474C8A">
                <w:rPr>
                  <w:rStyle w:val="Hyperlink"/>
                </w:rPr>
                <w:t>LA</w:t>
              </w:r>
            </w:hyperlink>
            <w:r w:rsidRPr="00474C8A">
              <w:rPr>
                <w:rStyle w:val="Hyperlink"/>
              </w:rPr>
              <w:t xml:space="preserve"> </w:t>
            </w:r>
          </w:hyperlink>
        </w:hyperlink>
      </w:hyperlink>
      <w:r w:rsidRPr="00474C8A">
        <w:t>s 49).</w:t>
      </w:r>
    </w:p>
    <w:p w14:paraId="5127F637" w14:textId="0D86A624" w:rsidR="00A83991" w:rsidRPr="00FD274F" w:rsidRDefault="00A83991" w:rsidP="00A83991">
      <w:pPr>
        <w:pStyle w:val="BodyNum"/>
      </w:pPr>
      <w:r w:rsidRPr="00FD274F">
        <w:t>As a general guide, agencies should plan ahead and</w:t>
      </w:r>
      <w:r>
        <w:t>,</w:t>
      </w:r>
      <w:r w:rsidRPr="00FD274F">
        <w:t xml:space="preserve"> if appropriate</w:t>
      </w:r>
      <w:r>
        <w:t>,</w:t>
      </w:r>
      <w:r w:rsidRPr="00FD274F">
        <w:t xml:space="preserve"> negotiate minor changes to sunset dates. If an instrument is no longer required, it should be repealed (see </w:t>
      </w:r>
      <w:r w:rsidRPr="00307FAD">
        <w:t xml:space="preserve">paragraph </w:t>
      </w:r>
      <w:r w:rsidRPr="00474C8A">
        <w:fldChar w:fldCharType="begin"/>
      </w:r>
      <w:r w:rsidRPr="00307FAD">
        <w:instrText xml:space="preserve"> REF _Ref367446866 \w \h  \* MERGEFORMAT </w:instrText>
      </w:r>
      <w:r w:rsidRPr="00474C8A">
        <w:fldChar w:fldCharType="separate"/>
      </w:r>
      <w:r w:rsidR="00833171">
        <w:t>241</w:t>
      </w:r>
      <w:r w:rsidRPr="00474C8A">
        <w:fldChar w:fldCharType="end"/>
      </w:r>
      <w:r w:rsidRPr="00307FAD">
        <w:t xml:space="preserve">). </w:t>
      </w:r>
      <w:proofErr w:type="gramStart"/>
      <w:r w:rsidRPr="00307FAD">
        <w:t>Othe</w:t>
      </w:r>
      <w:r w:rsidRPr="00FD274F">
        <w:t>rwise</w:t>
      </w:r>
      <w:proofErr w:type="gramEnd"/>
      <w:r w:rsidRPr="00FD274F">
        <w:t xml:space="preserve"> the instrument should be reviewed </w:t>
      </w:r>
      <w:r w:rsidRPr="00E10ECD">
        <w:t xml:space="preserve">(see paragraph </w:t>
      </w:r>
      <w:r w:rsidRPr="00474C8A">
        <w:fldChar w:fldCharType="begin"/>
      </w:r>
      <w:r w:rsidRPr="00E10ECD">
        <w:instrText xml:space="preserve"> REF _Ref378066686 \r \h </w:instrText>
      </w:r>
      <w:r>
        <w:rPr>
          <w:highlight w:val="yellow"/>
        </w:rPr>
        <w:instrText xml:space="preserve"> \* MERGEFORMAT </w:instrText>
      </w:r>
      <w:r w:rsidRPr="00474C8A">
        <w:fldChar w:fldCharType="separate"/>
      </w:r>
      <w:r w:rsidR="00833171">
        <w:t>370</w:t>
      </w:r>
      <w:r w:rsidRPr="00474C8A">
        <w:fldChar w:fldCharType="end"/>
      </w:r>
      <w:r w:rsidRPr="00E10ECD">
        <w:t>). If</w:t>
      </w:r>
      <w:r w:rsidRPr="00FD274F">
        <w:t xml:space="preserve"> the review establishes that the instrument is still required, the instrument should be:</w:t>
      </w:r>
    </w:p>
    <w:p w14:paraId="051D8063" w14:textId="7E80FD5F" w:rsidR="00A83991" w:rsidRPr="00FD274F" w:rsidRDefault="00A83991" w:rsidP="00A83991">
      <w:pPr>
        <w:pStyle w:val="BodyPara"/>
      </w:pPr>
      <w:r>
        <w:t>replaced</w:t>
      </w:r>
      <w:r w:rsidRPr="00FD274F">
        <w:t xml:space="preserve"> and reg</w:t>
      </w:r>
      <w:r>
        <w:t>istered before the instrument’s scheduled sunsetting date</w:t>
      </w:r>
      <w:r w:rsidR="009F1D0E">
        <w:t>,</w:t>
      </w:r>
      <w:r w:rsidRPr="00FD274F">
        <w:t xml:space="preserve"> to ensure continuity of the </w:t>
      </w:r>
      <w:r w:rsidRPr="00E10ECD">
        <w:t xml:space="preserve">law (see paragraph </w:t>
      </w:r>
      <w:r w:rsidRPr="00474C8A">
        <w:fldChar w:fldCharType="begin"/>
      </w:r>
      <w:r w:rsidRPr="00E10ECD">
        <w:instrText xml:space="preserve"> REF _Ref435534951 \r \h </w:instrText>
      </w:r>
      <w:r>
        <w:rPr>
          <w:highlight w:val="yellow"/>
        </w:rPr>
        <w:instrText xml:space="preserve"> \* MERGEFORMAT </w:instrText>
      </w:r>
      <w:r w:rsidRPr="00474C8A">
        <w:fldChar w:fldCharType="separate"/>
      </w:r>
      <w:r w:rsidR="00833171">
        <w:t>390</w:t>
      </w:r>
      <w:r w:rsidRPr="00474C8A">
        <w:fldChar w:fldCharType="end"/>
      </w:r>
      <w:r w:rsidRPr="00E10ECD">
        <w:t>);</w:t>
      </w:r>
      <w:r w:rsidRPr="00FD274F">
        <w:t xml:space="preserve"> or</w:t>
      </w:r>
    </w:p>
    <w:p w14:paraId="57D318BA" w14:textId="509A2880" w:rsidR="00A83991" w:rsidRPr="00FD274F" w:rsidRDefault="00A83991" w:rsidP="00A83991">
      <w:pPr>
        <w:pStyle w:val="BodyPara"/>
      </w:pPr>
      <w:r w:rsidRPr="00FD274F">
        <w:t xml:space="preserve">rolled over (if appropriate, see </w:t>
      </w:r>
      <w:r w:rsidRPr="00E10ECD">
        <w:t xml:space="preserve">paragraph </w:t>
      </w:r>
      <w:r w:rsidRPr="00474C8A">
        <w:fldChar w:fldCharType="begin"/>
      </w:r>
      <w:r w:rsidRPr="00E10ECD">
        <w:instrText xml:space="preserve"> REF _Ref367447300 \r \h </w:instrText>
      </w:r>
      <w:r>
        <w:rPr>
          <w:highlight w:val="yellow"/>
        </w:rPr>
        <w:instrText xml:space="preserve"> \* MERGEFORMAT </w:instrText>
      </w:r>
      <w:r w:rsidRPr="00474C8A">
        <w:fldChar w:fldCharType="separate"/>
      </w:r>
      <w:r w:rsidR="00833171">
        <w:t>381</w:t>
      </w:r>
      <w:r w:rsidRPr="00474C8A">
        <w:fldChar w:fldCharType="end"/>
      </w:r>
      <w:r w:rsidRPr="00E10ECD">
        <w:t>).</w:t>
      </w:r>
    </w:p>
    <w:p w14:paraId="58686B57" w14:textId="0E747541" w:rsidR="00A83991" w:rsidRPr="00FD274F" w:rsidRDefault="00A83991" w:rsidP="00A83991">
      <w:pPr>
        <w:pStyle w:val="BodyNum"/>
        <w:keepLines/>
      </w:pPr>
      <w:r w:rsidRPr="00FD274F">
        <w:lastRenderedPageBreak/>
        <w:t>Agencies should prepare for sunsetting well in advance of an instrument’s sunset date</w:t>
      </w:r>
      <w:r w:rsidR="00E271E4">
        <w:t>,</w:t>
      </w:r>
      <w:r w:rsidRPr="00FD274F">
        <w:t xml:space="preserve"> as the process of reviewing an instrument, and acting on review recommendations, can be lengthy. The process may also attract significant Parliamentary and public scrutiny, even</w:t>
      </w:r>
      <w:r>
        <w:t xml:space="preserve"> if no changes are recommended.</w:t>
      </w:r>
    </w:p>
    <w:p w14:paraId="38EAC54B" w14:textId="097A88CA" w:rsidR="00A83991" w:rsidRPr="00FD274F" w:rsidRDefault="00A83991" w:rsidP="00A83991">
      <w:pPr>
        <w:pStyle w:val="BodyNum"/>
      </w:pPr>
      <w:r w:rsidRPr="00FD274F">
        <w:t xml:space="preserve">For further guidance on preparation for sunsetting and the risks of inaction, see the </w:t>
      </w:r>
      <w:r w:rsidRPr="00474C8A">
        <w:t>AGD Guide to Managing Sunsetting of Legislative Instruments</w:t>
      </w:r>
      <w:r w:rsidRPr="00474C8A">
        <w:rPr>
          <w:rStyle w:val="FootnoteReference"/>
        </w:rPr>
        <w:footnoteReference w:id="41"/>
      </w:r>
      <w:r w:rsidRPr="00474C8A">
        <w:t xml:space="preserve"> o</w:t>
      </w:r>
      <w:r w:rsidRPr="00FD274F">
        <w:t>r contact AGD (</w:t>
      </w:r>
      <w:r w:rsidR="00E277CA">
        <w:t xml:space="preserve">email </w:t>
      </w:r>
      <w:hyperlink r:id="rId606" w:history="1">
        <w:r w:rsidRPr="00FD274F">
          <w:rPr>
            <w:rStyle w:val="Hyperlink"/>
          </w:rPr>
          <w:t>sunsetting@ag.gov.au</w:t>
        </w:r>
      </w:hyperlink>
      <w:r w:rsidRPr="00FD274F">
        <w:t xml:space="preserve"> or </w:t>
      </w:r>
      <w:r w:rsidR="00E277CA">
        <w:t xml:space="preserve">call the AGD Switchboard on </w:t>
      </w:r>
      <w:r w:rsidR="00E277CA" w:rsidRPr="00E277CA">
        <w:t>(02) 6141 6666</w:t>
      </w:r>
      <w:r w:rsidR="00E277CA">
        <w:t xml:space="preserve"> and ask to be redirected to the Administrative Law Section</w:t>
      </w:r>
      <w:r w:rsidR="00E277CA" w:rsidRPr="00F409B4">
        <w:t>)</w:t>
      </w:r>
      <w:r>
        <w:t>.</w:t>
      </w:r>
    </w:p>
    <w:p w14:paraId="219F9C2C" w14:textId="77777777" w:rsidR="00A83991" w:rsidRPr="00FD274F" w:rsidRDefault="00A83991" w:rsidP="00A83991">
      <w:pPr>
        <w:pStyle w:val="Head3"/>
      </w:pPr>
      <w:bookmarkStart w:id="254" w:name="_Toc183694737"/>
      <w:r w:rsidRPr="00FD274F">
        <w:t>How sunsetting works</w:t>
      </w:r>
      <w:bookmarkEnd w:id="254"/>
    </w:p>
    <w:p w14:paraId="03371A3B" w14:textId="69ACD583" w:rsidR="00A83991" w:rsidRPr="00FD274F" w:rsidRDefault="00A83991" w:rsidP="00A83991">
      <w:pPr>
        <w:pStyle w:val="BodyNum"/>
      </w:pPr>
      <w:r w:rsidRPr="00C55DA3">
        <w:t xml:space="preserve">Part 4 of Chapter 3 of the </w:t>
      </w:r>
      <w:hyperlink r:id="rId607" w:history="1">
        <w:hyperlink r:id="rId608" w:history="1">
          <w:hyperlink r:id="rId609" w:history="1">
            <w:r w:rsidRPr="00C55DA3">
              <w:rPr>
                <w:rStyle w:val="Hyperlink"/>
              </w:rPr>
              <w:t>LA</w:t>
            </w:r>
          </w:hyperlink>
          <w:r w:rsidRPr="00C55DA3">
            <w:rPr>
              <w:rStyle w:val="Hyperlink"/>
            </w:rPr>
            <w:t xml:space="preserve"> </w:t>
          </w:r>
        </w:hyperlink>
      </w:hyperlink>
      <w:r w:rsidRPr="00C55DA3">
        <w:t>pr</w:t>
      </w:r>
      <w:r w:rsidRPr="00FD274F">
        <w:t>ovides for:</w:t>
      </w:r>
    </w:p>
    <w:p w14:paraId="73F5FF87" w14:textId="77777777" w:rsidR="00A83991" w:rsidRPr="00FD274F" w:rsidRDefault="00A83991" w:rsidP="00A83991">
      <w:pPr>
        <w:pStyle w:val="BodyPara"/>
      </w:pPr>
      <w:r w:rsidRPr="00FD274F">
        <w:t>regulations and other legislative instruments to sunset on predictable dates, either 1 April or 1 October each year</w:t>
      </w:r>
      <w:r>
        <w:t>; and</w:t>
      </w:r>
    </w:p>
    <w:p w14:paraId="3F58E3CB" w14:textId="77777777" w:rsidR="00A83991" w:rsidRPr="00FD274F" w:rsidRDefault="00A83991" w:rsidP="00A83991">
      <w:pPr>
        <w:pStyle w:val="BodyPara"/>
      </w:pPr>
      <w:r w:rsidRPr="00FD274F">
        <w:t>a list of sunsetting instruments to be tabled 18 months before each sunset date.</w:t>
      </w:r>
    </w:p>
    <w:p w14:paraId="5027B5FE" w14:textId="39467E72" w:rsidR="00A83991" w:rsidRPr="00FD274F" w:rsidRDefault="00A83991" w:rsidP="00A83991">
      <w:pPr>
        <w:pStyle w:val="BodyNum"/>
      </w:pPr>
      <w:r w:rsidRPr="00FD274F">
        <w:t xml:space="preserve">Although </w:t>
      </w:r>
      <w:r>
        <w:t>there are mechanisms for postponing an instrument’s scheduled sunsetting date, or permanently exempting it from sunsetting, these options are only available</w:t>
      </w:r>
      <w:r w:rsidRPr="00FD274F">
        <w:t xml:space="preserve"> in limited circumstances. Further guidance on such matters is pr</w:t>
      </w:r>
      <w:r w:rsidRPr="008C5E45">
        <w:t xml:space="preserve">ovided in paragraphs </w:t>
      </w:r>
      <w:r w:rsidRPr="00C55DA3">
        <w:fldChar w:fldCharType="begin"/>
      </w:r>
      <w:r w:rsidRPr="008C5E45">
        <w:instrText xml:space="preserve"> REF _Ref384723553 \r \h </w:instrText>
      </w:r>
      <w:r>
        <w:rPr>
          <w:highlight w:val="yellow"/>
        </w:rPr>
        <w:instrText xml:space="preserve"> \* MERGEFORMAT </w:instrText>
      </w:r>
      <w:r w:rsidRPr="00C55DA3">
        <w:fldChar w:fldCharType="separate"/>
      </w:r>
      <w:r w:rsidR="00833171">
        <w:t>357</w:t>
      </w:r>
      <w:r w:rsidRPr="00C55DA3">
        <w:fldChar w:fldCharType="end"/>
      </w:r>
      <w:r w:rsidRPr="008C5E45">
        <w:t xml:space="preserve">, </w:t>
      </w:r>
      <w:r w:rsidRPr="00C55DA3">
        <w:fldChar w:fldCharType="begin"/>
      </w:r>
      <w:r w:rsidRPr="008C5E45">
        <w:instrText xml:space="preserve"> REF _Ref384350103 \r \h </w:instrText>
      </w:r>
      <w:r>
        <w:rPr>
          <w:highlight w:val="yellow"/>
        </w:rPr>
        <w:instrText xml:space="preserve"> \* MERGEFORMAT </w:instrText>
      </w:r>
      <w:r w:rsidRPr="00C55DA3">
        <w:fldChar w:fldCharType="separate"/>
      </w:r>
      <w:r w:rsidR="00833171">
        <w:t>373</w:t>
      </w:r>
      <w:r w:rsidRPr="00C55DA3">
        <w:fldChar w:fldCharType="end"/>
      </w:r>
      <w:r w:rsidRPr="008C5E45">
        <w:t xml:space="preserve"> and </w:t>
      </w:r>
      <w:r w:rsidRPr="00C55DA3">
        <w:fldChar w:fldCharType="begin"/>
      </w:r>
      <w:r w:rsidRPr="008C5E45">
        <w:instrText xml:space="preserve"> REF _Ref367447300 \r \h </w:instrText>
      </w:r>
      <w:r>
        <w:rPr>
          <w:highlight w:val="yellow"/>
        </w:rPr>
        <w:instrText xml:space="preserve"> \* MERGEFORMAT </w:instrText>
      </w:r>
      <w:r w:rsidRPr="00C55DA3">
        <w:fldChar w:fldCharType="separate"/>
      </w:r>
      <w:r w:rsidR="00833171">
        <w:t>381</w:t>
      </w:r>
      <w:r w:rsidRPr="00C55DA3">
        <w:fldChar w:fldCharType="end"/>
      </w:r>
      <w:r w:rsidRPr="008C5E45">
        <w:t>.</w:t>
      </w:r>
    </w:p>
    <w:p w14:paraId="1E7DA38C" w14:textId="07330A1C" w:rsidR="00A83991" w:rsidRPr="00FD274F" w:rsidRDefault="00A83991" w:rsidP="00A83991">
      <w:pPr>
        <w:pStyle w:val="BodyNum"/>
      </w:pPr>
      <w:r w:rsidRPr="00FD274F">
        <w:t xml:space="preserve">Even if a legislative instrument is exempt from sunsetting, it may still need to be reviewed periodically to comply with specific statutory obligations in the enabling legislation and with the Australian Government’s </w:t>
      </w:r>
      <w:r w:rsidR="002756C1">
        <w:t>Impact Analysis Framework</w:t>
      </w:r>
      <w:r w:rsidRPr="00FD274F">
        <w:t xml:space="preserve">. For more information, please contact </w:t>
      </w:r>
      <w:r w:rsidR="00741192">
        <w:t>OIA</w:t>
      </w:r>
      <w:r w:rsidR="00741192" w:rsidRPr="00FD274F">
        <w:t xml:space="preserve"> </w:t>
      </w:r>
      <w:r w:rsidRPr="00FD274F">
        <w:t>(</w:t>
      </w:r>
      <w:hyperlink r:id="rId610" w:history="1">
        <w:r w:rsidRPr="00FD274F">
          <w:rPr>
            <w:rStyle w:val="Hyperlink"/>
          </w:rPr>
          <w:t>helpdesk</w:t>
        </w:r>
        <w:r>
          <w:rPr>
            <w:rStyle w:val="Hyperlink"/>
          </w:rPr>
          <w:noBreakHyphen/>
        </w:r>
        <w:r w:rsidR="00741192">
          <w:rPr>
            <w:rStyle w:val="Hyperlink"/>
          </w:rPr>
          <w:t>OIA</w:t>
        </w:r>
        <w:r w:rsidRPr="00FD274F">
          <w:rPr>
            <w:rStyle w:val="Hyperlink"/>
          </w:rPr>
          <w:t>@pmc.gov.au</w:t>
        </w:r>
      </w:hyperlink>
      <w:r w:rsidRPr="00FD274F">
        <w:rPr>
          <w:rStyle w:val="Hyperlink"/>
        </w:rPr>
        <w:t xml:space="preserve"> </w:t>
      </w:r>
      <w:r w:rsidRPr="00FD274F">
        <w:t>or (02) 6271 6270).</w:t>
      </w:r>
    </w:p>
    <w:p w14:paraId="54F7F645" w14:textId="77777777" w:rsidR="00A83991" w:rsidRPr="00FD274F" w:rsidRDefault="00A83991" w:rsidP="00A83991">
      <w:pPr>
        <w:pStyle w:val="Head4"/>
      </w:pPr>
      <w:bookmarkStart w:id="255" w:name="_Toc183694738"/>
      <w:r w:rsidRPr="00FD274F">
        <w:t>What instruments are exempt from sunsetting</w:t>
      </w:r>
      <w:bookmarkEnd w:id="255"/>
    </w:p>
    <w:p w14:paraId="47AF88B0" w14:textId="0FCD3D9D" w:rsidR="00A83991" w:rsidRPr="00FD274F" w:rsidRDefault="00A83991" w:rsidP="00A83991">
      <w:pPr>
        <w:pStyle w:val="BodyNum"/>
      </w:pPr>
      <w:bookmarkStart w:id="256" w:name="_Ref384723553"/>
      <w:r w:rsidRPr="00FD274F">
        <w:t>Under th</w:t>
      </w:r>
      <w:r w:rsidRPr="00C55DA3">
        <w:t xml:space="preserve">e </w:t>
      </w:r>
      <w:hyperlink r:id="rId611" w:history="1">
        <w:r w:rsidRPr="00C55DA3">
          <w:rPr>
            <w:rStyle w:val="Hyperlink"/>
          </w:rPr>
          <w:t>LA</w:t>
        </w:r>
      </w:hyperlink>
      <w:r w:rsidRPr="00C55DA3">
        <w:t>,</w:t>
      </w:r>
      <w:r w:rsidRPr="00FD274F">
        <w:t xml:space="preserve"> all legislative instruments are subject to sunsetting unless they are exempt from sunsetting. Exemptions may be set out in se</w:t>
      </w:r>
      <w:r w:rsidRPr="00C55DA3">
        <w:t xml:space="preserve">ction 54 of the </w:t>
      </w:r>
      <w:hyperlink r:id="rId612" w:history="1">
        <w:hyperlink r:id="rId613" w:history="1">
          <w:hyperlink r:id="rId614" w:history="1">
            <w:r w:rsidRPr="00C55DA3">
              <w:rPr>
                <w:rStyle w:val="Hyperlink"/>
              </w:rPr>
              <w:t>LA</w:t>
            </w:r>
          </w:hyperlink>
        </w:hyperlink>
      </w:hyperlink>
      <w:r w:rsidRPr="00C55DA3">
        <w:t>,</w:t>
      </w:r>
      <w:r w:rsidRPr="00FD274F">
        <w:t xml:space="preserve"> sectio</w:t>
      </w:r>
      <w:r w:rsidRPr="00C55DA3">
        <w:t xml:space="preserve">ns 11 and 12 of </w:t>
      </w:r>
      <w:hyperlink r:id="rId615" w:history="1">
        <w:hyperlink r:id="rId616" w:history="1">
          <w:hyperlink r:id="rId617" w:history="1">
            <w:r w:rsidRPr="00C55DA3">
              <w:rPr>
                <w:rStyle w:val="Hyperlink"/>
              </w:rPr>
              <w:t>LEOMR</w:t>
            </w:r>
          </w:hyperlink>
        </w:hyperlink>
      </w:hyperlink>
      <w:r w:rsidRPr="00C55DA3">
        <w:t xml:space="preserve"> or, in v</w:t>
      </w:r>
      <w:r>
        <w:t xml:space="preserve">ery limited cases, </w:t>
      </w:r>
      <w:r w:rsidRPr="00FD274F">
        <w:t>the enabling legislation.</w:t>
      </w:r>
      <w:bookmarkEnd w:id="256"/>
    </w:p>
    <w:p w14:paraId="341B96B0" w14:textId="77777777" w:rsidR="00A83991" w:rsidRPr="00FD274F" w:rsidRDefault="00A83991" w:rsidP="00A83991">
      <w:pPr>
        <w:pStyle w:val="BodyNum"/>
      </w:pPr>
      <w:r w:rsidRPr="00FD274F">
        <w:t>When an instrument is lodged for registration, the lodging agency is asked to certify a range of information including whether an exemption from sunsetting applies and, if so, what legisl</w:t>
      </w:r>
      <w:r>
        <w:t>ation authorises the exemption.</w:t>
      </w:r>
    </w:p>
    <w:p w14:paraId="2170B41B" w14:textId="57780693" w:rsidR="00A83991" w:rsidRPr="00FD274F" w:rsidRDefault="00A83991" w:rsidP="00A83991">
      <w:pPr>
        <w:pStyle w:val="BodyNum"/>
      </w:pPr>
      <w:r w:rsidRPr="00FD274F">
        <w:t xml:space="preserve">Most exemptions are straightforward and nominate a specific enabling provision such as instruments </w:t>
      </w:r>
      <w:r w:rsidRPr="007809FB">
        <w:t xml:space="preserve">made under section 123 of the </w:t>
      </w:r>
      <w:r w:rsidR="00611E3A">
        <w:rPr>
          <w:i/>
        </w:rPr>
        <w:t>Example</w:t>
      </w:r>
      <w:r w:rsidR="00611E3A" w:rsidRPr="007809FB">
        <w:rPr>
          <w:i/>
        </w:rPr>
        <w:t xml:space="preserve"> </w:t>
      </w:r>
      <w:r w:rsidRPr="007809FB">
        <w:rPr>
          <w:i/>
        </w:rPr>
        <w:t>Act 20</w:t>
      </w:r>
      <w:r w:rsidR="00611E3A">
        <w:rPr>
          <w:i/>
        </w:rPr>
        <w:t>2</w:t>
      </w:r>
      <w:r w:rsidR="005B7B00">
        <w:rPr>
          <w:i/>
        </w:rPr>
        <w:t>4</w:t>
      </w:r>
      <w:r w:rsidRPr="007809FB">
        <w:t>. Ho</w:t>
      </w:r>
      <w:r w:rsidRPr="00FD274F">
        <w:t xml:space="preserve">wever, other exemptions are more </w:t>
      </w:r>
      <w:proofErr w:type="gramStart"/>
      <w:r w:rsidRPr="00FD274F">
        <w:t>generic</w:t>
      </w:r>
      <w:proofErr w:type="gramEnd"/>
      <w:r w:rsidRPr="00FD274F">
        <w:t xml:space="preserve"> and some can be difficult to apply, particularly if they refer t</w:t>
      </w:r>
      <w:r>
        <w:t>o the purpose of an instrument.</w:t>
      </w:r>
    </w:p>
    <w:p w14:paraId="7BBA454C" w14:textId="77777777" w:rsidR="00A83991" w:rsidRPr="00FD274F" w:rsidRDefault="00A83991" w:rsidP="00A83991">
      <w:pPr>
        <w:pStyle w:val="BodyNum"/>
      </w:pPr>
      <w:r w:rsidRPr="00FD274F">
        <w:t>If there is any doubt about whether an instrument is exempt from sunsetting, the rule</w:t>
      </w:r>
      <w:r>
        <w:noBreakHyphen/>
      </w:r>
      <w:r w:rsidRPr="00FD274F">
        <w:t xml:space="preserve">making agency should seek legal advice and consider the potential risks to government policy if the instrument is not listed for sunsetting. There will be significant legal and other consequences if, for example, an agency claims that an instrument is </w:t>
      </w:r>
      <w:proofErr w:type="gramStart"/>
      <w:r w:rsidRPr="00FD274F">
        <w:t>exempt</w:t>
      </w:r>
      <w:proofErr w:type="gramEnd"/>
      <w:r w:rsidRPr="00FD274F">
        <w:t xml:space="preserve"> but a court later finds that the instrument was not exempt and has </w:t>
      </w:r>
      <w:proofErr w:type="spellStart"/>
      <w:r w:rsidRPr="00FD274F">
        <w:t>sunsetted</w:t>
      </w:r>
      <w:proofErr w:type="spellEnd"/>
      <w:r w:rsidRPr="00FD274F">
        <w:t>.</w:t>
      </w:r>
    </w:p>
    <w:p w14:paraId="34017E7A" w14:textId="702980B0" w:rsidR="00A83991" w:rsidRPr="00FD274F" w:rsidRDefault="00A83991" w:rsidP="00A83991">
      <w:pPr>
        <w:pStyle w:val="BodyNum"/>
      </w:pPr>
      <w:r w:rsidRPr="00FD274F">
        <w:lastRenderedPageBreak/>
        <w:t>The formal policy approval of both the responsible Minister and the Attorney</w:t>
      </w:r>
      <w:r>
        <w:noBreakHyphen/>
      </w:r>
      <w:r w:rsidRPr="00FD274F">
        <w:t xml:space="preserve">General is required to create a new exemption from sunsetting. Proposals for a new exemption should be discussed in the first instance with AGD </w:t>
      </w:r>
      <w:r w:rsidR="00E277CA" w:rsidRPr="00F409B4">
        <w:t>(</w:t>
      </w:r>
      <w:r w:rsidR="00E277CA">
        <w:t xml:space="preserve">email </w:t>
      </w:r>
      <w:hyperlink r:id="rId618" w:history="1">
        <w:r w:rsidR="00E277CA" w:rsidRPr="00C24A30">
          <w:rPr>
            <w:rStyle w:val="Hyperlink"/>
          </w:rPr>
          <w:t>adminlaw@ag.gov.au</w:t>
        </w:r>
      </w:hyperlink>
      <w:r w:rsidR="00E277CA" w:rsidRPr="00FD274F">
        <w:rPr>
          <w:rStyle w:val="Hyperlink"/>
        </w:rPr>
        <w:t xml:space="preserve"> </w:t>
      </w:r>
      <w:r w:rsidR="00E277CA" w:rsidRPr="00FD274F">
        <w:t xml:space="preserve">or </w:t>
      </w:r>
      <w:r w:rsidR="00E277CA">
        <w:t xml:space="preserve">call the AGD Switchboard on </w:t>
      </w:r>
      <w:r w:rsidR="00E277CA" w:rsidRPr="00E277CA">
        <w:t>(02) 6141 6666</w:t>
      </w:r>
      <w:r w:rsidR="00E277CA">
        <w:t xml:space="preserve"> and ask to be redirected to the Administrative Law Section</w:t>
      </w:r>
      <w:r w:rsidR="00E277CA" w:rsidRPr="00F409B4">
        <w:t>)</w:t>
      </w:r>
      <w:r w:rsidRPr="00FD274F">
        <w:t>.</w:t>
      </w:r>
    </w:p>
    <w:p w14:paraId="385DF08D" w14:textId="77777777" w:rsidR="00A83991" w:rsidRPr="00FD274F" w:rsidRDefault="00A83991" w:rsidP="00A83991">
      <w:pPr>
        <w:pStyle w:val="Head4"/>
      </w:pPr>
      <w:bookmarkStart w:id="257" w:name="_Toc183694739"/>
      <w:r w:rsidRPr="00FD274F">
        <w:t>When instruments sunset</w:t>
      </w:r>
      <w:bookmarkEnd w:id="257"/>
    </w:p>
    <w:p w14:paraId="06E23016" w14:textId="53DE8335" w:rsidR="00A83991" w:rsidRPr="00FD274F" w:rsidRDefault="00A83991" w:rsidP="00A83991">
      <w:pPr>
        <w:pStyle w:val="BodyNum"/>
      </w:pPr>
      <w:r w:rsidRPr="00FD274F">
        <w:t xml:space="preserve">All legislative instruments sunset on the first 1 April or 1 October falling on or after the 10th anniversary of their </w:t>
      </w:r>
      <w:r w:rsidRPr="00C55DA3">
        <w:t>registration (</w:t>
      </w:r>
      <w:hyperlink r:id="rId619" w:history="1">
        <w:hyperlink r:id="rId620" w:history="1">
          <w:hyperlink r:id="rId621" w:history="1">
            <w:r w:rsidRPr="00C55DA3">
              <w:rPr>
                <w:rStyle w:val="Hyperlink"/>
              </w:rPr>
              <w:t>LA</w:t>
            </w:r>
          </w:hyperlink>
          <w:r w:rsidRPr="00C55DA3">
            <w:rPr>
              <w:rStyle w:val="Hyperlink"/>
            </w:rPr>
            <w:t xml:space="preserve"> </w:t>
          </w:r>
        </w:hyperlink>
      </w:hyperlink>
      <w:r w:rsidRPr="00C55DA3">
        <w:t>s 50(1)), unl</w:t>
      </w:r>
      <w:r w:rsidRPr="00FD274F">
        <w:t>ess their enabling legislation provides otherwise. To illustrate:</w:t>
      </w:r>
      <w:r w:rsidRPr="00FD274F">
        <w:br/>
      </w: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84"/>
        <w:gridCol w:w="3846"/>
      </w:tblGrid>
      <w:tr w:rsidR="00A83991" w:rsidRPr="00FD274F" w14:paraId="4565907F" w14:textId="77777777" w:rsidTr="00A83991">
        <w:trPr>
          <w:tblHeader/>
        </w:trPr>
        <w:tc>
          <w:tcPr>
            <w:tcW w:w="3384" w:type="dxa"/>
            <w:tcBorders>
              <w:top w:val="single" w:sz="12" w:space="0" w:color="auto"/>
              <w:bottom w:val="single" w:sz="12" w:space="0" w:color="auto"/>
            </w:tcBorders>
            <w:shd w:val="clear" w:color="auto" w:fill="auto"/>
          </w:tcPr>
          <w:p w14:paraId="2E5B6DD2" w14:textId="77777777" w:rsidR="00A83991" w:rsidRPr="00FD274F" w:rsidRDefault="00A83991" w:rsidP="00A83991">
            <w:pPr>
              <w:pStyle w:val="TableHeading"/>
              <w:keepLines/>
            </w:pPr>
            <w:r w:rsidRPr="00FD274F">
              <w:t>Date of registration</w:t>
            </w:r>
          </w:p>
        </w:tc>
        <w:tc>
          <w:tcPr>
            <w:tcW w:w="3846" w:type="dxa"/>
            <w:tcBorders>
              <w:top w:val="single" w:sz="12" w:space="0" w:color="auto"/>
              <w:bottom w:val="single" w:sz="12" w:space="0" w:color="auto"/>
            </w:tcBorders>
            <w:shd w:val="clear" w:color="auto" w:fill="auto"/>
          </w:tcPr>
          <w:p w14:paraId="0490E31D" w14:textId="77777777" w:rsidR="00A83991" w:rsidRPr="00FD274F" w:rsidRDefault="00A83991" w:rsidP="00A83991">
            <w:pPr>
              <w:pStyle w:val="TableHeading"/>
              <w:keepLines/>
            </w:pPr>
            <w:r>
              <w:t>Default sunsetting date</w:t>
            </w:r>
          </w:p>
        </w:tc>
      </w:tr>
      <w:tr w:rsidR="00A83991" w:rsidRPr="00FD274F" w14:paraId="70A48727" w14:textId="77777777" w:rsidTr="00A83991">
        <w:tc>
          <w:tcPr>
            <w:tcW w:w="3384" w:type="dxa"/>
            <w:tcBorders>
              <w:top w:val="single" w:sz="12" w:space="0" w:color="auto"/>
            </w:tcBorders>
            <w:shd w:val="clear" w:color="auto" w:fill="auto"/>
          </w:tcPr>
          <w:p w14:paraId="6465447B" w14:textId="77777777" w:rsidR="00A83991" w:rsidRPr="00FD274F" w:rsidRDefault="00A83991" w:rsidP="00A83991">
            <w:pPr>
              <w:pStyle w:val="Tabletext"/>
              <w:keepNext/>
              <w:keepLines/>
            </w:pPr>
            <w:r w:rsidRPr="00FD274F">
              <w:t>31 March 20</w:t>
            </w:r>
            <w:r>
              <w:t>1</w:t>
            </w:r>
            <w:r w:rsidRPr="00FD274F">
              <w:t>5</w:t>
            </w:r>
          </w:p>
        </w:tc>
        <w:tc>
          <w:tcPr>
            <w:tcW w:w="3846" w:type="dxa"/>
            <w:tcBorders>
              <w:top w:val="single" w:sz="12" w:space="0" w:color="auto"/>
            </w:tcBorders>
            <w:shd w:val="clear" w:color="auto" w:fill="auto"/>
          </w:tcPr>
          <w:p w14:paraId="1C01158D" w14:textId="77777777" w:rsidR="00A83991" w:rsidRPr="00FD274F" w:rsidRDefault="00A83991" w:rsidP="00A83991">
            <w:pPr>
              <w:pStyle w:val="Tabletext"/>
              <w:keepNext/>
              <w:keepLines/>
            </w:pPr>
            <w:r w:rsidRPr="00FD274F">
              <w:t>1 April 20</w:t>
            </w:r>
            <w:r>
              <w:t>2</w:t>
            </w:r>
            <w:r w:rsidRPr="00FD274F">
              <w:t>5</w:t>
            </w:r>
          </w:p>
        </w:tc>
      </w:tr>
      <w:tr w:rsidR="00A83991" w:rsidRPr="00FD274F" w14:paraId="6C583F49" w14:textId="77777777" w:rsidTr="00A83991">
        <w:tc>
          <w:tcPr>
            <w:tcW w:w="3384" w:type="dxa"/>
            <w:tcBorders>
              <w:bottom w:val="single" w:sz="4" w:space="0" w:color="auto"/>
            </w:tcBorders>
            <w:shd w:val="clear" w:color="auto" w:fill="auto"/>
          </w:tcPr>
          <w:p w14:paraId="72E1E790" w14:textId="77777777" w:rsidR="00A83991" w:rsidRPr="00FD274F" w:rsidRDefault="00A83991" w:rsidP="00A83991">
            <w:pPr>
              <w:pStyle w:val="Tabletext"/>
              <w:keepNext/>
              <w:keepLines/>
            </w:pPr>
            <w:r w:rsidRPr="00FD274F">
              <w:t>1 April 20</w:t>
            </w:r>
            <w:r>
              <w:t>1</w:t>
            </w:r>
            <w:r w:rsidRPr="00FD274F">
              <w:t>5</w:t>
            </w:r>
          </w:p>
        </w:tc>
        <w:tc>
          <w:tcPr>
            <w:tcW w:w="3846" w:type="dxa"/>
            <w:tcBorders>
              <w:bottom w:val="single" w:sz="4" w:space="0" w:color="auto"/>
            </w:tcBorders>
            <w:shd w:val="clear" w:color="auto" w:fill="auto"/>
          </w:tcPr>
          <w:p w14:paraId="5F7D7E04" w14:textId="77777777" w:rsidR="00A83991" w:rsidRPr="00FD274F" w:rsidRDefault="00A83991" w:rsidP="00A83991">
            <w:pPr>
              <w:pStyle w:val="Tabletext"/>
              <w:keepNext/>
              <w:keepLines/>
            </w:pPr>
            <w:r w:rsidRPr="00FD274F">
              <w:t>1 April 20</w:t>
            </w:r>
            <w:r>
              <w:t>2</w:t>
            </w:r>
            <w:r w:rsidRPr="00FD274F">
              <w:t>5</w:t>
            </w:r>
          </w:p>
        </w:tc>
      </w:tr>
      <w:tr w:rsidR="00A83991" w:rsidRPr="00FD274F" w14:paraId="2558C208" w14:textId="77777777" w:rsidTr="00A83991">
        <w:tc>
          <w:tcPr>
            <w:tcW w:w="3384" w:type="dxa"/>
            <w:tcBorders>
              <w:bottom w:val="single" w:sz="12" w:space="0" w:color="auto"/>
            </w:tcBorders>
            <w:shd w:val="clear" w:color="auto" w:fill="auto"/>
          </w:tcPr>
          <w:p w14:paraId="1080B993" w14:textId="77777777" w:rsidR="00A83991" w:rsidRPr="00FD274F" w:rsidRDefault="00A83991" w:rsidP="00A83991">
            <w:pPr>
              <w:pStyle w:val="Tabletext"/>
              <w:keepNext/>
              <w:keepLines/>
            </w:pPr>
            <w:r w:rsidRPr="00FD274F">
              <w:t>2 April 20</w:t>
            </w:r>
            <w:r>
              <w:t>1</w:t>
            </w:r>
            <w:r w:rsidRPr="00FD274F">
              <w:t>5</w:t>
            </w:r>
          </w:p>
        </w:tc>
        <w:tc>
          <w:tcPr>
            <w:tcW w:w="3846" w:type="dxa"/>
            <w:tcBorders>
              <w:bottom w:val="single" w:sz="12" w:space="0" w:color="auto"/>
            </w:tcBorders>
            <w:shd w:val="clear" w:color="auto" w:fill="auto"/>
          </w:tcPr>
          <w:p w14:paraId="355BFF2A" w14:textId="77777777" w:rsidR="00A83991" w:rsidRPr="00FD274F" w:rsidRDefault="00A83991" w:rsidP="00A83991">
            <w:pPr>
              <w:pStyle w:val="Tabletext"/>
              <w:keepNext/>
              <w:keepLines/>
            </w:pPr>
            <w:r w:rsidRPr="00FD274F">
              <w:t>1 October 20</w:t>
            </w:r>
            <w:r>
              <w:t>2</w:t>
            </w:r>
            <w:r w:rsidRPr="00FD274F">
              <w:t>5</w:t>
            </w:r>
          </w:p>
        </w:tc>
      </w:tr>
    </w:tbl>
    <w:p w14:paraId="5918633A" w14:textId="77777777" w:rsidR="00A83991" w:rsidRPr="00FD274F" w:rsidRDefault="00A83991" w:rsidP="00A83991">
      <w:pPr>
        <w:pStyle w:val="Head4"/>
      </w:pPr>
      <w:bookmarkStart w:id="258" w:name="_Toc183694740"/>
      <w:r>
        <w:t>A</w:t>
      </w:r>
      <w:r w:rsidRPr="00FD274F">
        <w:t>dvance notice of sunsetting</w:t>
      </w:r>
      <w:bookmarkEnd w:id="258"/>
    </w:p>
    <w:p w14:paraId="17A39C5D" w14:textId="53A52BB5" w:rsidR="00A83991" w:rsidRPr="00FD274F" w:rsidRDefault="00A83991" w:rsidP="00A83991">
      <w:pPr>
        <w:pStyle w:val="BodyNum"/>
      </w:pPr>
      <w:r w:rsidRPr="00FD274F">
        <w:t>The Attorney</w:t>
      </w:r>
      <w:r>
        <w:noBreakHyphen/>
      </w:r>
      <w:r w:rsidRPr="00FD274F">
        <w:t xml:space="preserve">General is required to table a list of all the instruments due to sunset on a given sunset date. The list </w:t>
      </w:r>
      <w:r w:rsidRPr="00C55DA3">
        <w:t>must be tabled in each House of the Parliament on the first sitting day within 18 months before that date (</w:t>
      </w:r>
      <w:hyperlink r:id="rId622" w:history="1">
        <w:hyperlink r:id="rId623" w:history="1">
          <w:hyperlink r:id="rId624" w:history="1">
            <w:hyperlink r:id="rId625" w:history="1">
              <w:r w:rsidRPr="00C55DA3">
                <w:rPr>
                  <w:rStyle w:val="Hyperlink"/>
                </w:rPr>
                <w:t>LA</w:t>
              </w:r>
            </w:hyperlink>
            <w:r w:rsidRPr="00C55DA3">
              <w:rPr>
                <w:rStyle w:val="Hyperlink"/>
              </w:rPr>
              <w:t xml:space="preserve"> </w:t>
            </w:r>
          </w:hyperlink>
        </w:hyperlink>
      </w:hyperlink>
      <w:r w:rsidRPr="00C55DA3">
        <w:t>s 52). Th</w:t>
      </w:r>
      <w:r w:rsidRPr="00FD274F">
        <w:t xml:space="preserve">e exact date of tabling will vary, but some of </w:t>
      </w:r>
      <w:r>
        <w:t>the key dates are as follows:</w:t>
      </w:r>
      <w:r>
        <w:br/>
      </w:r>
    </w:p>
    <w:tbl>
      <w:tblPr>
        <w:tblW w:w="723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384"/>
        <w:gridCol w:w="3846"/>
      </w:tblGrid>
      <w:tr w:rsidR="00A83991" w:rsidRPr="00FD274F" w14:paraId="152264E1" w14:textId="77777777" w:rsidTr="00A83991">
        <w:trPr>
          <w:tblHeader/>
        </w:trPr>
        <w:tc>
          <w:tcPr>
            <w:tcW w:w="3384" w:type="dxa"/>
            <w:tcBorders>
              <w:top w:val="single" w:sz="12" w:space="0" w:color="auto"/>
              <w:bottom w:val="single" w:sz="12" w:space="0" w:color="auto"/>
            </w:tcBorders>
          </w:tcPr>
          <w:p w14:paraId="7AB24BA9" w14:textId="77777777" w:rsidR="00A83991" w:rsidRPr="00FD274F" w:rsidRDefault="00A83991" w:rsidP="00A83991">
            <w:pPr>
              <w:pStyle w:val="TableHeading"/>
            </w:pPr>
            <w:r w:rsidRPr="00FD274F">
              <w:t>Sunsetting date</w:t>
            </w:r>
          </w:p>
        </w:tc>
        <w:tc>
          <w:tcPr>
            <w:tcW w:w="3846" w:type="dxa"/>
            <w:tcBorders>
              <w:top w:val="single" w:sz="12" w:space="0" w:color="auto"/>
              <w:bottom w:val="single" w:sz="12" w:space="0" w:color="auto"/>
            </w:tcBorders>
            <w:shd w:val="clear" w:color="auto" w:fill="auto"/>
          </w:tcPr>
          <w:p w14:paraId="250D9539" w14:textId="77777777" w:rsidR="00A83991" w:rsidRPr="00FD274F" w:rsidRDefault="00A83991" w:rsidP="00A83991">
            <w:pPr>
              <w:pStyle w:val="TableHeading"/>
            </w:pPr>
            <w:r w:rsidRPr="00FD274F">
              <w:t>List tabling date</w:t>
            </w:r>
          </w:p>
        </w:tc>
      </w:tr>
      <w:tr w:rsidR="00A83991" w:rsidRPr="00FD274F" w14:paraId="3C9A9EEE" w14:textId="77777777" w:rsidTr="00A83991">
        <w:tc>
          <w:tcPr>
            <w:tcW w:w="3384" w:type="dxa"/>
            <w:tcBorders>
              <w:top w:val="single" w:sz="12" w:space="0" w:color="auto"/>
            </w:tcBorders>
          </w:tcPr>
          <w:p w14:paraId="6384D5EA" w14:textId="77777777" w:rsidR="00A83991" w:rsidRPr="00FD274F" w:rsidRDefault="00A83991" w:rsidP="00A83991">
            <w:pPr>
              <w:pStyle w:val="Tabletext"/>
            </w:pPr>
            <w:r w:rsidRPr="00FD274F">
              <w:t>1 October 20</w:t>
            </w:r>
            <w:r>
              <w:t>2</w:t>
            </w:r>
            <w:r w:rsidRPr="00FD274F">
              <w:t>7</w:t>
            </w:r>
          </w:p>
        </w:tc>
        <w:tc>
          <w:tcPr>
            <w:tcW w:w="3846" w:type="dxa"/>
            <w:tcBorders>
              <w:top w:val="single" w:sz="12" w:space="0" w:color="auto"/>
            </w:tcBorders>
            <w:shd w:val="clear" w:color="auto" w:fill="auto"/>
          </w:tcPr>
          <w:p w14:paraId="7A0F6B77" w14:textId="77777777" w:rsidR="00A83991" w:rsidRPr="00FD274F" w:rsidRDefault="00A83991" w:rsidP="00A83991">
            <w:pPr>
              <w:pStyle w:val="Tabletext"/>
            </w:pPr>
            <w:r w:rsidRPr="00FD274F">
              <w:t>First sitting day on or after 1 April 20</w:t>
            </w:r>
            <w:r>
              <w:t>2</w:t>
            </w:r>
            <w:r w:rsidRPr="00FD274F">
              <w:t>6</w:t>
            </w:r>
          </w:p>
        </w:tc>
      </w:tr>
      <w:tr w:rsidR="00A83991" w:rsidRPr="00FD274F" w14:paraId="1B188F94" w14:textId="77777777" w:rsidTr="00A83991">
        <w:tc>
          <w:tcPr>
            <w:tcW w:w="3384" w:type="dxa"/>
            <w:tcBorders>
              <w:bottom w:val="single" w:sz="4" w:space="0" w:color="auto"/>
            </w:tcBorders>
          </w:tcPr>
          <w:p w14:paraId="12CFDD1E" w14:textId="77777777" w:rsidR="00A83991" w:rsidRPr="00FD274F" w:rsidRDefault="00A83991" w:rsidP="00A83991">
            <w:pPr>
              <w:pStyle w:val="Tabletext"/>
            </w:pPr>
            <w:r w:rsidRPr="00FD274F">
              <w:t>1 April 20</w:t>
            </w:r>
            <w:r>
              <w:t>2</w:t>
            </w:r>
            <w:r w:rsidRPr="00FD274F">
              <w:t>8</w:t>
            </w:r>
          </w:p>
        </w:tc>
        <w:tc>
          <w:tcPr>
            <w:tcW w:w="3846" w:type="dxa"/>
            <w:tcBorders>
              <w:bottom w:val="single" w:sz="4" w:space="0" w:color="auto"/>
            </w:tcBorders>
            <w:shd w:val="clear" w:color="auto" w:fill="auto"/>
          </w:tcPr>
          <w:p w14:paraId="4B627468" w14:textId="77777777" w:rsidR="00A83991" w:rsidRPr="00FD274F" w:rsidRDefault="00A83991" w:rsidP="00A83991">
            <w:pPr>
              <w:pStyle w:val="Tabletext"/>
            </w:pPr>
            <w:r w:rsidRPr="00FD274F">
              <w:t>First sitting day on or after 1 October 20</w:t>
            </w:r>
            <w:r>
              <w:t>2</w:t>
            </w:r>
            <w:r w:rsidRPr="00FD274F">
              <w:t>6</w:t>
            </w:r>
          </w:p>
        </w:tc>
      </w:tr>
      <w:tr w:rsidR="00A83991" w:rsidRPr="00FD274F" w14:paraId="7EF06AC1" w14:textId="77777777" w:rsidTr="00A83991">
        <w:tc>
          <w:tcPr>
            <w:tcW w:w="3384" w:type="dxa"/>
            <w:tcBorders>
              <w:bottom w:val="single" w:sz="12" w:space="0" w:color="auto"/>
            </w:tcBorders>
          </w:tcPr>
          <w:p w14:paraId="1848D36B" w14:textId="77777777" w:rsidR="00A83991" w:rsidRPr="00FD274F" w:rsidRDefault="00A83991" w:rsidP="00A83991">
            <w:pPr>
              <w:pStyle w:val="Tabletext"/>
            </w:pPr>
            <w:r w:rsidRPr="00FD274F">
              <w:t>1 October 20</w:t>
            </w:r>
            <w:r>
              <w:t>2</w:t>
            </w:r>
            <w:r w:rsidRPr="00FD274F">
              <w:t>8</w:t>
            </w:r>
          </w:p>
        </w:tc>
        <w:tc>
          <w:tcPr>
            <w:tcW w:w="3846" w:type="dxa"/>
            <w:tcBorders>
              <w:bottom w:val="single" w:sz="12" w:space="0" w:color="auto"/>
            </w:tcBorders>
            <w:shd w:val="clear" w:color="auto" w:fill="auto"/>
          </w:tcPr>
          <w:p w14:paraId="3CE3819E" w14:textId="77777777" w:rsidR="00A83991" w:rsidRPr="00FD274F" w:rsidRDefault="00A83991" w:rsidP="00A83991">
            <w:pPr>
              <w:pStyle w:val="Tabletext"/>
            </w:pPr>
            <w:r w:rsidRPr="00FD274F">
              <w:t>First sitting day on or after 1 April 20</w:t>
            </w:r>
            <w:r>
              <w:t>2</w:t>
            </w:r>
            <w:r w:rsidRPr="00FD274F">
              <w:t>7</w:t>
            </w:r>
          </w:p>
        </w:tc>
      </w:tr>
    </w:tbl>
    <w:p w14:paraId="683C5E94" w14:textId="028AAE54" w:rsidR="00A83991" w:rsidRDefault="00A83991" w:rsidP="00A83991">
      <w:pPr>
        <w:pStyle w:val="BodyNum"/>
        <w:keepLines/>
      </w:pPr>
      <w:r w:rsidRPr="00FD274F">
        <w:t>Tabled lists are available on the Register</w:t>
      </w:r>
      <w:r w:rsidRPr="00FD274F">
        <w:rPr>
          <w:rStyle w:val="FootnoteReference"/>
        </w:rPr>
        <w:footnoteReference w:id="42"/>
      </w:r>
      <w:r w:rsidRPr="00FD274F">
        <w:t>. Newly tabled lists are available on the website as soon as possible after tabling in accordance with the current Guidelines for the Presentation of Documents to the Parliamen</w:t>
      </w:r>
      <w:r w:rsidRPr="00FD274F">
        <w:rPr>
          <w:color w:val="000000" w:themeColor="text1"/>
        </w:rPr>
        <w:t>t</w:t>
      </w:r>
      <w:r w:rsidRPr="00FD274F">
        <w:rPr>
          <w:rStyle w:val="FootnoteReference"/>
          <w:color w:val="000000" w:themeColor="text1"/>
        </w:rPr>
        <w:footnoteReference w:id="43"/>
      </w:r>
      <w:r w:rsidRPr="00FD274F">
        <w:rPr>
          <w:color w:val="000000" w:themeColor="text1"/>
        </w:rPr>
        <w:t>. I</w:t>
      </w:r>
      <w:r w:rsidRPr="00FD274F">
        <w:t xml:space="preserve">n accordance </w:t>
      </w:r>
      <w:r w:rsidRPr="00C55DA3">
        <w:t>with subsection 52(3)</w:t>
      </w:r>
      <w:r w:rsidRPr="00FD274F">
        <w:t xml:space="preserve"> of the </w:t>
      </w:r>
      <w:hyperlink r:id="rId626" w:history="1">
        <w:r w:rsidRPr="00FD274F">
          <w:rPr>
            <w:rStyle w:val="Hyperlink"/>
          </w:rPr>
          <w:t>LA</w:t>
        </w:r>
      </w:hyperlink>
      <w:r w:rsidRPr="00FD274F">
        <w:rPr>
          <w:rStyle w:val="Hyperlink"/>
        </w:rPr>
        <w:t>,</w:t>
      </w:r>
      <w:r w:rsidRPr="00FD274F">
        <w:t xml:space="preserve"> OPC also provides the tabled list to each Departmental Secretary for distribution to each rule</w:t>
      </w:r>
      <w:r>
        <w:noBreakHyphen/>
      </w:r>
      <w:r w:rsidRPr="00FD274F">
        <w:t>maker within the portfolio as soon as practicable after the list is tabled.</w:t>
      </w:r>
    </w:p>
    <w:p w14:paraId="6F054654" w14:textId="77777777" w:rsidR="00A83991" w:rsidRPr="00FD274F" w:rsidRDefault="00A83991" w:rsidP="00A83991">
      <w:pPr>
        <w:pStyle w:val="BodyNum"/>
      </w:pPr>
      <w:r>
        <w:t xml:space="preserve">OPC also provides a list of instruments due to sunset in 6 and 12 months to all agency Legislation Liaison Officers. This list is not tabled in each House of the Parliament but is provided for information only. This is so agencies can </w:t>
      </w:r>
      <w:proofErr w:type="gramStart"/>
      <w:r>
        <w:t>take into account</w:t>
      </w:r>
      <w:proofErr w:type="gramEnd"/>
      <w:r>
        <w:t xml:space="preserve"> any changes that have occurred since lists of instruments due to sunset in 18 months were tabled in each House of Parliament and to assist agencies in managing their sunsetting instruments to ensure the timely remaking or repeal of sunsetting instruments.</w:t>
      </w:r>
    </w:p>
    <w:p w14:paraId="3867FA4E" w14:textId="1D4E6B63" w:rsidR="00A83991" w:rsidRPr="00FD274F" w:rsidRDefault="00A83991" w:rsidP="00A83991">
      <w:pPr>
        <w:pStyle w:val="BodyNum"/>
      </w:pPr>
      <w:r w:rsidRPr="00FD274F">
        <w:t>Up</w:t>
      </w:r>
      <w:r>
        <w:noBreakHyphen/>
      </w:r>
      <w:r w:rsidRPr="00FD274F">
        <w:t>to</w:t>
      </w:r>
      <w:r>
        <w:noBreakHyphen/>
      </w:r>
      <w:r w:rsidRPr="00FD274F">
        <w:t>date information on all t</w:t>
      </w:r>
      <w:r w:rsidRPr="00FD274F">
        <w:rPr>
          <w:szCs w:val="24"/>
        </w:rPr>
        <w:t>he instruments due to sunset within 18 months</w:t>
      </w:r>
      <w:r w:rsidRPr="00FD274F">
        <w:rPr>
          <w:rStyle w:val="FootnoteReference"/>
          <w:szCs w:val="24"/>
        </w:rPr>
        <w:footnoteReference w:id="44"/>
      </w:r>
      <w:r w:rsidRPr="00FD274F">
        <w:rPr>
          <w:szCs w:val="24"/>
        </w:rPr>
        <w:t xml:space="preserve"> and details of a particular instrument’s current sunset date can be obtained from the Register website. Agency</w:t>
      </w:r>
      <w:r>
        <w:rPr>
          <w:szCs w:val="24"/>
        </w:rPr>
        <w:noBreakHyphen/>
      </w:r>
      <w:r w:rsidRPr="00FD274F">
        <w:rPr>
          <w:szCs w:val="24"/>
        </w:rPr>
        <w:t xml:space="preserve">specific reports on instruments that are not yet repealed can also be </w:t>
      </w:r>
      <w:r w:rsidRPr="00FD274F">
        <w:rPr>
          <w:szCs w:val="24"/>
        </w:rPr>
        <w:lastRenderedPageBreak/>
        <w:t xml:space="preserve">accessed, customised and downloaded to Microsoft Excel through the secure </w:t>
      </w:r>
      <w:r w:rsidRPr="00F6707A">
        <w:rPr>
          <w:szCs w:val="24"/>
        </w:rPr>
        <w:t>lodgement facility</w:t>
      </w:r>
      <w:r w:rsidRPr="00FD274F">
        <w:rPr>
          <w:szCs w:val="24"/>
        </w:rPr>
        <w:t xml:space="preserve"> </w:t>
      </w:r>
      <w:hyperlink r:id="rId627" w:history="1">
        <w:r w:rsidRPr="00FD274F">
          <w:rPr>
            <w:rStyle w:val="Hyperlink"/>
            <w:szCs w:val="24"/>
            <w:lang w:eastAsia="en-US"/>
          </w:rPr>
          <w:t>https://lodge.legislation.gov.au</w:t>
        </w:r>
      </w:hyperlink>
      <w:r>
        <w:rPr>
          <w:color w:val="1F497D"/>
          <w:szCs w:val="24"/>
          <w:lang w:eastAsia="en-US"/>
        </w:rPr>
        <w:t>.</w:t>
      </w:r>
    </w:p>
    <w:p w14:paraId="07FA4A7F" w14:textId="77777777" w:rsidR="00A83991" w:rsidRPr="00FD274F" w:rsidRDefault="00A83991" w:rsidP="00A83991">
      <w:pPr>
        <w:pStyle w:val="Head3"/>
      </w:pPr>
      <w:bookmarkStart w:id="259" w:name="_Toc183694741"/>
      <w:r w:rsidRPr="00FD274F">
        <w:t>What to do about sunsetting</w:t>
      </w:r>
      <w:bookmarkEnd w:id="259"/>
    </w:p>
    <w:p w14:paraId="445EA1DD" w14:textId="647A8883" w:rsidR="00CA3224" w:rsidRDefault="00CA3224" w:rsidP="00041596">
      <w:pPr>
        <w:pStyle w:val="BodyNum"/>
      </w:pPr>
      <w:r>
        <w:t xml:space="preserve">It is essential to be actively managing sunsetting instruments early. For information in relation to timeframes to appropriately manage sunsetting instruments, see </w:t>
      </w:r>
      <w:hyperlink r:id="rId628" w:history="1">
        <w:r>
          <w:rPr>
            <w:rStyle w:val="Hyperlink"/>
          </w:rPr>
          <w:t>Instrument Drafting Guidance Note No. 1.4 Timeframes for the development of instruments (opc.gov.au)</w:t>
        </w:r>
      </w:hyperlink>
      <w:r>
        <w:t>.</w:t>
      </w:r>
      <w:r w:rsidR="00041596">
        <w:t xml:space="preserve"> </w:t>
      </w:r>
      <w:r>
        <w:t>Early action is essential</w:t>
      </w:r>
      <w:r w:rsidR="00041596">
        <w:t>,</w:t>
      </w:r>
      <w:r>
        <w:t xml:space="preserve"> particularly if:</w:t>
      </w:r>
    </w:p>
    <w:p w14:paraId="6D1D8702" w14:textId="77777777" w:rsidR="00A83991" w:rsidRPr="00FD274F" w:rsidRDefault="00A83991" w:rsidP="00A83991">
      <w:pPr>
        <w:pStyle w:val="BodyPara"/>
      </w:pPr>
      <w:r w:rsidRPr="00FD274F">
        <w:t>a change in sunset date may be appropriate e.g. to facilitate a thematic rev</w:t>
      </w:r>
      <w:r>
        <w:t>iew of multiple instruments; or</w:t>
      </w:r>
    </w:p>
    <w:p w14:paraId="20D140A1" w14:textId="77777777" w:rsidR="00A83991" w:rsidRPr="00FD274F" w:rsidRDefault="00A83991" w:rsidP="00A83991">
      <w:pPr>
        <w:pStyle w:val="BodyPara"/>
      </w:pPr>
      <w:r w:rsidRPr="00FD274F">
        <w:t>an instrument’s inclusion in a tabled sunsetting list is likely to cause significant parl</w:t>
      </w:r>
      <w:r>
        <w:t>iamentary or public concern; or</w:t>
      </w:r>
    </w:p>
    <w:p w14:paraId="16A91F5B" w14:textId="77777777" w:rsidR="00A83991" w:rsidRPr="00FD274F" w:rsidRDefault="00A83991" w:rsidP="00A83991">
      <w:pPr>
        <w:pStyle w:val="BodyPara"/>
      </w:pPr>
      <w:r w:rsidRPr="00FD274F">
        <w:t>a parliamentary rollover or significant policy ch</w:t>
      </w:r>
      <w:r>
        <w:t>ange is likely to be sought; or</w:t>
      </w:r>
    </w:p>
    <w:p w14:paraId="7124A8BE" w14:textId="77777777" w:rsidR="00A83991" w:rsidRPr="00FD274F" w:rsidRDefault="00A83991" w:rsidP="00A83991">
      <w:pPr>
        <w:pStyle w:val="BodyPara"/>
      </w:pPr>
      <w:r w:rsidRPr="00FD274F">
        <w:t>an agency is responsible for a large number of sunsetting instruments.</w:t>
      </w:r>
    </w:p>
    <w:p w14:paraId="6FBE5ECC" w14:textId="158A1AA4" w:rsidR="00AC3C54" w:rsidRDefault="00AC3C54" w:rsidP="00A83991">
      <w:pPr>
        <w:pStyle w:val="BodyNum"/>
      </w:pPr>
      <w:r>
        <w:t>Best practice is for agencies to review all instruments 5 years after they have been made to ensure sufficient time to deal with sunsetting instruments.</w:t>
      </w:r>
    </w:p>
    <w:p w14:paraId="266A7431" w14:textId="69F225C0" w:rsidR="00A83991" w:rsidRPr="00FD274F" w:rsidRDefault="00A83991" w:rsidP="00A83991">
      <w:pPr>
        <w:pStyle w:val="BodyNum"/>
      </w:pPr>
      <w:r w:rsidRPr="00FD274F">
        <w:t>Many instruments are “one</w:t>
      </w:r>
      <w:r>
        <w:noBreakHyphen/>
      </w:r>
      <w:r w:rsidRPr="00FD274F">
        <w:t>off” instruments that have been created for a particular event or period, or for the sole purpose of doing something to another instrument (e.g. commencing, amending or repealing the other instrument). These instruments are usually easy to identify and may be subject to automatic repeal. If not, they should be repealed once they have done their job. For further guidance on repeal proce</w:t>
      </w:r>
      <w:r w:rsidRPr="008C5E45">
        <w:t xml:space="preserve">sses, see paragraph </w:t>
      </w:r>
      <w:r w:rsidRPr="00C55DA3">
        <w:fldChar w:fldCharType="begin"/>
      </w:r>
      <w:r w:rsidRPr="008C5E45">
        <w:instrText xml:space="preserve"> REF _Ref367446866 \r \h  \* MERGEFORMAT </w:instrText>
      </w:r>
      <w:r w:rsidRPr="00C55DA3">
        <w:fldChar w:fldCharType="separate"/>
      </w:r>
      <w:r w:rsidR="00833171">
        <w:t>241</w:t>
      </w:r>
      <w:r w:rsidRPr="00C55DA3">
        <w:fldChar w:fldCharType="end"/>
      </w:r>
      <w:r w:rsidRPr="008C5E45">
        <w:t>.</w:t>
      </w:r>
    </w:p>
    <w:p w14:paraId="5CF83651" w14:textId="58534E61" w:rsidR="00A83991" w:rsidRPr="00FD274F" w:rsidRDefault="00A83991" w:rsidP="00A83991">
      <w:pPr>
        <w:pStyle w:val="BodyNum"/>
        <w:keepLines/>
      </w:pPr>
      <w:bookmarkStart w:id="260" w:name="_Ref378066686"/>
      <w:r w:rsidRPr="00FD274F">
        <w:t>If an instrument is still required, or if there is doubt about whether it is still required, the rule</w:t>
      </w:r>
      <w:r>
        <w:noBreakHyphen/>
      </w:r>
      <w:r w:rsidRPr="00FD274F">
        <w:t>making agency should undertake a more in</w:t>
      </w:r>
      <w:r>
        <w:noBreakHyphen/>
      </w:r>
      <w:r w:rsidRPr="00FD274F">
        <w:t xml:space="preserve">depth review of whether the instrument is “fit for purpose”. For further guidance on how to prepare for and review sunsetting instruments, </w:t>
      </w:r>
      <w:r>
        <w:t xml:space="preserve">see the Sunsetting Checklist in Appendix A of this Handbook, </w:t>
      </w:r>
      <w:r w:rsidRPr="00FD274F">
        <w:t>the AGD Guide to Managing Sunsetting of Legislative Instruments</w:t>
      </w:r>
      <w:r w:rsidRPr="00FD274F">
        <w:rPr>
          <w:rStyle w:val="FootnoteReference"/>
        </w:rPr>
        <w:footnoteReference w:id="45"/>
      </w:r>
      <w:r w:rsidRPr="00FD274F">
        <w:t xml:space="preserve"> or contact AGD </w:t>
      </w:r>
      <w:r w:rsidR="00013F97" w:rsidRPr="00FD274F">
        <w:t>(</w:t>
      </w:r>
      <w:r w:rsidR="00013F97">
        <w:t xml:space="preserve">email </w:t>
      </w:r>
      <w:hyperlink r:id="rId629" w:history="1">
        <w:r w:rsidR="00013F97" w:rsidRPr="00FD274F">
          <w:rPr>
            <w:rStyle w:val="Hyperlink"/>
          </w:rPr>
          <w:t>sunsetting@ag.gov.au</w:t>
        </w:r>
      </w:hyperlink>
      <w:r w:rsidR="00013F97" w:rsidRPr="00FD274F">
        <w:t xml:space="preserve"> or </w:t>
      </w:r>
      <w:r w:rsidR="00013F97">
        <w:t xml:space="preserve">call the AGD Switchboard on </w:t>
      </w:r>
      <w:r w:rsidR="00013F97" w:rsidRPr="00E277CA">
        <w:t>(02) 6141 6666</w:t>
      </w:r>
      <w:r w:rsidR="00013F97">
        <w:t xml:space="preserve"> and ask to be redirected to the Administrative Law Section</w:t>
      </w:r>
      <w:r w:rsidR="00013F97" w:rsidRPr="00F409B4">
        <w:t>)</w:t>
      </w:r>
      <w:r w:rsidRPr="00FD274F">
        <w:t>.</w:t>
      </w:r>
      <w:bookmarkEnd w:id="260"/>
    </w:p>
    <w:p w14:paraId="3948BC4F" w14:textId="1153A107" w:rsidR="00A83991" w:rsidRPr="00FD274F" w:rsidRDefault="00A83991" w:rsidP="00A83991">
      <w:pPr>
        <w:pStyle w:val="BodyNum"/>
      </w:pPr>
      <w:r w:rsidRPr="00FD274F">
        <w:t xml:space="preserve">Agencies planning reviews should also have regard to the Australian Government’s </w:t>
      </w:r>
      <w:r w:rsidR="00E50844">
        <w:t>Impact Analysis Framework</w:t>
      </w:r>
      <w:r w:rsidRPr="00FD274F">
        <w:t xml:space="preserve">. For further guidance, please contact </w:t>
      </w:r>
      <w:r w:rsidR="00741192">
        <w:t>OIA</w:t>
      </w:r>
      <w:r w:rsidRPr="00FD274F">
        <w:t xml:space="preserve"> (</w:t>
      </w:r>
      <w:hyperlink r:id="rId630" w:history="1">
        <w:r w:rsidRPr="00FD274F">
          <w:rPr>
            <w:rStyle w:val="Hyperlink"/>
          </w:rPr>
          <w:t>helpdesk</w:t>
        </w:r>
        <w:r>
          <w:rPr>
            <w:rStyle w:val="Hyperlink"/>
          </w:rPr>
          <w:noBreakHyphen/>
        </w:r>
        <w:r w:rsidR="00741192">
          <w:rPr>
            <w:rStyle w:val="Hyperlink"/>
          </w:rPr>
          <w:t>OIA</w:t>
        </w:r>
        <w:r w:rsidRPr="00FD274F">
          <w:rPr>
            <w:rStyle w:val="Hyperlink"/>
          </w:rPr>
          <w:t>@pmc.gov.au</w:t>
        </w:r>
      </w:hyperlink>
      <w:r w:rsidRPr="00FD274F">
        <w:rPr>
          <w:rStyle w:val="Hyperlink"/>
        </w:rPr>
        <w:t xml:space="preserve"> </w:t>
      </w:r>
      <w:r w:rsidRPr="00FD274F">
        <w:t>or (02) 6271 6270).</w:t>
      </w:r>
    </w:p>
    <w:p w14:paraId="366CF858" w14:textId="48994089" w:rsidR="00A83991" w:rsidRPr="008C5E45" w:rsidRDefault="00A83991" w:rsidP="00A83991">
      <w:pPr>
        <w:pStyle w:val="BodyNum"/>
      </w:pPr>
      <w:r w:rsidRPr="00FD274F">
        <w:t xml:space="preserve">An instrument that is “fit for purpose” can be considered for a parliamentary rollover </w:t>
      </w:r>
      <w:r w:rsidRPr="008C5E45">
        <w:t xml:space="preserve">(see paragraphs </w:t>
      </w:r>
      <w:r w:rsidRPr="00C55DA3">
        <w:fldChar w:fldCharType="begin"/>
      </w:r>
      <w:r w:rsidRPr="008C5E45">
        <w:instrText xml:space="preserve"> REF _Ref367447300 \r \h </w:instrText>
      </w:r>
      <w:r>
        <w:rPr>
          <w:highlight w:val="yellow"/>
        </w:rPr>
        <w:instrText xml:space="preserve"> \* MERGEFORMAT </w:instrText>
      </w:r>
      <w:r w:rsidRPr="00C55DA3">
        <w:fldChar w:fldCharType="separate"/>
      </w:r>
      <w:r w:rsidR="00833171">
        <w:t>381</w:t>
      </w:r>
      <w:r w:rsidRPr="00C55DA3">
        <w:fldChar w:fldCharType="end"/>
      </w:r>
      <w:r w:rsidRPr="008C5E45">
        <w:t xml:space="preserve"> to </w:t>
      </w:r>
      <w:r w:rsidRPr="00C55DA3">
        <w:fldChar w:fldCharType="begin"/>
      </w:r>
      <w:r w:rsidRPr="008C5E45">
        <w:instrText xml:space="preserve"> REF _Ref29484918 \r \h </w:instrText>
      </w:r>
      <w:r>
        <w:rPr>
          <w:highlight w:val="yellow"/>
        </w:rPr>
        <w:instrText xml:space="preserve"> \* MERGEFORMAT </w:instrText>
      </w:r>
      <w:r w:rsidRPr="00C55DA3">
        <w:fldChar w:fldCharType="separate"/>
      </w:r>
      <w:r w:rsidR="00833171">
        <w:t>388</w:t>
      </w:r>
      <w:r w:rsidRPr="00C55DA3">
        <w:fldChar w:fldCharType="end"/>
      </w:r>
      <w:r w:rsidRPr="008C5E45">
        <w:t>).</w:t>
      </w:r>
      <w:r w:rsidRPr="00FD274F">
        <w:t xml:space="preserve"> Otherwise, the instrument should be remade (</w:t>
      </w:r>
      <w:r w:rsidRPr="008C5E45">
        <w:t xml:space="preserve">see paragraphs </w:t>
      </w:r>
      <w:r w:rsidRPr="00C55DA3">
        <w:fldChar w:fldCharType="begin"/>
      </w:r>
      <w:r w:rsidRPr="008C5E45">
        <w:instrText xml:space="preserve"> REF _Ref29484941 \r \h </w:instrText>
      </w:r>
      <w:r>
        <w:rPr>
          <w:highlight w:val="yellow"/>
        </w:rPr>
        <w:instrText xml:space="preserve"> \* MERGEFORMAT </w:instrText>
      </w:r>
      <w:r w:rsidRPr="00C55DA3">
        <w:fldChar w:fldCharType="separate"/>
      </w:r>
      <w:r w:rsidR="00833171">
        <w:t>389</w:t>
      </w:r>
      <w:r w:rsidRPr="00C55DA3">
        <w:fldChar w:fldCharType="end"/>
      </w:r>
      <w:r w:rsidRPr="008C5E45">
        <w:t xml:space="preserve"> to </w:t>
      </w:r>
      <w:r w:rsidRPr="00C55DA3">
        <w:fldChar w:fldCharType="begin"/>
      </w:r>
      <w:r w:rsidRPr="008C5E45">
        <w:instrText xml:space="preserve"> REF _Ref378080360 \r \h </w:instrText>
      </w:r>
      <w:r>
        <w:rPr>
          <w:highlight w:val="yellow"/>
        </w:rPr>
        <w:instrText xml:space="preserve"> \* MERGEFORMAT </w:instrText>
      </w:r>
      <w:r w:rsidRPr="00C55DA3">
        <w:fldChar w:fldCharType="separate"/>
      </w:r>
      <w:r w:rsidR="00833171">
        <w:t>402</w:t>
      </w:r>
      <w:r w:rsidRPr="00C55DA3">
        <w:fldChar w:fldCharType="end"/>
      </w:r>
      <w:r w:rsidRPr="008C5E45">
        <w:t>).</w:t>
      </w:r>
    </w:p>
    <w:p w14:paraId="0D80130D" w14:textId="77777777" w:rsidR="00A83991" w:rsidRPr="00FD274F" w:rsidRDefault="00A83991" w:rsidP="00A83991">
      <w:pPr>
        <w:pStyle w:val="Head3"/>
      </w:pPr>
      <w:bookmarkStart w:id="261" w:name="_Toc183694742"/>
      <w:r w:rsidRPr="00FD274F">
        <w:lastRenderedPageBreak/>
        <w:t>Scope to negotiate minor changes in sunset date</w:t>
      </w:r>
      <w:bookmarkEnd w:id="261"/>
    </w:p>
    <w:p w14:paraId="05678D5A" w14:textId="682A15B0" w:rsidR="00A83991" w:rsidRPr="00FD274F" w:rsidRDefault="00A83991" w:rsidP="00A83991">
      <w:pPr>
        <w:pStyle w:val="BodyNum"/>
      </w:pPr>
      <w:bookmarkStart w:id="262" w:name="_Ref384350103"/>
      <w:r w:rsidRPr="00FD274F">
        <w:t>Th</w:t>
      </w:r>
      <w:r w:rsidRPr="00C55DA3">
        <w:t xml:space="preserve">e </w:t>
      </w:r>
      <w:hyperlink r:id="rId631" w:history="1">
        <w:r w:rsidRPr="00C55DA3">
          <w:rPr>
            <w:rStyle w:val="Hyperlink"/>
          </w:rPr>
          <w:t>LA</w:t>
        </w:r>
      </w:hyperlink>
      <w:r w:rsidRPr="00C55DA3">
        <w:t xml:space="preserve"> re</w:t>
      </w:r>
      <w:r w:rsidRPr="00FD274F">
        <w:t>cognises that minor changes to default sunset dates may be appropriate in certain circumstances. It authorises the Attorney</w:t>
      </w:r>
      <w:r>
        <w:noBreakHyphen/>
      </w:r>
      <w:r w:rsidRPr="00FD274F">
        <w:t>General to:</w:t>
      </w:r>
      <w:bookmarkEnd w:id="262"/>
    </w:p>
    <w:p w14:paraId="70A66EF0" w14:textId="77777777" w:rsidR="00A83991" w:rsidRPr="00FD274F" w:rsidRDefault="00A83991" w:rsidP="00A83991">
      <w:pPr>
        <w:pStyle w:val="BodyPara"/>
      </w:pPr>
      <w:r w:rsidRPr="00FD274F">
        <w:t xml:space="preserve">align the sunset dates for related instruments to </w:t>
      </w:r>
      <w:r>
        <w:t>facilitate thematic review; and</w:t>
      </w:r>
    </w:p>
    <w:p w14:paraId="3BFAE4B3" w14:textId="77777777" w:rsidR="00A83991" w:rsidRPr="00FD274F" w:rsidRDefault="00A83991" w:rsidP="00A83991">
      <w:pPr>
        <w:pStyle w:val="BodyPara"/>
      </w:pPr>
      <w:r w:rsidRPr="00FD274F">
        <w:t xml:space="preserve">defer sunsetting by up to </w:t>
      </w:r>
      <w:r>
        <w:t>24</w:t>
      </w:r>
      <w:r w:rsidRPr="00FD274F">
        <w:t xml:space="preserve"> months if statutory conditions are met.</w:t>
      </w:r>
    </w:p>
    <w:p w14:paraId="23247614" w14:textId="77777777" w:rsidR="00A83991" w:rsidRPr="00FD274F" w:rsidRDefault="00A83991" w:rsidP="00A83991">
      <w:pPr>
        <w:pStyle w:val="Head4"/>
      </w:pPr>
      <w:bookmarkStart w:id="263" w:name="_Toc183694743"/>
      <w:r w:rsidRPr="00FD274F">
        <w:t>Declaration of thematic review under section 51A of the LA</w:t>
      </w:r>
      <w:bookmarkEnd w:id="263"/>
    </w:p>
    <w:p w14:paraId="48D2A8F1" w14:textId="77777777" w:rsidR="00A83991" w:rsidRPr="00FD274F" w:rsidRDefault="00A83991" w:rsidP="00A83991">
      <w:pPr>
        <w:pStyle w:val="BodyNum"/>
      </w:pPr>
      <w:r>
        <w:t>I</w:t>
      </w:r>
      <w:r w:rsidRPr="00FD274F">
        <w:t xml:space="preserve">t is possible to align the sunset dates for a group of instruments to facilitate a thematic review. This process may involve bringing forward some </w:t>
      </w:r>
      <w:proofErr w:type="gramStart"/>
      <w:r w:rsidRPr="00FD274F">
        <w:t>dates, and</w:t>
      </w:r>
      <w:proofErr w:type="gramEnd"/>
      <w:r w:rsidRPr="00FD274F">
        <w:t xml:space="preserve"> pushing others back by up to 5 years. It is not limited to instruments made under a single Act or administered by a single portfolio—instruments can be grouped on some other basis, such as a particular treaty or industry.</w:t>
      </w:r>
    </w:p>
    <w:p w14:paraId="54A810EC" w14:textId="58607330" w:rsidR="00A83991" w:rsidRPr="00FD274F" w:rsidRDefault="00A83991" w:rsidP="00A83991">
      <w:pPr>
        <w:pStyle w:val="BodyNum"/>
      </w:pPr>
      <w:r w:rsidRPr="00FD274F">
        <w:t>Safeguards have been enacted to ensure that this mechanism is used to support and not undermine the purpose of sunsetting. Among other thi</w:t>
      </w:r>
      <w:r w:rsidRPr="00C55DA3">
        <w:t xml:space="preserve">ngs, the </w:t>
      </w:r>
      <w:hyperlink r:id="rId632" w:history="1">
        <w:r w:rsidRPr="00C55DA3">
          <w:rPr>
            <w:rStyle w:val="Hyperlink"/>
          </w:rPr>
          <w:t>LA</w:t>
        </w:r>
      </w:hyperlink>
      <w:r w:rsidRPr="00C55DA3">
        <w:t xml:space="preserve"> requ</w:t>
      </w:r>
      <w:r w:rsidRPr="00FD274F">
        <w:t>ires:</w:t>
      </w:r>
    </w:p>
    <w:p w14:paraId="4E9E12BD" w14:textId="38C75245" w:rsidR="00A83991" w:rsidRPr="00DD1ADC" w:rsidRDefault="00A83991" w:rsidP="00A83991">
      <w:pPr>
        <w:pStyle w:val="BodyPara"/>
      </w:pPr>
      <w:r w:rsidRPr="00FD274F">
        <w:t>the responsible rule</w:t>
      </w:r>
      <w:r>
        <w:noBreakHyphen/>
      </w:r>
      <w:r w:rsidRPr="00FD274F">
        <w:t>maker to apply to the Attorney</w:t>
      </w:r>
      <w:r>
        <w:noBreakHyphen/>
      </w:r>
      <w:r w:rsidRPr="00FD274F">
        <w:t>General (</w:t>
      </w:r>
      <w:hyperlink r:id="rId633" w:history="1">
        <w:hyperlink r:id="rId634" w:history="1">
          <w:hyperlink r:id="rId635" w:history="1">
            <w:hyperlink r:id="rId636" w:history="1">
              <w:r w:rsidRPr="00DD1ADC">
                <w:rPr>
                  <w:rStyle w:val="Hyperlink"/>
                </w:rPr>
                <w:t>LA</w:t>
              </w:r>
            </w:hyperlink>
            <w:r w:rsidRPr="00DD1ADC">
              <w:rPr>
                <w:rStyle w:val="Hyperlink"/>
              </w:rPr>
              <w:t xml:space="preserve"> </w:t>
            </w:r>
          </w:hyperlink>
        </w:hyperlink>
      </w:hyperlink>
      <w:r w:rsidRPr="00DD1ADC">
        <w:t>s 51A(1)); and</w:t>
      </w:r>
    </w:p>
    <w:p w14:paraId="2141B0CF" w14:textId="7858DB48" w:rsidR="00A83991" w:rsidRDefault="00A83991" w:rsidP="00A83991">
      <w:pPr>
        <w:pStyle w:val="BodyPara"/>
      </w:pPr>
      <w:r w:rsidRPr="00FD274F">
        <w:t>the Attorney</w:t>
      </w:r>
      <w:r>
        <w:noBreakHyphen/>
      </w:r>
      <w:r w:rsidRPr="00FD274F">
        <w:t>General to be satisfied that all the instruments to be reviewed are or will be subject to a single revi</w:t>
      </w:r>
      <w:r w:rsidRPr="00DD1ADC">
        <w:t>ew (</w:t>
      </w:r>
      <w:hyperlink r:id="rId637" w:history="1">
        <w:hyperlink r:id="rId638" w:history="1">
          <w:hyperlink r:id="rId639" w:history="1">
            <w:hyperlink r:id="rId640" w:history="1">
              <w:r w:rsidRPr="00DD1ADC">
                <w:rPr>
                  <w:rStyle w:val="Hyperlink"/>
                </w:rPr>
                <w:t>LA</w:t>
              </w:r>
            </w:hyperlink>
            <w:r w:rsidRPr="00DD1ADC">
              <w:rPr>
                <w:rStyle w:val="Hyperlink"/>
              </w:rPr>
              <w:t xml:space="preserve"> </w:t>
            </w:r>
          </w:hyperlink>
        </w:hyperlink>
      </w:hyperlink>
      <w:r w:rsidRPr="00DD1ADC">
        <w:t>s 51A(1)(a)(ii)); a</w:t>
      </w:r>
      <w:r>
        <w:t>nd</w:t>
      </w:r>
    </w:p>
    <w:p w14:paraId="7028A7FF" w14:textId="50B44162" w:rsidR="00A83991" w:rsidRPr="00FD274F" w:rsidRDefault="00A83991" w:rsidP="00A83991">
      <w:pPr>
        <w:pStyle w:val="BodyPara"/>
      </w:pPr>
      <w:r w:rsidRPr="00FD274F">
        <w:t>the Attorney</w:t>
      </w:r>
      <w:r>
        <w:noBreakHyphen/>
      </w:r>
      <w:r w:rsidRPr="00FD274F">
        <w:t>General to be satisfied</w:t>
      </w:r>
      <w:r>
        <w:t xml:space="preserve"> that</w:t>
      </w:r>
      <w:r w:rsidRPr="00FD274F">
        <w:t xml:space="preserve"> </w:t>
      </w:r>
      <w:r w:rsidRPr="00297797">
        <w:t xml:space="preserve">the making of the declaration will facilitate the undertaking of the review </w:t>
      </w:r>
      <w:r>
        <w:t>or</w:t>
      </w:r>
      <w:r w:rsidRPr="00297797">
        <w:t xml:space="preserve"> the implementation of </w:t>
      </w:r>
      <w:r>
        <w:t>the</w:t>
      </w:r>
      <w:r w:rsidRPr="00297797">
        <w:t xml:space="preserve"> findings </w:t>
      </w:r>
      <w:r>
        <w:t>of a completed revi</w:t>
      </w:r>
      <w:r w:rsidRPr="00DD1ADC">
        <w:t>ew (</w:t>
      </w:r>
      <w:hyperlink r:id="rId641" w:history="1">
        <w:hyperlink r:id="rId642" w:history="1">
          <w:hyperlink r:id="rId643" w:history="1">
            <w:hyperlink r:id="rId644" w:history="1">
              <w:r w:rsidRPr="00DD1ADC">
                <w:rPr>
                  <w:rStyle w:val="Hyperlink"/>
                </w:rPr>
                <w:t>LA</w:t>
              </w:r>
            </w:hyperlink>
            <w:r w:rsidRPr="00DD1ADC">
              <w:rPr>
                <w:rStyle w:val="Hyperlink"/>
              </w:rPr>
              <w:t xml:space="preserve"> </w:t>
            </w:r>
          </w:hyperlink>
        </w:hyperlink>
      </w:hyperlink>
      <w:r w:rsidRPr="00DD1ADC">
        <w:t>s 51A(1)(b)); a</w:t>
      </w:r>
      <w:r>
        <w:t>nd</w:t>
      </w:r>
    </w:p>
    <w:p w14:paraId="62C1E7AE" w14:textId="4F5FC348" w:rsidR="00A83991" w:rsidRDefault="00A83991" w:rsidP="00A83991">
      <w:pPr>
        <w:pStyle w:val="BodyPara"/>
      </w:pPr>
      <w:r w:rsidRPr="00FD274F">
        <w:t>the Attorney</w:t>
      </w:r>
      <w:r>
        <w:noBreakHyphen/>
      </w:r>
      <w:r w:rsidRPr="00FD274F">
        <w:t>General to make a declaration—this declaration is a legislative instrument that must be registere</w:t>
      </w:r>
      <w:r w:rsidRPr="00DD1ADC">
        <w:t>d (</w:t>
      </w:r>
      <w:hyperlink r:id="rId645" w:history="1">
        <w:hyperlink r:id="rId646" w:history="1">
          <w:hyperlink r:id="rId647" w:history="1">
            <w:r w:rsidRPr="00DD1ADC">
              <w:rPr>
                <w:rStyle w:val="Hyperlink"/>
              </w:rPr>
              <w:t>LA</w:t>
            </w:r>
          </w:hyperlink>
          <w:r w:rsidRPr="00DD1ADC">
            <w:rPr>
              <w:rStyle w:val="Hyperlink"/>
            </w:rPr>
            <w:t xml:space="preserve"> </w:t>
          </w:r>
        </w:hyperlink>
      </w:hyperlink>
      <w:r w:rsidRPr="00DD1ADC">
        <w:t>s 51A(1)) an</w:t>
      </w:r>
      <w:r>
        <w:t>d is subject to disallowance.</w:t>
      </w:r>
    </w:p>
    <w:p w14:paraId="43E1FCC4" w14:textId="77777777" w:rsidR="00A83991" w:rsidRPr="00FD274F" w:rsidRDefault="00A83991" w:rsidP="00A83991">
      <w:pPr>
        <w:pStyle w:val="BodyNum"/>
        <w:keepLines/>
      </w:pPr>
      <w:r w:rsidRPr="00FD274F">
        <w:t xml:space="preserve">A declaration of thematic review cannot revive an instrument that has already </w:t>
      </w:r>
      <w:proofErr w:type="spellStart"/>
      <w:r w:rsidRPr="00FD274F">
        <w:t>sunsetted</w:t>
      </w:r>
      <w:proofErr w:type="spellEnd"/>
      <w:r w:rsidRPr="00FD274F">
        <w:t>. Also, if a declaration is disallowed, any instrument named in the declaration that has passed its previous sunset date is repe</w:t>
      </w:r>
      <w:r>
        <w:t>aled</w:t>
      </w:r>
      <w:r w:rsidRPr="00FD274F">
        <w:t>. Consequently, any application for a declaration should be made well in advance of the earliest sunset date.</w:t>
      </w:r>
    </w:p>
    <w:p w14:paraId="4FAABD06" w14:textId="1096473C" w:rsidR="00A83991" w:rsidRPr="00FD274F" w:rsidRDefault="00A83991" w:rsidP="00A83991">
      <w:pPr>
        <w:pStyle w:val="BodyNum"/>
      </w:pPr>
      <w:r w:rsidRPr="00FD274F">
        <w:t>For practical guidance on and assistance wi</w:t>
      </w:r>
      <w:r w:rsidRPr="00DD1ADC">
        <w:t>th section 51A applica</w:t>
      </w:r>
      <w:r w:rsidRPr="00FD274F">
        <w:t>tions, see the AGD Guide to Managing Sunsetting of Legislative Instruments</w:t>
      </w:r>
      <w:r w:rsidRPr="00FD274F">
        <w:rPr>
          <w:rStyle w:val="FootnoteReference"/>
        </w:rPr>
        <w:footnoteReference w:id="46"/>
      </w:r>
      <w:r w:rsidRPr="00FD274F">
        <w:rPr>
          <w:i/>
        </w:rPr>
        <w:t xml:space="preserve"> </w:t>
      </w:r>
      <w:r w:rsidRPr="00FD274F">
        <w:t xml:space="preserve">or contact AGD </w:t>
      </w:r>
      <w:r w:rsidR="00013F97" w:rsidRPr="00FD274F">
        <w:t>(</w:t>
      </w:r>
      <w:r w:rsidR="00013F97">
        <w:t xml:space="preserve">email </w:t>
      </w:r>
      <w:hyperlink r:id="rId648" w:history="1">
        <w:r w:rsidR="00013F97" w:rsidRPr="00FD274F">
          <w:rPr>
            <w:rStyle w:val="Hyperlink"/>
          </w:rPr>
          <w:t>sunsetting@ag.gov.au</w:t>
        </w:r>
      </w:hyperlink>
      <w:r w:rsidR="00013F97" w:rsidRPr="00FD274F">
        <w:t xml:space="preserve"> or </w:t>
      </w:r>
      <w:r w:rsidR="00013F97">
        <w:t xml:space="preserve">call the AGD Switchboard on </w:t>
      </w:r>
      <w:r w:rsidR="00013F97" w:rsidRPr="00E277CA">
        <w:t>(02) 6141 6666</w:t>
      </w:r>
      <w:r w:rsidR="00013F97">
        <w:t xml:space="preserve"> and ask to be redirected to the Administrative Law Section</w:t>
      </w:r>
      <w:r w:rsidR="00013F97" w:rsidRPr="00F409B4">
        <w:t>)</w:t>
      </w:r>
      <w:r w:rsidRPr="00FD274F">
        <w:t>.</w:t>
      </w:r>
    </w:p>
    <w:p w14:paraId="64227681" w14:textId="77777777" w:rsidR="00A83991" w:rsidRPr="00FD274F" w:rsidRDefault="00A83991" w:rsidP="00A83991">
      <w:pPr>
        <w:pStyle w:val="Head4"/>
      </w:pPr>
      <w:bookmarkStart w:id="264" w:name="_Toc183694744"/>
      <w:r w:rsidRPr="00FD274F">
        <w:lastRenderedPageBreak/>
        <w:t>Attorney</w:t>
      </w:r>
      <w:r>
        <w:noBreakHyphen/>
      </w:r>
      <w:r w:rsidRPr="00FD274F">
        <w:t>General’s certificate under section 51 of the LA</w:t>
      </w:r>
      <w:bookmarkEnd w:id="264"/>
    </w:p>
    <w:p w14:paraId="19291F36" w14:textId="0A1B41B6" w:rsidR="00A83991" w:rsidRPr="00DA4D19" w:rsidRDefault="00A83991" w:rsidP="00A83991">
      <w:pPr>
        <w:pStyle w:val="BodyNum"/>
        <w:keepNext/>
      </w:pPr>
      <w:bookmarkStart w:id="265" w:name="_Ref367446626"/>
      <w:r w:rsidRPr="00DA4D19">
        <w:t>If the Attorney</w:t>
      </w:r>
      <w:r>
        <w:noBreakHyphen/>
      </w:r>
      <w:r w:rsidRPr="00DA4D19">
        <w:t>General is satisfied that the statutory conditi</w:t>
      </w:r>
      <w:r w:rsidRPr="00DD1ADC">
        <w:t xml:space="preserve">ons in section 51 of the </w:t>
      </w:r>
      <w:hyperlink r:id="rId649" w:history="1">
        <w:hyperlink r:id="rId650" w:history="1">
          <w:hyperlink r:id="rId651" w:history="1">
            <w:r w:rsidRPr="00DD1ADC">
              <w:rPr>
                <w:rStyle w:val="Hyperlink"/>
              </w:rPr>
              <w:t>LA</w:t>
            </w:r>
          </w:hyperlink>
          <w:r w:rsidRPr="00DD1ADC">
            <w:rPr>
              <w:rStyle w:val="Hyperlink"/>
            </w:rPr>
            <w:t xml:space="preserve"> </w:t>
          </w:r>
        </w:hyperlink>
      </w:hyperlink>
      <w:r w:rsidRPr="00DD1ADC">
        <w:t>are met,</w:t>
      </w:r>
      <w:r w:rsidRPr="00DA4D19">
        <w:t xml:space="preserve"> an instrument’s sunset date can be deferred for either 6, 12, 18 or 24 months by means of a certificate made under that section. In terms of process</w:t>
      </w:r>
      <w:r w:rsidRPr="00DD1ADC">
        <w:t xml:space="preserve">, the </w:t>
      </w:r>
      <w:hyperlink r:id="rId652" w:history="1">
        <w:r w:rsidRPr="00DD1ADC">
          <w:rPr>
            <w:rStyle w:val="Hyperlink"/>
          </w:rPr>
          <w:t>LA</w:t>
        </w:r>
      </w:hyperlink>
      <w:r w:rsidRPr="00DD1ADC">
        <w:t xml:space="preserve"> r</w:t>
      </w:r>
      <w:r w:rsidRPr="00DA4D19">
        <w:t>equires:</w:t>
      </w:r>
      <w:bookmarkEnd w:id="265"/>
    </w:p>
    <w:p w14:paraId="599F271E" w14:textId="77777777" w:rsidR="00A83991" w:rsidRPr="00DA4D19" w:rsidRDefault="00A83991" w:rsidP="00A83991">
      <w:pPr>
        <w:pStyle w:val="BodyPara"/>
      </w:pPr>
      <w:r w:rsidRPr="00DA4D19">
        <w:t>the responsible rule</w:t>
      </w:r>
      <w:r>
        <w:noBreakHyphen/>
      </w:r>
      <w:r w:rsidRPr="00DA4D19">
        <w:t>maker to apply to the Attorney</w:t>
      </w:r>
      <w:r>
        <w:noBreakHyphen/>
      </w:r>
      <w:r w:rsidRPr="00DA4D19">
        <w:t>General in writing; and</w:t>
      </w:r>
    </w:p>
    <w:p w14:paraId="49AC9532" w14:textId="77777777" w:rsidR="00A83991" w:rsidRPr="00DA4D19" w:rsidRDefault="00A83991" w:rsidP="00A83991">
      <w:pPr>
        <w:pStyle w:val="BodyPara"/>
      </w:pPr>
      <w:r w:rsidRPr="00DA4D19">
        <w:t>the Attorney</w:t>
      </w:r>
      <w:r>
        <w:noBreakHyphen/>
      </w:r>
      <w:r w:rsidRPr="00DA4D19">
        <w:t>General to be satisfied that the instrument meet</w:t>
      </w:r>
      <w:r>
        <w:t>s the statutory conditions; and</w:t>
      </w:r>
    </w:p>
    <w:p w14:paraId="7CE47D32" w14:textId="56A354A5" w:rsidR="00A83991" w:rsidRDefault="00A83991" w:rsidP="00A83991">
      <w:pPr>
        <w:pStyle w:val="BodyPara"/>
      </w:pPr>
      <w:r w:rsidRPr="00D65BA8">
        <w:t>the Attorney</w:t>
      </w:r>
      <w:r>
        <w:noBreakHyphen/>
      </w:r>
      <w:r w:rsidRPr="00D65BA8">
        <w:t>General to make a certificate that must be regi</w:t>
      </w:r>
      <w:r w:rsidRPr="00DD1ADC">
        <w:t>stered (</w:t>
      </w:r>
      <w:hyperlink r:id="rId653" w:history="1">
        <w:hyperlink r:id="rId654" w:history="1">
          <w:hyperlink r:id="rId655" w:history="1">
            <w:r w:rsidRPr="00DD1ADC">
              <w:rPr>
                <w:rStyle w:val="Hyperlink"/>
              </w:rPr>
              <w:t>LA</w:t>
            </w:r>
          </w:hyperlink>
          <w:r w:rsidRPr="00DD1ADC">
            <w:rPr>
              <w:rStyle w:val="Hyperlink"/>
            </w:rPr>
            <w:t xml:space="preserve"> </w:t>
          </w:r>
        </w:hyperlink>
      </w:hyperlink>
      <w:r w:rsidRPr="00DD1ADC">
        <w:t>s 51(</w:t>
      </w:r>
      <w:r w:rsidRPr="00D65BA8">
        <w:t xml:space="preserve">3))—a certificate </w:t>
      </w:r>
      <w:r>
        <w:t xml:space="preserve">of deferral for </w:t>
      </w:r>
      <w:r w:rsidRPr="00D65BA8">
        <w:t>6 or 12 month</w:t>
      </w:r>
      <w:r>
        <w:t>s</w:t>
      </w:r>
      <w:r w:rsidRPr="00D65BA8">
        <w:t xml:space="preserve"> is exempt from disallowance </w:t>
      </w:r>
      <w:r w:rsidRPr="00DD1ADC">
        <w:t>(</w:t>
      </w:r>
      <w:hyperlink r:id="rId656" w:history="1">
        <w:hyperlink r:id="rId657" w:history="1">
          <w:hyperlink r:id="rId658" w:history="1">
            <w:r w:rsidRPr="00DD1ADC">
              <w:rPr>
                <w:rStyle w:val="Hyperlink"/>
              </w:rPr>
              <w:t>LA</w:t>
            </w:r>
          </w:hyperlink>
          <w:r w:rsidRPr="00DD1ADC">
            <w:rPr>
              <w:rStyle w:val="Hyperlink"/>
            </w:rPr>
            <w:t xml:space="preserve"> </w:t>
          </w:r>
        </w:hyperlink>
      </w:hyperlink>
      <w:r w:rsidRPr="00DD1ADC">
        <w:t>s 51(4)); an</w:t>
      </w:r>
      <w:r>
        <w:t>d</w:t>
      </w:r>
    </w:p>
    <w:p w14:paraId="64A3E5CA" w14:textId="77777777" w:rsidR="00A83991" w:rsidRPr="00D65BA8" w:rsidRDefault="00A83991" w:rsidP="00A83991">
      <w:pPr>
        <w:pStyle w:val="BodyPara"/>
      </w:pPr>
      <w:r>
        <w:t>t</w:t>
      </w:r>
      <w:r w:rsidRPr="00202588">
        <w:t xml:space="preserve">he explanatory statement for </w:t>
      </w:r>
      <w:r>
        <w:t>the</w:t>
      </w:r>
      <w:r w:rsidRPr="00202588">
        <w:t xml:space="preserve"> certificate</w:t>
      </w:r>
      <w:r>
        <w:t xml:space="preserve"> </w:t>
      </w:r>
      <w:r w:rsidRPr="00202588">
        <w:t>must include a statement of reasons for the issue of the certificate.</w:t>
      </w:r>
    </w:p>
    <w:p w14:paraId="7EB375AF" w14:textId="77777777" w:rsidR="00A83991" w:rsidRPr="00FD274F" w:rsidRDefault="00A83991" w:rsidP="00A83991">
      <w:pPr>
        <w:pStyle w:val="BodyNum"/>
      </w:pPr>
      <w:r w:rsidRPr="00FB5D3D">
        <w:t xml:space="preserve">A certificate cannot revive an instrument that has already </w:t>
      </w:r>
      <w:proofErr w:type="spellStart"/>
      <w:r w:rsidRPr="00FB5D3D">
        <w:t>sunsetted</w:t>
      </w:r>
      <w:proofErr w:type="spellEnd"/>
      <w:r w:rsidRPr="00FB5D3D">
        <w:t>, so it must be</w:t>
      </w:r>
      <w:r w:rsidRPr="00FD274F">
        <w:t xml:space="preserve"> prepared, signed, and registered before the releva</w:t>
      </w:r>
      <w:r>
        <w:t>nt sunset date to be effective.</w:t>
      </w:r>
    </w:p>
    <w:p w14:paraId="45B6ABB7" w14:textId="1C0356F7" w:rsidR="00A83991" w:rsidRPr="00FD274F" w:rsidRDefault="00A83991" w:rsidP="00A83991">
      <w:pPr>
        <w:pStyle w:val="BodyNum"/>
      </w:pPr>
      <w:r w:rsidRPr="00FD274F">
        <w:t xml:space="preserve">For practical guidance on and assistance with applications for </w:t>
      </w:r>
      <w:r w:rsidRPr="00DD1ADC">
        <w:t>section 51 certific</w:t>
      </w:r>
      <w:r w:rsidRPr="00FD274F">
        <w:t>ates, see the AGD Guide to Managing Sunsetting Instruments</w:t>
      </w:r>
      <w:r w:rsidRPr="00FD274F">
        <w:rPr>
          <w:rStyle w:val="FootnoteReference"/>
        </w:rPr>
        <w:footnoteReference w:id="47"/>
      </w:r>
      <w:r w:rsidRPr="00FD274F">
        <w:t xml:space="preserve"> or contact AGD </w:t>
      </w:r>
      <w:r w:rsidR="00013F97" w:rsidRPr="00FD274F">
        <w:t>(</w:t>
      </w:r>
      <w:r w:rsidR="00013F97">
        <w:t xml:space="preserve">email </w:t>
      </w:r>
      <w:hyperlink r:id="rId659" w:history="1">
        <w:r w:rsidR="00013F97" w:rsidRPr="00FD274F">
          <w:rPr>
            <w:rStyle w:val="Hyperlink"/>
          </w:rPr>
          <w:t>sunsetting@ag.gov.au</w:t>
        </w:r>
      </w:hyperlink>
      <w:r w:rsidR="00013F97" w:rsidRPr="00FD274F">
        <w:t xml:space="preserve"> or </w:t>
      </w:r>
      <w:r w:rsidR="00013F97">
        <w:t xml:space="preserve">call the AGD Switchboard on </w:t>
      </w:r>
      <w:r w:rsidR="00013F97" w:rsidRPr="00E277CA">
        <w:t>(02) 6141 6666</w:t>
      </w:r>
      <w:r w:rsidR="00013F97">
        <w:t xml:space="preserve"> and ask to be redirected to the Administrative Law Section</w:t>
      </w:r>
      <w:r w:rsidR="00013F97" w:rsidRPr="00F409B4">
        <w:t>)</w:t>
      </w:r>
      <w:r>
        <w:t>.</w:t>
      </w:r>
    </w:p>
    <w:p w14:paraId="0BE6701D" w14:textId="77777777" w:rsidR="00A83991" w:rsidRPr="00FD274F" w:rsidRDefault="00A83991" w:rsidP="00A83991">
      <w:pPr>
        <w:pStyle w:val="Head3"/>
      </w:pPr>
      <w:bookmarkStart w:id="266" w:name="_Toc183694745"/>
      <w:r w:rsidRPr="00FD274F">
        <w:t xml:space="preserve">Parliamentary </w:t>
      </w:r>
      <w:r>
        <w:t>“</w:t>
      </w:r>
      <w:r w:rsidRPr="00FD274F">
        <w:t>rollovers</w:t>
      </w:r>
      <w:r>
        <w:t>”</w:t>
      </w:r>
      <w:bookmarkEnd w:id="266"/>
    </w:p>
    <w:p w14:paraId="2267B9D7" w14:textId="72A165E3" w:rsidR="00A83991" w:rsidRPr="00DD1ADC" w:rsidRDefault="00A83991" w:rsidP="00A83991">
      <w:pPr>
        <w:pStyle w:val="BodyNum"/>
      </w:pPr>
      <w:bookmarkStart w:id="267" w:name="_Ref367447300"/>
      <w:r w:rsidRPr="00FB5D3D">
        <w:t>If an instrument is mentione</w:t>
      </w:r>
      <w:r w:rsidRPr="00DD1ADC">
        <w:t>d in a section 51 deferral certif</w:t>
      </w:r>
      <w:r w:rsidRPr="00FB5D3D">
        <w:t>icate laid before a House of the Parliament in accordance with se</w:t>
      </w:r>
      <w:r w:rsidRPr="00DD1ADC">
        <w:t xml:space="preserve">ction 38 of the </w:t>
      </w:r>
      <w:hyperlink r:id="rId660" w:history="1">
        <w:r w:rsidRPr="00DD1ADC">
          <w:rPr>
            <w:rStyle w:val="Hyperlink"/>
          </w:rPr>
          <w:t>LA</w:t>
        </w:r>
      </w:hyperlink>
      <w:r w:rsidRPr="00DD1ADC">
        <w:rPr>
          <w:rStyle w:val="Hyperlink"/>
        </w:rPr>
        <w:t xml:space="preserve"> </w:t>
      </w:r>
      <w:r w:rsidRPr="00DD1ADC">
        <w:t>or i</w:t>
      </w:r>
      <w:r w:rsidRPr="00FB5D3D">
        <w:t xml:space="preserve">n a </w:t>
      </w:r>
      <w:r>
        <w:t xml:space="preserve">sunsetting </w:t>
      </w:r>
      <w:r w:rsidRPr="00FB5D3D">
        <w:t xml:space="preserve">list laid before a House of the Parliament under </w:t>
      </w:r>
      <w:r w:rsidRPr="00DD1ADC">
        <w:t>section 52,</w:t>
      </w:r>
      <w:r w:rsidRPr="00DD1ADC">
        <w:rPr>
          <w:rStyle w:val="Hyperlink"/>
        </w:rPr>
        <w:t xml:space="preserve"> </w:t>
      </w:r>
      <w:r w:rsidRPr="00DD1ADC">
        <w:t>eit</w:t>
      </w:r>
      <w:r w:rsidRPr="00FB5D3D">
        <w:t xml:space="preserve">her House of the Parliament may pass a resolution at any time before </w:t>
      </w:r>
      <w:r>
        <w:t>the repeal</w:t>
      </w:r>
      <w:r w:rsidRPr="00FB5D3D">
        <w:t xml:space="preserve"> day</w:t>
      </w:r>
      <w:r>
        <w:t xml:space="preserve"> that the instrument should continue in for</w:t>
      </w:r>
      <w:r w:rsidRPr="00DD1ADC">
        <w:t>ce (</w:t>
      </w:r>
      <w:hyperlink r:id="rId661" w:history="1">
        <w:hyperlink r:id="rId662" w:history="1">
          <w:hyperlink r:id="rId663" w:history="1">
            <w:r w:rsidRPr="00DD1ADC">
              <w:rPr>
                <w:rStyle w:val="Hyperlink"/>
              </w:rPr>
              <w:t>LA</w:t>
            </w:r>
          </w:hyperlink>
          <w:r w:rsidRPr="00DD1ADC">
            <w:rPr>
              <w:rStyle w:val="Hyperlink"/>
            </w:rPr>
            <w:t xml:space="preserve"> </w:t>
          </w:r>
        </w:hyperlink>
      </w:hyperlink>
      <w:r w:rsidRPr="00DD1ADC">
        <w:t>s 53(1)).</w:t>
      </w:r>
      <w:bookmarkEnd w:id="267"/>
    </w:p>
    <w:p w14:paraId="00513484" w14:textId="77777777" w:rsidR="00A83991" w:rsidRPr="00FD274F" w:rsidRDefault="00A83991" w:rsidP="00A83991">
      <w:pPr>
        <w:pStyle w:val="BodyNum"/>
      </w:pPr>
      <w:r w:rsidRPr="00FD274F">
        <w:t xml:space="preserve">If </w:t>
      </w:r>
      <w:r>
        <w:t xml:space="preserve">a </w:t>
      </w:r>
      <w:r w:rsidRPr="00FD274F">
        <w:t>resolution is passed, the instrument’s sunset date is deferred for 10 years. There is no requirement to remake, register or table an instrument that has been rolled over and, having already been the subject of parliamentary scrutiny, the instrument is not subject to further scrutiny in the form of disallowance.</w:t>
      </w:r>
    </w:p>
    <w:p w14:paraId="46586366" w14:textId="7C5B6C78" w:rsidR="00A83991" w:rsidRPr="00FD274F" w:rsidRDefault="00A83991" w:rsidP="00A83991">
      <w:pPr>
        <w:pStyle w:val="BodyNum"/>
        <w:keepLines/>
      </w:pPr>
      <w:r w:rsidRPr="00FD274F">
        <w:t xml:space="preserve">If the vote </w:t>
      </w:r>
      <w:r>
        <w:t xml:space="preserve">on the proposed </w:t>
      </w:r>
      <w:r w:rsidR="006644F3">
        <w:t>rollover</w:t>
      </w:r>
      <w:r>
        <w:t xml:space="preserve"> </w:t>
      </w:r>
      <w:r w:rsidRPr="00FD274F">
        <w:t xml:space="preserve">is in the negative, or if no vote is taken </w:t>
      </w:r>
      <w:r>
        <w:t>prior to the instrument’s scheduled sunsetting date</w:t>
      </w:r>
      <w:r w:rsidRPr="00FD274F">
        <w:t>, nothing changes and urgent action is required to prepare, make and register a replacement instrument before the existing instrument sunsets. As part of that process, changes to the substance of the instrument may be desirable or important (particularly if the replacement will be subject to disallowance).</w:t>
      </w:r>
    </w:p>
    <w:p w14:paraId="47EA29C8" w14:textId="77777777" w:rsidR="00A83991" w:rsidRPr="00FD274F" w:rsidRDefault="00A83991" w:rsidP="00A83991">
      <w:pPr>
        <w:pStyle w:val="Head4"/>
      </w:pPr>
      <w:bookmarkStart w:id="268" w:name="_Toc183694746"/>
      <w:r w:rsidRPr="00FD274F">
        <w:lastRenderedPageBreak/>
        <w:t>If notice of private rollover motion is given</w:t>
      </w:r>
      <w:bookmarkEnd w:id="268"/>
    </w:p>
    <w:p w14:paraId="7D51AAD4" w14:textId="77777777" w:rsidR="00A83991" w:rsidRPr="00FD274F" w:rsidRDefault="00A83991" w:rsidP="00A83991">
      <w:pPr>
        <w:pStyle w:val="BodyNum"/>
      </w:pPr>
      <w:r w:rsidRPr="00FD274F">
        <w:t>OPC monitors parliamentary proceedings and will notify agencies as soon as practicable if an instrument is subject to a motion for a rollover by a Private Member.</w:t>
      </w:r>
    </w:p>
    <w:p w14:paraId="41138AAA" w14:textId="77777777" w:rsidR="00A83991" w:rsidRPr="00FD274F" w:rsidRDefault="00A83991" w:rsidP="00A83991">
      <w:pPr>
        <w:pStyle w:val="Head4"/>
      </w:pPr>
      <w:bookmarkStart w:id="269" w:name="_Toc183694747"/>
      <w:r w:rsidRPr="00FD274F">
        <w:t>When government rollover motion may be appropriate</w:t>
      </w:r>
      <w:bookmarkEnd w:id="269"/>
    </w:p>
    <w:p w14:paraId="25BB7B25" w14:textId="0644E588" w:rsidR="00A83991" w:rsidRPr="00FD274F" w:rsidRDefault="00A83991" w:rsidP="00A83991">
      <w:pPr>
        <w:pStyle w:val="BodyNum"/>
        <w:keepLines/>
      </w:pPr>
      <w:r w:rsidRPr="00FD274F">
        <w:t xml:space="preserve">Only Senators and Members </w:t>
      </w:r>
      <w:r>
        <w:t xml:space="preserve">of Parliament </w:t>
      </w:r>
      <w:r w:rsidRPr="00FD274F">
        <w:t>can move for a rollover un</w:t>
      </w:r>
      <w:r w:rsidRPr="00DD1ADC">
        <w:t xml:space="preserve">der section 53 of the </w:t>
      </w:r>
      <w:hyperlink r:id="rId664" w:history="1">
        <w:hyperlink r:id="rId665" w:history="1">
          <w:hyperlink r:id="rId666" w:history="1">
            <w:r w:rsidRPr="00DD1ADC">
              <w:rPr>
                <w:rStyle w:val="Hyperlink"/>
              </w:rPr>
              <w:t>LA</w:t>
            </w:r>
          </w:hyperlink>
        </w:hyperlink>
      </w:hyperlink>
      <w:r w:rsidRPr="00DD1ADC">
        <w:t>. Conseq</w:t>
      </w:r>
      <w:r w:rsidRPr="00FD274F">
        <w:t>uently, unless the rule</w:t>
      </w:r>
      <w:r>
        <w:noBreakHyphen/>
      </w:r>
      <w:r w:rsidRPr="00FD274F">
        <w:t>maker is a Minister, it will be necessary for the rule</w:t>
      </w:r>
      <w:r>
        <w:noBreakHyphen/>
      </w:r>
      <w:r w:rsidRPr="00FD274F">
        <w:t xml:space="preserve">maker </w:t>
      </w:r>
      <w:r>
        <w:t xml:space="preserve">(for example, the Secretary of a Department or statutory body) </w:t>
      </w:r>
      <w:r w:rsidRPr="00FD274F">
        <w:t>to make the case for a rollover to the responsible Minister. This should be done well in advance of the deadline for rollover motions, because:</w:t>
      </w:r>
    </w:p>
    <w:p w14:paraId="246FF6B0" w14:textId="5129393A" w:rsidR="00A83991" w:rsidRPr="00FD274F" w:rsidRDefault="00A83991" w:rsidP="00A83991">
      <w:pPr>
        <w:pStyle w:val="BodyPara"/>
      </w:pPr>
      <w:r w:rsidRPr="00FD274F">
        <w:t>consultation with government and other stakeholders may be necessary or desirable (s</w:t>
      </w:r>
      <w:r w:rsidRPr="00FA2355">
        <w:t xml:space="preserve">ee paragraph </w:t>
      </w:r>
      <w:r w:rsidRPr="00DD1ADC">
        <w:fldChar w:fldCharType="begin"/>
      </w:r>
      <w:r w:rsidRPr="00FA2355">
        <w:instrText xml:space="preserve"> REF _Ref453330210 \r \h </w:instrText>
      </w:r>
      <w:r>
        <w:rPr>
          <w:highlight w:val="yellow"/>
        </w:rPr>
        <w:instrText xml:space="preserve"> \* MERGEFORMAT </w:instrText>
      </w:r>
      <w:r w:rsidRPr="00DD1ADC">
        <w:fldChar w:fldCharType="separate"/>
      </w:r>
      <w:r w:rsidR="00833171">
        <w:t>386</w:t>
      </w:r>
      <w:r w:rsidRPr="00DD1ADC">
        <w:fldChar w:fldCharType="end"/>
      </w:r>
      <w:r w:rsidRPr="00FA2355">
        <w:t>); a</w:t>
      </w:r>
      <w:r w:rsidRPr="00FD274F">
        <w:t>nd</w:t>
      </w:r>
    </w:p>
    <w:p w14:paraId="765772E9" w14:textId="77777777" w:rsidR="00A83991" w:rsidRPr="00FD274F" w:rsidRDefault="00A83991" w:rsidP="00A83991">
      <w:pPr>
        <w:pStyle w:val="BodyPara"/>
      </w:pPr>
      <w:r w:rsidRPr="00FD274F">
        <w:t>both the parliamentary sitting schedule and order of business can be subject to change without notice.</w:t>
      </w:r>
    </w:p>
    <w:p w14:paraId="13E03E99" w14:textId="77777777" w:rsidR="00A83991" w:rsidRPr="00FD274F" w:rsidRDefault="00A83991" w:rsidP="00A83991">
      <w:pPr>
        <w:pStyle w:val="BodyNum"/>
      </w:pPr>
      <w:bookmarkStart w:id="270" w:name="_Ref453330210"/>
      <w:bookmarkStart w:id="271" w:name="_Ref378080485"/>
      <w:r w:rsidRPr="00FD274F">
        <w:t>Agencies considering a rollover motion should consult AGD before proceeding to ensure that current policy and process requirements have been met. Agencies should also recognise that a rollover may not reduce overall workload compared with re</w:t>
      </w:r>
      <w:r>
        <w:t>placing</w:t>
      </w:r>
      <w:r w:rsidRPr="00FD274F">
        <w:t xml:space="preserve"> an instrument. There could be significant workload and other consequences if, for example:</w:t>
      </w:r>
      <w:bookmarkEnd w:id="270"/>
    </w:p>
    <w:p w14:paraId="1CCE2111" w14:textId="77777777" w:rsidR="00A83991" w:rsidRPr="00FD274F" w:rsidRDefault="00A83991" w:rsidP="00A83991">
      <w:pPr>
        <w:pStyle w:val="BodyPara"/>
      </w:pPr>
      <w:r w:rsidRPr="00FD274F">
        <w:t>a motion is controversia</w:t>
      </w:r>
      <w:r>
        <w:t>l and referred to committee; or</w:t>
      </w:r>
    </w:p>
    <w:p w14:paraId="2AD74678" w14:textId="77777777" w:rsidR="00A83991" w:rsidRPr="00FD274F" w:rsidRDefault="00A83991" w:rsidP="00A83991">
      <w:pPr>
        <w:pStyle w:val="BodyPara"/>
      </w:pPr>
      <w:r w:rsidRPr="00FD274F">
        <w:t>public uncertainty about the instrument generates campaign correspondence; or</w:t>
      </w:r>
    </w:p>
    <w:p w14:paraId="1FB73367" w14:textId="77777777" w:rsidR="00A83991" w:rsidRPr="00FD274F" w:rsidRDefault="00A83991" w:rsidP="00A83991">
      <w:pPr>
        <w:pStyle w:val="BodyPara"/>
      </w:pPr>
      <w:r w:rsidRPr="00FD274F">
        <w:t xml:space="preserve">a motion is </w:t>
      </w:r>
      <w:proofErr w:type="gramStart"/>
      <w:r w:rsidRPr="00FD274F">
        <w:t>unsuccessful</w:t>
      </w:r>
      <w:proofErr w:type="gramEnd"/>
      <w:r w:rsidRPr="00FD274F">
        <w:t xml:space="preserve"> and the instrument has to be </w:t>
      </w:r>
      <w:r>
        <w:t>replaced within short timeframes.</w:t>
      </w:r>
    </w:p>
    <w:p w14:paraId="523BA6AC" w14:textId="7F9B1F32" w:rsidR="00A83991" w:rsidRPr="00FD274F" w:rsidRDefault="00A83991" w:rsidP="00A83991">
      <w:pPr>
        <w:pStyle w:val="BodyNum"/>
      </w:pPr>
      <w:r w:rsidRPr="00FD274F">
        <w:t>For further guidance on this matter, see the AGD Guide to Managing Sunsetting Instruments</w:t>
      </w:r>
      <w:r w:rsidRPr="00FD274F">
        <w:rPr>
          <w:rStyle w:val="FootnoteReference"/>
        </w:rPr>
        <w:footnoteReference w:id="48"/>
      </w:r>
      <w:r w:rsidRPr="00FD274F">
        <w:t xml:space="preserve"> or contact AGD </w:t>
      </w:r>
      <w:r w:rsidR="00013F97" w:rsidRPr="00FD274F">
        <w:t>(</w:t>
      </w:r>
      <w:r w:rsidR="00013F97">
        <w:t xml:space="preserve">email </w:t>
      </w:r>
      <w:hyperlink r:id="rId667" w:history="1">
        <w:r w:rsidR="00013F97" w:rsidRPr="00FD274F">
          <w:rPr>
            <w:rStyle w:val="Hyperlink"/>
          </w:rPr>
          <w:t>sunsetting@ag.gov.au</w:t>
        </w:r>
      </w:hyperlink>
      <w:r w:rsidR="00013F97" w:rsidRPr="00FD274F">
        <w:t xml:space="preserve"> or </w:t>
      </w:r>
      <w:r w:rsidR="00013F97">
        <w:t xml:space="preserve">call the AGD Switchboard on </w:t>
      </w:r>
      <w:r w:rsidR="00013F97" w:rsidRPr="00E277CA">
        <w:t>(02) 6141 6666</w:t>
      </w:r>
      <w:r w:rsidR="00013F97">
        <w:t xml:space="preserve"> and ask to be redirected to the Administrative Law Section</w:t>
      </w:r>
      <w:r w:rsidR="00013F97" w:rsidRPr="00F409B4">
        <w:t>)</w:t>
      </w:r>
      <w:r w:rsidRPr="00FD274F">
        <w:t>.</w:t>
      </w:r>
      <w:bookmarkEnd w:id="271"/>
    </w:p>
    <w:p w14:paraId="5575ED6C" w14:textId="77777777" w:rsidR="00A83991" w:rsidRPr="00FD274F" w:rsidRDefault="00A83991" w:rsidP="00A83991">
      <w:pPr>
        <w:pStyle w:val="Head4"/>
      </w:pPr>
      <w:bookmarkStart w:id="272" w:name="_Toc183694748"/>
      <w:r w:rsidRPr="00FD274F">
        <w:t>Tabling of documents for rollover purposes</w:t>
      </w:r>
      <w:bookmarkEnd w:id="272"/>
    </w:p>
    <w:p w14:paraId="28223961" w14:textId="35687391" w:rsidR="00A83991" w:rsidRPr="00FD274F" w:rsidRDefault="00A83991" w:rsidP="00A83991">
      <w:pPr>
        <w:pStyle w:val="BodyNum"/>
      </w:pPr>
      <w:bookmarkStart w:id="273" w:name="_Ref29484918"/>
      <w:bookmarkStart w:id="274" w:name="_Ref378080491"/>
      <w:r w:rsidRPr="00FD274F">
        <w:t xml:space="preserve">If a document needs to be tabled in anticipation or support of a rollover motion, it cannot be lodged for tabling through OPC. The relevant agency will need to prepare and lodge it in accordance with the current </w:t>
      </w:r>
      <w:r w:rsidR="00D62C49">
        <w:t xml:space="preserve">Tabling </w:t>
      </w:r>
      <w:r w:rsidRPr="00FD274F">
        <w:t>Guidelines</w:t>
      </w:r>
      <w:r w:rsidRPr="00FD274F">
        <w:rPr>
          <w:rStyle w:val="FootnoteReference"/>
        </w:rPr>
        <w:footnoteReference w:id="49"/>
      </w:r>
      <w:r w:rsidRPr="00FD274F">
        <w:t>. It may also be appropriate to provide additional courtesy copies to relevant scrutiny bodies.</w:t>
      </w:r>
      <w:bookmarkEnd w:id="273"/>
    </w:p>
    <w:p w14:paraId="43FFFC5B" w14:textId="77777777" w:rsidR="00A83991" w:rsidRPr="00FD274F" w:rsidRDefault="00A83991" w:rsidP="00A83991">
      <w:pPr>
        <w:pStyle w:val="Head3"/>
      </w:pPr>
      <w:bookmarkStart w:id="275" w:name="_Toc183694749"/>
      <w:bookmarkEnd w:id="274"/>
      <w:r w:rsidRPr="00FD274F">
        <w:lastRenderedPageBreak/>
        <w:t>Re</w:t>
      </w:r>
      <w:r>
        <w:t>placement</w:t>
      </w:r>
      <w:r w:rsidRPr="00FD274F">
        <w:t xml:space="preserve"> of sunsetting instruments (if required)</w:t>
      </w:r>
      <w:bookmarkEnd w:id="275"/>
    </w:p>
    <w:p w14:paraId="4E80F8CA" w14:textId="77777777" w:rsidR="00A83991" w:rsidRPr="00FD274F" w:rsidRDefault="00A83991" w:rsidP="00A83991">
      <w:pPr>
        <w:pStyle w:val="BodyNum"/>
      </w:pPr>
      <w:bookmarkStart w:id="276" w:name="_Ref29484941"/>
      <w:bookmarkStart w:id="277" w:name="_Ref367447316"/>
      <w:r w:rsidRPr="00FD274F">
        <w:t>A rule</w:t>
      </w:r>
      <w:r>
        <w:noBreakHyphen/>
      </w:r>
      <w:r w:rsidRPr="00FD274F">
        <w:t xml:space="preserve">maker who is authorised to make a particular instrument can repeal and remake it, no matter who originally made it. Merely amending an instrument does not </w:t>
      </w:r>
      <w:r>
        <w:t>reset its sunsetting “clock”.</w:t>
      </w:r>
      <w:bookmarkEnd w:id="276"/>
    </w:p>
    <w:p w14:paraId="44D52D08" w14:textId="452196A3" w:rsidR="00A83991" w:rsidRPr="00FD274F" w:rsidRDefault="00A83991" w:rsidP="00A83991">
      <w:pPr>
        <w:pStyle w:val="BodyNum"/>
      </w:pPr>
      <w:bookmarkStart w:id="278" w:name="_Ref435534951"/>
      <w:r w:rsidRPr="00FD274F">
        <w:t>To ensure continuity of the law, a new (replacement) instrument must be made and registered before any existing instrument sunsets. Failure to get a replacement instrument made and registered by the sunset date can have significant legal and other conseque</w:t>
      </w:r>
      <w:r w:rsidRPr="00FA2355">
        <w:t xml:space="preserve">nces (see paragraphs </w:t>
      </w:r>
      <w:r w:rsidRPr="00FD6A45">
        <w:rPr>
          <w:highlight w:val="yellow"/>
        </w:rPr>
        <w:fldChar w:fldCharType="begin"/>
      </w:r>
      <w:r w:rsidRPr="00FA2355">
        <w:instrText xml:space="preserve"> REF _Ref444692813 \r \h  \* MERGEFORMAT </w:instrText>
      </w:r>
      <w:r w:rsidRPr="00FD6A45">
        <w:rPr>
          <w:highlight w:val="yellow"/>
        </w:rPr>
      </w:r>
      <w:r w:rsidRPr="00FD6A45">
        <w:rPr>
          <w:highlight w:val="yellow"/>
        </w:rPr>
        <w:fldChar w:fldCharType="separate"/>
      </w:r>
      <w:r w:rsidR="00833171">
        <w:t>73</w:t>
      </w:r>
      <w:r w:rsidRPr="00FD6A45">
        <w:rPr>
          <w:highlight w:val="yellow"/>
        </w:rPr>
        <w:fldChar w:fldCharType="end"/>
      </w:r>
      <w:r w:rsidRPr="00FA2355">
        <w:t xml:space="preserve"> </w:t>
      </w:r>
      <w:r>
        <w:t>to</w:t>
      </w:r>
      <w:r w:rsidRPr="00FA2355">
        <w:t xml:space="preserve"> </w:t>
      </w:r>
      <w:r>
        <w:fldChar w:fldCharType="begin"/>
      </w:r>
      <w:r>
        <w:instrText xml:space="preserve"> REF _Ref112918881 \r \h </w:instrText>
      </w:r>
      <w:r>
        <w:fldChar w:fldCharType="separate"/>
      </w:r>
      <w:r w:rsidR="00833171">
        <w:t>78</w:t>
      </w:r>
      <w:r>
        <w:fldChar w:fldCharType="end"/>
      </w:r>
      <w:r w:rsidRPr="00FD274F">
        <w:t>).</w:t>
      </w:r>
      <w:bookmarkEnd w:id="278"/>
    </w:p>
    <w:p w14:paraId="412D68F8" w14:textId="77777777" w:rsidR="00A83991" w:rsidRPr="00FD274F" w:rsidRDefault="00A83991" w:rsidP="00A83991">
      <w:pPr>
        <w:pStyle w:val="BodyNum"/>
      </w:pPr>
      <w:r w:rsidRPr="00FD274F">
        <w:t xml:space="preserve">In the case of disallowable instruments, a much earlier date of registration is recommended to reduce the potential risks and consequences of disallowance. Disallowance of a replacement instrument or provision may temporarily revive a previous </w:t>
      </w:r>
      <w:proofErr w:type="gramStart"/>
      <w:r w:rsidRPr="00FD274F">
        <w:t>instrument, but</w:t>
      </w:r>
      <w:proofErr w:type="gramEnd"/>
      <w:r w:rsidRPr="00FD274F">
        <w:t xml:space="preserve"> cannot prevent that instrument sunsetting or revive an instrument that has already </w:t>
      </w:r>
      <w:proofErr w:type="spellStart"/>
      <w:r w:rsidRPr="00FD274F">
        <w:t>sunsetted</w:t>
      </w:r>
      <w:proofErr w:type="spellEnd"/>
      <w:r w:rsidRPr="00FD274F">
        <w:t>.</w:t>
      </w:r>
    </w:p>
    <w:p w14:paraId="0620BC80" w14:textId="77777777" w:rsidR="00A83991" w:rsidRPr="00FD274F" w:rsidRDefault="00A83991" w:rsidP="00A83991">
      <w:pPr>
        <w:pStyle w:val="BodyNum"/>
      </w:pPr>
      <w:r w:rsidRPr="00FD274F">
        <w:t>It may be tempting for agencies to assume that the process of preparing a new instrument to replace a sunsetting instrument will not take very long because necessary provisions already exist. However, it is OPC’s experience that significant time and care is needed to ensure that:</w:t>
      </w:r>
    </w:p>
    <w:p w14:paraId="30EC3C23" w14:textId="2A3FD36E" w:rsidR="00A83991" w:rsidRPr="00FD274F" w:rsidRDefault="00A83991" w:rsidP="00A83991">
      <w:pPr>
        <w:pStyle w:val="BodyPara"/>
      </w:pPr>
      <w:r w:rsidRPr="00FD274F">
        <w:t xml:space="preserve">the new instrument is legally effective, clear and intelligible to anticipated users </w:t>
      </w:r>
      <w:r w:rsidRPr="00FA2355">
        <w:t xml:space="preserve">(see paragraphs </w:t>
      </w:r>
      <w:r w:rsidRPr="00FD6A45">
        <w:rPr>
          <w:highlight w:val="yellow"/>
        </w:rPr>
        <w:fldChar w:fldCharType="begin"/>
      </w:r>
      <w:r w:rsidRPr="00FA2355">
        <w:instrText xml:space="preserve"> REF _Ref472357689 \r \h </w:instrText>
      </w:r>
      <w:r>
        <w:rPr>
          <w:highlight w:val="yellow"/>
        </w:rPr>
        <w:instrText xml:space="preserve"> \* MERGEFORMAT </w:instrText>
      </w:r>
      <w:r w:rsidRPr="00FD6A45">
        <w:rPr>
          <w:highlight w:val="yellow"/>
        </w:rPr>
      </w:r>
      <w:r w:rsidRPr="00FD6A45">
        <w:rPr>
          <w:highlight w:val="yellow"/>
        </w:rPr>
        <w:fldChar w:fldCharType="separate"/>
      </w:r>
      <w:r w:rsidR="00833171">
        <w:t>393</w:t>
      </w:r>
      <w:r w:rsidRPr="00FD6A45">
        <w:rPr>
          <w:highlight w:val="yellow"/>
        </w:rPr>
        <w:fldChar w:fldCharType="end"/>
      </w:r>
      <w:r w:rsidRPr="00FA2355">
        <w:t xml:space="preserve"> to </w:t>
      </w:r>
      <w:r w:rsidRPr="00FD6A45">
        <w:rPr>
          <w:highlight w:val="yellow"/>
        </w:rPr>
        <w:fldChar w:fldCharType="begin"/>
      </w:r>
      <w:r w:rsidRPr="00FA2355">
        <w:instrText xml:space="preserve"> REF _Ref378080360 \r \h </w:instrText>
      </w:r>
      <w:r>
        <w:rPr>
          <w:highlight w:val="yellow"/>
        </w:rPr>
        <w:instrText xml:space="preserve"> \* MERGEFORMAT </w:instrText>
      </w:r>
      <w:r w:rsidRPr="00FD6A45">
        <w:rPr>
          <w:highlight w:val="yellow"/>
        </w:rPr>
      </w:r>
      <w:r w:rsidRPr="00FD6A45">
        <w:rPr>
          <w:highlight w:val="yellow"/>
        </w:rPr>
        <w:fldChar w:fldCharType="separate"/>
      </w:r>
      <w:r w:rsidR="00833171">
        <w:t>402</w:t>
      </w:r>
      <w:r w:rsidRPr="00FD6A45">
        <w:rPr>
          <w:highlight w:val="yellow"/>
        </w:rPr>
        <w:fldChar w:fldCharType="end"/>
      </w:r>
      <w:r w:rsidRPr="00FA2355">
        <w:t>); a</w:t>
      </w:r>
      <w:r>
        <w:t>nd</w:t>
      </w:r>
    </w:p>
    <w:p w14:paraId="71CBE90C" w14:textId="57904707" w:rsidR="00A83991" w:rsidRPr="00FD274F" w:rsidRDefault="00A83991" w:rsidP="00A83991">
      <w:pPr>
        <w:pStyle w:val="BodyPara"/>
      </w:pPr>
      <w:r w:rsidRPr="00FD274F">
        <w:t xml:space="preserve">consultation, </w:t>
      </w:r>
      <w:r w:rsidR="005F1193">
        <w:t>policy</w:t>
      </w:r>
      <w:r w:rsidRPr="00FD274F">
        <w:t xml:space="preserve"> impact and other process requirements are met (see </w:t>
      </w:r>
      <w:hyperlink w:anchor="Chapter7" w:history="1">
        <w:r w:rsidRPr="00FA2355">
          <w:rPr>
            <w:rStyle w:val="Hyperlink"/>
          </w:rPr>
          <w:t>Chapter 7</w:t>
        </w:r>
      </w:hyperlink>
      <w:r w:rsidRPr="00FA2355">
        <w:t>); a</w:t>
      </w:r>
      <w:r>
        <w:t>nd</w:t>
      </w:r>
    </w:p>
    <w:p w14:paraId="36B86580" w14:textId="5501AAF0" w:rsidR="00A83991" w:rsidRPr="00FD274F" w:rsidRDefault="00A83991" w:rsidP="00A83991">
      <w:pPr>
        <w:pStyle w:val="BodyPara"/>
      </w:pPr>
      <w:r w:rsidRPr="00FD274F">
        <w:t xml:space="preserve">the explanatory statement for the instrument meets current legislative and Parliamentary standards (see </w:t>
      </w:r>
      <w:hyperlink w:anchor="Chapter8" w:history="1">
        <w:r w:rsidRPr="00FA2355">
          <w:rPr>
            <w:rStyle w:val="Hyperlink"/>
          </w:rPr>
          <w:t>Chapter 8</w:t>
        </w:r>
      </w:hyperlink>
      <w:r w:rsidRPr="00FA2355">
        <w:t>)</w:t>
      </w:r>
      <w:bookmarkEnd w:id="277"/>
      <w:r w:rsidRPr="00FA2355">
        <w:t>.</w:t>
      </w:r>
    </w:p>
    <w:p w14:paraId="5B1AA7F4" w14:textId="77777777" w:rsidR="00A83991" w:rsidRPr="00FD274F" w:rsidRDefault="00A83991" w:rsidP="00A83991">
      <w:pPr>
        <w:pStyle w:val="Head4"/>
      </w:pPr>
      <w:bookmarkStart w:id="279" w:name="_Toc183694750"/>
      <w:r w:rsidRPr="00FD274F">
        <w:t>Drafting of replacement instruments</w:t>
      </w:r>
      <w:bookmarkEnd w:id="279"/>
    </w:p>
    <w:p w14:paraId="28AA2E48" w14:textId="203978F9" w:rsidR="00A83991" w:rsidRPr="00FD274F" w:rsidRDefault="00A83991" w:rsidP="00A83991">
      <w:pPr>
        <w:pStyle w:val="BodyNum"/>
      </w:pPr>
      <w:bookmarkStart w:id="280" w:name="_Ref472357689"/>
      <w:r w:rsidRPr="00FD274F">
        <w:t>If an agency intends to use OPC’s drafting services to draft a replacement for a particular instrument</w:t>
      </w:r>
      <w:r w:rsidR="00A732E3" w:rsidRPr="00FD274F">
        <w:rPr>
          <w:rStyle w:val="FootnoteReference"/>
          <w:color w:val="000000" w:themeColor="text1"/>
        </w:rPr>
        <w:footnoteReference w:id="50"/>
      </w:r>
      <w:r w:rsidRPr="00FD274F">
        <w:t xml:space="preserve">, OPC </w:t>
      </w:r>
      <w:r w:rsidR="00E16F8B">
        <w:t>requires</w:t>
      </w:r>
      <w:r w:rsidRPr="00FD274F">
        <w:t xml:space="preserve"> early instructions that:</w:t>
      </w:r>
      <w:bookmarkEnd w:id="280"/>
    </w:p>
    <w:p w14:paraId="23BE568D" w14:textId="77777777" w:rsidR="00A83991" w:rsidRPr="00FD274F" w:rsidRDefault="00A83991" w:rsidP="00A83991">
      <w:pPr>
        <w:pStyle w:val="BodyPara"/>
      </w:pPr>
      <w:r w:rsidRPr="00FD274F">
        <w:t>outline the preferred timing, including whether an exposure draft is required to assist consultation; and</w:t>
      </w:r>
    </w:p>
    <w:p w14:paraId="580B2342" w14:textId="77777777" w:rsidR="00A83991" w:rsidRPr="00FD274F" w:rsidRDefault="00A83991" w:rsidP="00A83991">
      <w:pPr>
        <w:pStyle w:val="BodyPara"/>
      </w:pPr>
      <w:r w:rsidRPr="00FD274F">
        <w:t>deal with any policy or other changes that are needed (such as deleti</w:t>
      </w:r>
      <w:r>
        <w:t>on of unwanted provisions); and</w:t>
      </w:r>
    </w:p>
    <w:p w14:paraId="3E54721E" w14:textId="77777777" w:rsidR="00A83991" w:rsidRPr="00FD274F" w:rsidRDefault="00A83991" w:rsidP="00A83991">
      <w:pPr>
        <w:pStyle w:val="BodyPara"/>
      </w:pPr>
      <w:r w:rsidRPr="00FD274F">
        <w:t>confirm that the rest of the instrument is to remain the same in substance—OPC will modernise it without detailed instructions, if and as needed, in consultation with the agency.</w:t>
      </w:r>
    </w:p>
    <w:p w14:paraId="5D8BDA2F" w14:textId="62C218EA" w:rsidR="00370A7B" w:rsidRDefault="00370A7B" w:rsidP="00A83991">
      <w:pPr>
        <w:pStyle w:val="BodyNum"/>
        <w:spacing w:before="200"/>
      </w:pPr>
      <w:r>
        <w:t>If an instrument is untied work, OPC may refuse to draft it if insufficient time has been left before sunsetting.</w:t>
      </w:r>
    </w:p>
    <w:p w14:paraId="48AACC41" w14:textId="2CA1FDA1" w:rsidR="00A83991" w:rsidRPr="00FD274F" w:rsidRDefault="00A83991" w:rsidP="00A83991">
      <w:pPr>
        <w:pStyle w:val="BodyNum"/>
        <w:spacing w:before="200"/>
      </w:pPr>
      <w:r w:rsidRPr="00FD274F">
        <w:lastRenderedPageBreak/>
        <w:t>Irrespective of who drafts it, a new instrument intended to replace a sunsetting instrument needs to contain the following to avoid confusion about what is intended and what is in force:</w:t>
      </w:r>
    </w:p>
    <w:p w14:paraId="5B6AADE8" w14:textId="77777777" w:rsidR="00A83991" w:rsidRPr="00FD274F" w:rsidRDefault="00A83991" w:rsidP="00A83991">
      <w:pPr>
        <w:pStyle w:val="BodyPara"/>
      </w:pPr>
      <w:r w:rsidRPr="00FD274F">
        <w:t>a new, unique name (e.g. the</w:t>
      </w:r>
      <w:r w:rsidRPr="00FD274F">
        <w:rPr>
          <w:i/>
        </w:rPr>
        <w:t xml:space="preserve"> Widgets Determination 20</w:t>
      </w:r>
      <w:r>
        <w:rPr>
          <w:i/>
        </w:rPr>
        <w:t>2</w:t>
      </w:r>
      <w:r w:rsidRPr="00FD274F">
        <w:rPr>
          <w:i/>
        </w:rPr>
        <w:t>7</w:t>
      </w:r>
      <w:r w:rsidRPr="00FD274F">
        <w:t xml:space="preserve"> whe</w:t>
      </w:r>
      <w:r>
        <w:t>re 2027 is the year of making</w:t>
      </w:r>
      <w:proofErr w:type="gramStart"/>
      <w:r>
        <w:t>);</w:t>
      </w:r>
      <w:proofErr w:type="gramEnd"/>
    </w:p>
    <w:p w14:paraId="269E8462" w14:textId="77777777" w:rsidR="00A83991" w:rsidRPr="00FD274F" w:rsidRDefault="00A83991" w:rsidP="00A83991">
      <w:pPr>
        <w:pStyle w:val="BodyPara"/>
      </w:pPr>
      <w:r w:rsidRPr="00FD274F">
        <w:t xml:space="preserve">an express provision that states when the new instrument is to </w:t>
      </w:r>
      <w:proofErr w:type="gramStart"/>
      <w:r w:rsidRPr="00FD274F">
        <w:t>commence;</w:t>
      </w:r>
      <w:proofErr w:type="gramEnd"/>
    </w:p>
    <w:p w14:paraId="2A497B0B" w14:textId="77777777" w:rsidR="00A83991" w:rsidRPr="00FD274F" w:rsidRDefault="00A83991" w:rsidP="00A83991">
      <w:pPr>
        <w:pStyle w:val="BodyPara"/>
      </w:pPr>
      <w:r w:rsidRPr="00FD274F">
        <w:t>an express provision that clearly identifies and repeals the sunsetting instrument or instruments (use of t</w:t>
      </w:r>
      <w:r>
        <w:t>he word “repeal” is important</w:t>
      </w:r>
      <w:proofErr w:type="gramStart"/>
      <w:r>
        <w:t>);</w:t>
      </w:r>
      <w:proofErr w:type="gramEnd"/>
    </w:p>
    <w:p w14:paraId="60022DDC" w14:textId="77777777" w:rsidR="00A83991" w:rsidRPr="00FD274F" w:rsidRDefault="00A83991" w:rsidP="00A83991">
      <w:pPr>
        <w:pStyle w:val="BodyPara"/>
      </w:pPr>
      <w:r w:rsidRPr="00FD274F">
        <w:t>transitional provisions, if and as needed to transition things from being done under the sunsetting in</w:t>
      </w:r>
      <w:r>
        <w:t>strument to the new instrument.</w:t>
      </w:r>
    </w:p>
    <w:p w14:paraId="4EA63B18" w14:textId="77777777" w:rsidR="00A83991" w:rsidRPr="00FD274F" w:rsidRDefault="00A83991" w:rsidP="00A83991">
      <w:pPr>
        <w:pStyle w:val="BodyNum"/>
        <w:keepLines/>
        <w:spacing w:before="200"/>
      </w:pPr>
      <w:r w:rsidRPr="00FD274F">
        <w:t xml:space="preserve">Other changes may also be necessary to meet current drafting and publishing standards. </w:t>
      </w:r>
      <w:r>
        <w:t>The person drafting the instrument</w:t>
      </w:r>
      <w:r w:rsidRPr="00FD274F">
        <w:t xml:space="preserve"> </w:t>
      </w:r>
      <w:r>
        <w:t xml:space="preserve">should </w:t>
      </w:r>
      <w:r w:rsidRPr="00FD274F">
        <w:t xml:space="preserve">check that each provision in the new instrument is supported by a head of power in current </w:t>
      </w:r>
      <w:proofErr w:type="gramStart"/>
      <w:r w:rsidRPr="00FD274F">
        <w:t>law, and</w:t>
      </w:r>
      <w:proofErr w:type="gramEnd"/>
      <w:r w:rsidRPr="00FD274F">
        <w:t xml:space="preserve"> should consider carefully any legal opinions that go to the effect or validity of existing provisions. Care is also needed if a sunsetting instrument:</w:t>
      </w:r>
    </w:p>
    <w:p w14:paraId="5A35F051" w14:textId="77777777" w:rsidR="00A83991" w:rsidRPr="00FD274F" w:rsidRDefault="00A83991" w:rsidP="00A83991">
      <w:pPr>
        <w:pStyle w:val="BodyPara"/>
      </w:pPr>
      <w:r w:rsidRPr="00FD274F">
        <w:t>has enabled the making of another instrument that is still in force; or</w:t>
      </w:r>
    </w:p>
    <w:p w14:paraId="62514324" w14:textId="77777777" w:rsidR="00A83991" w:rsidRPr="00FD274F" w:rsidRDefault="00A83991" w:rsidP="00A83991">
      <w:pPr>
        <w:pStyle w:val="BodyPara"/>
      </w:pPr>
      <w:r w:rsidRPr="00FD274F">
        <w:t xml:space="preserve">incorporates documents other than Commonwealth Acts or disallowable legislative </w:t>
      </w:r>
      <w:r>
        <w:t>instruments by reference; or</w:t>
      </w:r>
    </w:p>
    <w:p w14:paraId="6289B59C" w14:textId="77777777" w:rsidR="00A83991" w:rsidRPr="00FD274F" w:rsidRDefault="00A83991" w:rsidP="00A83991">
      <w:pPr>
        <w:pStyle w:val="BodyPara"/>
      </w:pPr>
      <w:r w:rsidRPr="00FD274F">
        <w:t>is cited in other l</w:t>
      </w:r>
      <w:r>
        <w:t>egislation that is in force; or</w:t>
      </w:r>
    </w:p>
    <w:p w14:paraId="58091356" w14:textId="77777777" w:rsidR="00A83991" w:rsidRPr="00FD274F" w:rsidRDefault="00A83991" w:rsidP="00A83991">
      <w:pPr>
        <w:pStyle w:val="BodyPara"/>
      </w:pPr>
      <w:r w:rsidRPr="00FD274F">
        <w:t>deals with a criminal offence, civil penalty or related enforcement issue; or</w:t>
      </w:r>
    </w:p>
    <w:p w14:paraId="6F37B922" w14:textId="77777777" w:rsidR="00A83991" w:rsidRPr="00FD274F" w:rsidRDefault="00A83991" w:rsidP="00A83991">
      <w:pPr>
        <w:pStyle w:val="BodyPara"/>
      </w:pPr>
      <w:r w:rsidRPr="00FD274F">
        <w:t>contains gender</w:t>
      </w:r>
      <w:r>
        <w:noBreakHyphen/>
      </w:r>
      <w:r w:rsidRPr="00FD274F">
        <w:t>specific language.</w:t>
      </w:r>
    </w:p>
    <w:p w14:paraId="47C646F6" w14:textId="3C079965" w:rsidR="00A83991" w:rsidRPr="00FD274F" w:rsidRDefault="00A83991" w:rsidP="00A83991">
      <w:pPr>
        <w:pStyle w:val="BodyNum"/>
      </w:pPr>
      <w:r w:rsidRPr="00FD274F">
        <w:t>Further information on drafting issues is provided i</w:t>
      </w:r>
      <w:r w:rsidRPr="007869D8">
        <w:t xml:space="preserve">n </w:t>
      </w:r>
      <w:hyperlink w:anchor="Chapter3" w:history="1">
        <w:r w:rsidRPr="007869D8">
          <w:rPr>
            <w:rStyle w:val="Hyperlink"/>
          </w:rPr>
          <w:t>Chapter 3</w:t>
        </w:r>
      </w:hyperlink>
      <w:r w:rsidRPr="00FD274F">
        <w:t>.</w:t>
      </w:r>
    </w:p>
    <w:p w14:paraId="1C9D1DB7" w14:textId="77777777" w:rsidR="00A83991" w:rsidRPr="00FD274F" w:rsidRDefault="00A83991" w:rsidP="00A83991">
      <w:pPr>
        <w:pStyle w:val="Head4"/>
      </w:pPr>
      <w:bookmarkStart w:id="281" w:name="_Toc183694751"/>
      <w:r w:rsidRPr="00FD274F">
        <w:t xml:space="preserve">Scope to </w:t>
      </w:r>
      <w:r>
        <w:t>remake</w:t>
      </w:r>
      <w:r w:rsidRPr="00FD274F">
        <w:t xml:space="preserve"> instruments in bulk by reference</w:t>
      </w:r>
      <w:bookmarkEnd w:id="281"/>
    </w:p>
    <w:p w14:paraId="5289C0DC" w14:textId="77777777" w:rsidR="00A83991" w:rsidRPr="00FD274F" w:rsidRDefault="00A83991" w:rsidP="00A83991">
      <w:pPr>
        <w:pStyle w:val="BodyNum"/>
      </w:pPr>
      <w:r w:rsidRPr="00FD274F">
        <w:t xml:space="preserve">It may be possible to remake instruments by reference, that is, without spelling out the full text of each replacement instrument. However, </w:t>
      </w:r>
      <w:r>
        <w:t xml:space="preserve">there is no known precedent for </w:t>
      </w:r>
      <w:proofErr w:type="gramStart"/>
      <w:r>
        <w:t>this</w:t>
      </w:r>
      <w:proofErr w:type="gramEnd"/>
      <w:r>
        <w:t xml:space="preserve"> and </w:t>
      </w:r>
      <w:r w:rsidRPr="00FD274F">
        <w:t>this approach has significant legal and practical limitations. It is only likely to be appropriate if the instruments to be remade:</w:t>
      </w:r>
    </w:p>
    <w:p w14:paraId="09B8876D" w14:textId="77777777" w:rsidR="00A83991" w:rsidRPr="00FD274F" w:rsidRDefault="00A83991" w:rsidP="00A83991">
      <w:pPr>
        <w:pStyle w:val="BodyPara"/>
      </w:pPr>
      <w:r w:rsidRPr="00FD274F">
        <w:t>are not likely to be of interest to the Parliament (e.g. because of their technical content); and</w:t>
      </w:r>
    </w:p>
    <w:p w14:paraId="0730095D" w14:textId="77777777" w:rsidR="00A83991" w:rsidRPr="00FD274F" w:rsidRDefault="00A83991" w:rsidP="00A83991">
      <w:pPr>
        <w:pStyle w:val="BodyPara"/>
      </w:pPr>
      <w:r w:rsidRPr="00FD274F">
        <w:t>are available on the Register “as amended” without a</w:t>
      </w:r>
      <w:r>
        <w:t>ny misdescribed amendments; and</w:t>
      </w:r>
    </w:p>
    <w:p w14:paraId="58E3E111" w14:textId="77777777" w:rsidR="00A83991" w:rsidRPr="00FD274F" w:rsidRDefault="00A83991" w:rsidP="00A83991">
      <w:pPr>
        <w:pStyle w:val="BodyPara"/>
      </w:pPr>
      <w:r w:rsidRPr="00FD274F">
        <w:t>do not need to be amended substantially as part of the remaking processes.</w:t>
      </w:r>
    </w:p>
    <w:p w14:paraId="393E306D" w14:textId="77777777" w:rsidR="00A83991" w:rsidRPr="00FD274F" w:rsidRDefault="00A83991" w:rsidP="00A83991">
      <w:pPr>
        <w:pStyle w:val="BodyNum"/>
      </w:pPr>
      <w:r w:rsidRPr="00FD274F">
        <w:lastRenderedPageBreak/>
        <w:t>It should be noted that it is generally not possible for a single rule</w:t>
      </w:r>
      <w:r>
        <w:noBreakHyphen/>
      </w:r>
      <w:r w:rsidRPr="00FD274F">
        <w:t>maker such as a Minister to make a single instrument that remakes every instrument in a portfolio. In the absence of statutory authority, a Minister cannot, for example:</w:t>
      </w:r>
    </w:p>
    <w:p w14:paraId="21D4AAFA" w14:textId="77777777" w:rsidR="00A83991" w:rsidRPr="00FD274F" w:rsidRDefault="00A83991" w:rsidP="00A83991">
      <w:pPr>
        <w:pStyle w:val="BodyPara"/>
      </w:pPr>
      <w:r w:rsidRPr="00FD274F">
        <w:t>amend, repeal, or repeal and re</w:t>
      </w:r>
      <w:r>
        <w:t>place</w:t>
      </w:r>
      <w:r w:rsidRPr="00FD274F">
        <w:t>, a regulation or other instrument made by the Governor</w:t>
      </w:r>
      <w:r>
        <w:noBreakHyphen/>
      </w:r>
      <w:r w:rsidRPr="00FD274F">
        <w:t>General or other rule</w:t>
      </w:r>
      <w:r>
        <w:noBreakHyphen/>
      </w:r>
      <w:r w:rsidRPr="00FD274F">
        <w:t>maker; or</w:t>
      </w:r>
    </w:p>
    <w:p w14:paraId="76B00971" w14:textId="77777777" w:rsidR="00A83991" w:rsidRPr="00FD274F" w:rsidRDefault="00A83991" w:rsidP="00A83991">
      <w:pPr>
        <w:pStyle w:val="BodyPara"/>
      </w:pPr>
      <w:r w:rsidRPr="00FD274F">
        <w:t>repeal and re</w:t>
      </w:r>
      <w:r>
        <w:t>place</w:t>
      </w:r>
      <w:r w:rsidRPr="00FD274F">
        <w:t xml:space="preserve"> one type of instrument (such as a guideline) using another type of instrument (such as a determination).</w:t>
      </w:r>
    </w:p>
    <w:p w14:paraId="5A671EF9" w14:textId="77777777" w:rsidR="00A83991" w:rsidRPr="00FD274F" w:rsidRDefault="00A83991" w:rsidP="00A83991">
      <w:pPr>
        <w:pStyle w:val="BodyNum"/>
      </w:pPr>
      <w:r w:rsidRPr="00FD274F">
        <w:t>Even with instruments of the same type, separate re</w:t>
      </w:r>
      <w:r>
        <w:t>placement</w:t>
      </w:r>
      <w:r w:rsidRPr="00FD274F">
        <w:t xml:space="preserve"> instruments may be required for disallowable and non</w:t>
      </w:r>
      <w:r>
        <w:noBreakHyphen/>
      </w:r>
      <w:r w:rsidRPr="00FD274F">
        <w:t>disallowable instruments to avoid making non</w:t>
      </w:r>
      <w:r>
        <w:noBreakHyphen/>
      </w:r>
      <w:r w:rsidRPr="00FD274F">
        <w:t>disallowable instr</w:t>
      </w:r>
      <w:r>
        <w:t>uments subject to disallowance.</w:t>
      </w:r>
    </w:p>
    <w:p w14:paraId="411C1817" w14:textId="77777777" w:rsidR="00A83991" w:rsidRPr="00FD274F" w:rsidRDefault="00A83991" w:rsidP="00A83991">
      <w:pPr>
        <w:pStyle w:val="BodyNum"/>
        <w:keepLines/>
      </w:pPr>
      <w:r w:rsidRPr="00FD274F">
        <w:t>Although it may be possible to remake instruments by reference with very minor changes, expert drafting will be required to minimise the risk of unintended consequences if anything more substantial is proposed. This may be particularly important if, for example, the instrument to be remade:</w:t>
      </w:r>
    </w:p>
    <w:p w14:paraId="6DD4F7D4" w14:textId="77777777" w:rsidR="00A83991" w:rsidRPr="00FD274F" w:rsidRDefault="00A83991" w:rsidP="00A83991">
      <w:pPr>
        <w:pStyle w:val="BodyPara"/>
      </w:pPr>
      <w:r w:rsidRPr="00FD274F">
        <w:t>contains saving or transitional provisions; or</w:t>
      </w:r>
    </w:p>
    <w:p w14:paraId="1E34792D" w14:textId="77777777" w:rsidR="00A83991" w:rsidRPr="00FD274F" w:rsidRDefault="00A83991" w:rsidP="00A83991">
      <w:pPr>
        <w:pStyle w:val="BodyPara"/>
      </w:pPr>
      <w:r w:rsidRPr="00FD274F">
        <w:t xml:space="preserve">has been amended but </w:t>
      </w:r>
      <w:proofErr w:type="gramStart"/>
      <w:r w:rsidRPr="00FD274F">
        <w:t>no</w:t>
      </w:r>
      <w:proofErr w:type="gramEnd"/>
      <w:r w:rsidRPr="00FD274F">
        <w:t xml:space="preserve"> up</w:t>
      </w:r>
      <w:r>
        <w:noBreakHyphen/>
      </w:r>
      <w:r w:rsidRPr="00FD274F">
        <w:t>to</w:t>
      </w:r>
      <w:r>
        <w:noBreakHyphen/>
      </w:r>
      <w:r w:rsidRPr="00FD274F">
        <w:t xml:space="preserve">date compilation has been registered </w:t>
      </w:r>
      <w:r>
        <w:t>showing the text as amended; or</w:t>
      </w:r>
    </w:p>
    <w:p w14:paraId="5E19823F" w14:textId="77777777" w:rsidR="00A83991" w:rsidRPr="00FD274F" w:rsidRDefault="00A83991" w:rsidP="00A83991">
      <w:pPr>
        <w:pStyle w:val="BodyPara"/>
      </w:pPr>
      <w:r w:rsidRPr="00FD274F">
        <w:t>needs to be amended retrospectively, with changes applied to the instrument before its date of remaking.</w:t>
      </w:r>
    </w:p>
    <w:p w14:paraId="13A68EFE" w14:textId="77777777" w:rsidR="00A83991" w:rsidRPr="00FD274F" w:rsidRDefault="00A83991" w:rsidP="00A83991">
      <w:pPr>
        <w:pStyle w:val="BodyNum"/>
      </w:pPr>
      <w:bookmarkStart w:id="282" w:name="_Ref378080360"/>
      <w:r w:rsidRPr="00FD274F">
        <w:t>Each re</w:t>
      </w:r>
      <w:r>
        <w:t>placement</w:t>
      </w:r>
      <w:r w:rsidRPr="00FD274F">
        <w:t xml:space="preserve"> instrument must be registered before the relevant sunset date with an explanatory statement that meets all of the requirements for explanatory statements. In addition, a compilation of </w:t>
      </w:r>
      <w:r>
        <w:t>any</w:t>
      </w:r>
      <w:r w:rsidRPr="00FD274F">
        <w:t xml:space="preserve"> instrument that has been amended </w:t>
      </w:r>
      <w:r>
        <w:t xml:space="preserve">by the replacement instrument </w:t>
      </w:r>
      <w:r w:rsidRPr="00FD274F">
        <w:t>will also need to be prepared and registered as soon as practicable after the instrument is remade.</w:t>
      </w:r>
      <w:bookmarkEnd w:id="282"/>
    </w:p>
    <w:p w14:paraId="77C87385" w14:textId="77777777" w:rsidR="00A83991" w:rsidRPr="00FD274F" w:rsidRDefault="00A83991" w:rsidP="00A83991">
      <w:pPr>
        <w:pStyle w:val="Head3"/>
      </w:pPr>
      <w:bookmarkStart w:id="283" w:name="_Toc183694752"/>
      <w:r w:rsidRPr="00FD274F">
        <w:t xml:space="preserve">If an instrument cannot be </w:t>
      </w:r>
      <w:r>
        <w:t>replaced</w:t>
      </w:r>
      <w:r w:rsidRPr="00FD274F">
        <w:t xml:space="preserve"> before </w:t>
      </w:r>
      <w:proofErr w:type="gramStart"/>
      <w:r w:rsidRPr="00FD274F">
        <w:t>it</w:t>
      </w:r>
      <w:proofErr w:type="gramEnd"/>
      <w:r w:rsidRPr="00FD274F">
        <w:t xml:space="preserve"> sunsets</w:t>
      </w:r>
      <w:bookmarkEnd w:id="283"/>
    </w:p>
    <w:p w14:paraId="6004BFEF" w14:textId="77777777" w:rsidR="00A83991" w:rsidRPr="00FD274F" w:rsidRDefault="00A83991" w:rsidP="00A83991">
      <w:pPr>
        <w:pStyle w:val="BodyNum"/>
      </w:pPr>
      <w:r w:rsidRPr="00FD274F">
        <w:t>If an instrument cannot be re</w:t>
      </w:r>
      <w:r>
        <w:t>placed</w:t>
      </w:r>
      <w:r w:rsidRPr="00FD274F">
        <w:t xml:space="preserve"> before </w:t>
      </w:r>
      <w:proofErr w:type="gramStart"/>
      <w:r w:rsidRPr="00FD274F">
        <w:t>it</w:t>
      </w:r>
      <w:proofErr w:type="gramEnd"/>
      <w:r w:rsidRPr="00FD274F">
        <w:t xml:space="preserve"> sunsets, there are only three options for ensuring or restoring continuity of the law.</w:t>
      </w:r>
    </w:p>
    <w:p w14:paraId="31440F2A" w14:textId="04A6150F" w:rsidR="00A83991" w:rsidRPr="00FD274F" w:rsidRDefault="00A83991" w:rsidP="00A83991">
      <w:pPr>
        <w:pStyle w:val="BodyNum"/>
      </w:pPr>
      <w:r w:rsidRPr="00FD274F">
        <w:t>First, if an urgent and unavoidable issue emerges before the sunset date that prevents an instrument being remade, it may be possible to obtain a 6</w:t>
      </w:r>
      <w:r>
        <w:t>, 12, 18 or 24</w:t>
      </w:r>
      <w:r w:rsidRPr="00FD274F">
        <w:t xml:space="preserve"> month deferral of its sunset date by </w:t>
      </w:r>
      <w:r>
        <w:t xml:space="preserve">the issuing of </w:t>
      </w:r>
      <w:r w:rsidRPr="00FD274F">
        <w:t>an Attorney</w:t>
      </w:r>
      <w:r>
        <w:noBreakHyphen/>
      </w:r>
      <w:r w:rsidRPr="00FD274F">
        <w:t xml:space="preserve">General’s certificate under </w:t>
      </w:r>
      <w:r w:rsidRPr="00DD1ADC">
        <w:t xml:space="preserve">section 51 of the </w:t>
      </w:r>
      <w:hyperlink r:id="rId668" w:history="1">
        <w:hyperlink r:id="rId669" w:history="1">
          <w:hyperlink r:id="rId670" w:history="1">
            <w:r w:rsidRPr="00DD1ADC">
              <w:rPr>
                <w:rStyle w:val="Hyperlink"/>
              </w:rPr>
              <w:t>LA</w:t>
            </w:r>
          </w:hyperlink>
        </w:hyperlink>
      </w:hyperlink>
      <w:r w:rsidRPr="00DD1ADC">
        <w:t>.</w:t>
      </w:r>
      <w:r w:rsidRPr="00FD274F">
        <w:t xml:space="preserve"> For further guidance on section 51 certifica</w:t>
      </w:r>
      <w:r w:rsidRPr="007869D8">
        <w:t xml:space="preserve">tes, see paragraph </w:t>
      </w:r>
      <w:r w:rsidRPr="00FD6A45">
        <w:rPr>
          <w:highlight w:val="yellow"/>
        </w:rPr>
        <w:fldChar w:fldCharType="begin"/>
      </w:r>
      <w:r w:rsidRPr="007869D8">
        <w:instrText xml:space="preserve"> REF _Ref367446626 \r \h </w:instrText>
      </w:r>
      <w:r>
        <w:rPr>
          <w:highlight w:val="yellow"/>
        </w:rPr>
        <w:instrText xml:space="preserve"> \* MERGEFORMAT </w:instrText>
      </w:r>
      <w:r w:rsidRPr="00FD6A45">
        <w:rPr>
          <w:highlight w:val="yellow"/>
        </w:rPr>
      </w:r>
      <w:r w:rsidRPr="00FD6A45">
        <w:rPr>
          <w:highlight w:val="yellow"/>
        </w:rPr>
        <w:fldChar w:fldCharType="separate"/>
      </w:r>
      <w:r w:rsidR="00833171">
        <w:t>378</w:t>
      </w:r>
      <w:r w:rsidRPr="00FD6A45">
        <w:rPr>
          <w:highlight w:val="yellow"/>
        </w:rPr>
        <w:fldChar w:fldCharType="end"/>
      </w:r>
      <w:r w:rsidRPr="007869D8">
        <w:t>.</w:t>
      </w:r>
    </w:p>
    <w:p w14:paraId="1B0681D9" w14:textId="14835304" w:rsidR="00A83991" w:rsidRPr="00FD274F" w:rsidRDefault="00A83991" w:rsidP="00A83991">
      <w:pPr>
        <w:pStyle w:val="BodyNum"/>
      </w:pPr>
      <w:r w:rsidRPr="00FD274F">
        <w:t xml:space="preserve">Second, if the original instrument has </w:t>
      </w:r>
      <w:proofErr w:type="spellStart"/>
      <w:r w:rsidRPr="00FD274F">
        <w:t>sunsetted</w:t>
      </w:r>
      <w:proofErr w:type="spellEnd"/>
      <w:r w:rsidRPr="00FD274F">
        <w:t>, a replacement instrument should be made as soon as practicable. It might be possible to backdate the commencement to the relevant sunset date</w:t>
      </w:r>
      <w:r w:rsidRPr="007869D8">
        <w:t>, bu</w:t>
      </w:r>
      <w:r w:rsidRPr="00FD274F">
        <w:t xml:space="preserve">t please seek legal advice before attempting </w:t>
      </w:r>
      <w:r>
        <w:t>to commence or apply an instrument retrospectively</w:t>
      </w:r>
      <w:r w:rsidRPr="00FD274F">
        <w:t xml:space="preserve"> </w:t>
      </w:r>
      <w:r w:rsidRPr="007869D8">
        <w:t xml:space="preserve">(see paragraph </w:t>
      </w:r>
      <w:r>
        <w:fldChar w:fldCharType="begin"/>
      </w:r>
      <w:r>
        <w:instrText xml:space="preserve"> REF _Ref112862478 \r \h </w:instrText>
      </w:r>
      <w:r>
        <w:fldChar w:fldCharType="separate"/>
      </w:r>
      <w:r w:rsidR="00833171">
        <w:t>74</w:t>
      </w:r>
      <w:r>
        <w:fldChar w:fldCharType="end"/>
      </w:r>
      <w:r w:rsidRPr="007869D8">
        <w:t>)</w:t>
      </w:r>
      <w:r w:rsidRPr="00FD274F">
        <w:t xml:space="preserve">. Note also that retrospectivity may attract adverse comment from bodies such as </w:t>
      </w:r>
      <w:r>
        <w:t>the SDLC</w:t>
      </w:r>
      <w:r w:rsidRPr="00FD274F">
        <w:rPr>
          <w:color w:val="000000" w:themeColor="text1"/>
        </w:rPr>
        <w:t>).</w:t>
      </w:r>
    </w:p>
    <w:p w14:paraId="63B00F29" w14:textId="77777777" w:rsidR="00A83991" w:rsidRPr="00FD274F" w:rsidRDefault="00A83991" w:rsidP="00A83991">
      <w:pPr>
        <w:pStyle w:val="BodyNum"/>
      </w:pPr>
      <w:r w:rsidRPr="00FD274F">
        <w:lastRenderedPageBreak/>
        <w:t>Finally, if a replacement instrument cannot be made retrospectively, an Act of the Parliament may be required to remedy the situation. However, this should only be considered if all other op</w:t>
      </w:r>
      <w:r w:rsidRPr="00FD274F">
        <w:rPr>
          <w:color w:val="000000" w:themeColor="text1"/>
        </w:rPr>
        <w:t>tions have been exhausted. For more information on what is involved, see the Legislation Handbook</w:t>
      </w:r>
      <w:r w:rsidRPr="00FD274F">
        <w:rPr>
          <w:rStyle w:val="FootnoteReference"/>
          <w:color w:val="000000" w:themeColor="text1"/>
        </w:rPr>
        <w:footnoteReference w:id="51"/>
      </w:r>
      <w:r w:rsidRPr="00FD274F">
        <w:rPr>
          <w:color w:val="000000" w:themeColor="text1"/>
        </w:rPr>
        <w:t>.</w:t>
      </w:r>
    </w:p>
    <w:p w14:paraId="744293F9" w14:textId="64973BF5" w:rsidR="00A83991" w:rsidRPr="00FD274F" w:rsidRDefault="00A83991" w:rsidP="00A83991">
      <w:pPr>
        <w:pStyle w:val="BodyNum"/>
      </w:pPr>
      <w:r w:rsidRPr="00FD274F">
        <w:t xml:space="preserve">For assistance with any of these options, please contact </w:t>
      </w:r>
      <w:r w:rsidRPr="00DD1ADC">
        <w:t xml:space="preserve">OPC by email at </w:t>
      </w:r>
      <w:hyperlink r:id="rId671" w:history="1">
        <w:r w:rsidRPr="00DD1ADC">
          <w:rPr>
            <w:rStyle w:val="Hyperlink"/>
          </w:rPr>
          <w:t>instrument.instructions@opc.gov.au</w:t>
        </w:r>
      </w:hyperlink>
      <w:r w:rsidRPr="00DD1ADC">
        <w:t xml:space="preserve"> o</w:t>
      </w:r>
      <w:r w:rsidRPr="00FD274F">
        <w:t xml:space="preserve">r contact </w:t>
      </w:r>
      <w:r w:rsidR="0083197E">
        <w:t>O</w:t>
      </w:r>
      <w:r w:rsidR="0083197E" w:rsidRPr="00961F7C">
        <w:t>PC’s</w:t>
      </w:r>
      <w:r w:rsidR="0083197E">
        <w:t xml:space="preserve"> </w:t>
      </w:r>
      <w:hyperlink r:id="rId672" w:history="1">
        <w:r w:rsidR="0083197E">
          <w:rPr>
            <w:rStyle w:val="Hyperlink"/>
          </w:rPr>
          <w:t>instrument client advisers</w:t>
        </w:r>
      </w:hyperlink>
      <w:r w:rsidRPr="00DD1ADC">
        <w:t>.</w:t>
      </w:r>
    </w:p>
    <w:p w14:paraId="527C402B" w14:textId="77777777" w:rsidR="0057232B" w:rsidRDefault="0057232B" w:rsidP="00A83991">
      <w:pPr>
        <w:pStyle w:val="Head2"/>
        <w:sectPr w:rsidR="0057232B" w:rsidSect="00E21E71">
          <w:headerReference w:type="default" r:id="rId673"/>
          <w:pgSz w:w="11907" w:h="16839" w:code="9"/>
          <w:pgMar w:top="1440" w:right="1440" w:bottom="1418" w:left="1440" w:header="720" w:footer="720" w:gutter="0"/>
          <w:pgNumType w:start="79"/>
          <w:cols w:sep="1" w:space="567"/>
          <w:docGrid w:linePitch="360"/>
        </w:sectPr>
      </w:pPr>
    </w:p>
    <w:p w14:paraId="3933AFDE" w14:textId="2246066E" w:rsidR="00A83991" w:rsidRDefault="00A83991" w:rsidP="00A83991">
      <w:pPr>
        <w:pStyle w:val="Head2"/>
      </w:pPr>
      <w:bookmarkStart w:id="284" w:name="_Toc183694753"/>
      <w:r>
        <w:lastRenderedPageBreak/>
        <w:t>Appendix A—Sunsetting Checklist</w:t>
      </w:r>
      <w:bookmarkEnd w:id="284"/>
    </w:p>
    <w:p w14:paraId="0EEEAD98" w14:textId="77777777" w:rsidR="00A83991" w:rsidRPr="00D67E97" w:rsidRDefault="00A83991" w:rsidP="00A83991">
      <w:pPr>
        <w:pStyle w:val="BodyNum"/>
        <w:numPr>
          <w:ilvl w:val="0"/>
          <w:numId w:val="6"/>
        </w:numPr>
        <w:ind w:left="709" w:hanging="709"/>
        <w:rPr>
          <w:sz w:val="28"/>
          <w:szCs w:val="26"/>
        </w:rPr>
      </w:pPr>
      <w:r w:rsidRPr="00D67E97">
        <w:rPr>
          <w:sz w:val="28"/>
          <w:szCs w:val="26"/>
        </w:rPr>
        <w:t>Does the instrument pass the fit</w:t>
      </w:r>
      <w:r>
        <w:rPr>
          <w:sz w:val="28"/>
          <w:szCs w:val="26"/>
        </w:rPr>
        <w:noBreakHyphen/>
      </w:r>
      <w:r w:rsidRPr="00D67E97">
        <w:rPr>
          <w:sz w:val="28"/>
          <w:szCs w:val="26"/>
        </w:rPr>
        <w:t>for</w:t>
      </w:r>
      <w:r>
        <w:rPr>
          <w:sz w:val="28"/>
          <w:szCs w:val="26"/>
        </w:rPr>
        <w:noBreakHyphen/>
      </w:r>
      <w:r w:rsidRPr="00D67E97">
        <w:rPr>
          <w:sz w:val="28"/>
          <w:szCs w:val="26"/>
        </w:rPr>
        <w:t>purpose test (see the AGD Guide to Managing Sunsetting of Legislative Instruments)?</w:t>
      </w:r>
    </w:p>
    <w:p w14:paraId="758660CE" w14:textId="77777777" w:rsidR="00A83991" w:rsidRPr="00D67E97" w:rsidRDefault="00A83991" w:rsidP="00A83991">
      <w:pPr>
        <w:pStyle w:val="BodyNum"/>
        <w:numPr>
          <w:ilvl w:val="0"/>
          <w:numId w:val="6"/>
        </w:numPr>
        <w:ind w:left="709" w:hanging="709"/>
        <w:rPr>
          <w:sz w:val="28"/>
          <w:szCs w:val="26"/>
        </w:rPr>
      </w:pPr>
      <w:r w:rsidRPr="00D67E97">
        <w:rPr>
          <w:sz w:val="28"/>
          <w:szCs w:val="26"/>
        </w:rPr>
        <w:t>Is the policy of each provision still necessary and appropriate?</w:t>
      </w:r>
    </w:p>
    <w:p w14:paraId="3F3CAEB4" w14:textId="77777777" w:rsidR="00A83991" w:rsidRPr="002940F0" w:rsidRDefault="00A83991" w:rsidP="00A83991">
      <w:pPr>
        <w:pStyle w:val="BodyNum"/>
        <w:numPr>
          <w:ilvl w:val="0"/>
          <w:numId w:val="6"/>
        </w:numPr>
        <w:ind w:left="709" w:hanging="709"/>
        <w:rPr>
          <w:sz w:val="26"/>
          <w:szCs w:val="26"/>
        </w:rPr>
      </w:pPr>
      <w:r w:rsidRPr="00D67E97">
        <w:rPr>
          <w:sz w:val="28"/>
          <w:szCs w:val="26"/>
        </w:rPr>
        <w:t>Is each provision of the instrument supported by an appropriate head of power in the enabling legislation?</w:t>
      </w:r>
      <w:r w:rsidRPr="00D67E97">
        <w:rPr>
          <w:sz w:val="28"/>
          <w:szCs w:val="26"/>
        </w:rPr>
        <w:br/>
      </w:r>
      <w:r w:rsidRPr="00D67E97">
        <w:rPr>
          <w:sz w:val="22"/>
          <w:szCs w:val="22"/>
        </w:rPr>
        <w:t>The instrument might not explicitly refer to the head of power under which the provision is made. If so, you might need to speak to a drafter in OPC or seek legal advice.</w:t>
      </w:r>
    </w:p>
    <w:p w14:paraId="16071093" w14:textId="77777777" w:rsidR="00A83991" w:rsidRPr="00D67E97" w:rsidRDefault="00A83991" w:rsidP="00A83991">
      <w:pPr>
        <w:pStyle w:val="BodyNum"/>
        <w:numPr>
          <w:ilvl w:val="0"/>
          <w:numId w:val="6"/>
        </w:numPr>
        <w:ind w:left="709" w:hanging="709"/>
        <w:rPr>
          <w:sz w:val="28"/>
          <w:szCs w:val="26"/>
        </w:rPr>
      </w:pPr>
      <w:r w:rsidRPr="00D67E97">
        <w:rPr>
          <w:sz w:val="28"/>
          <w:szCs w:val="26"/>
        </w:rPr>
        <w:t>Are all references in the instrument to the following still appropriate and correct:</w:t>
      </w:r>
    </w:p>
    <w:p w14:paraId="2813A16F" w14:textId="77777777" w:rsidR="00A83991" w:rsidRPr="00D67E97" w:rsidRDefault="00A83991" w:rsidP="00A83991">
      <w:pPr>
        <w:pStyle w:val="BodyNum"/>
        <w:numPr>
          <w:ilvl w:val="1"/>
          <w:numId w:val="5"/>
        </w:numPr>
        <w:spacing w:before="120"/>
        <w:rPr>
          <w:sz w:val="28"/>
          <w:szCs w:val="26"/>
        </w:rPr>
      </w:pPr>
      <w:r w:rsidRPr="00D67E97">
        <w:rPr>
          <w:sz w:val="28"/>
          <w:szCs w:val="26"/>
        </w:rPr>
        <w:t xml:space="preserve">references to laws or other </w:t>
      </w:r>
      <w:proofErr w:type="gramStart"/>
      <w:r w:rsidRPr="00D67E97">
        <w:rPr>
          <w:sz w:val="28"/>
          <w:szCs w:val="26"/>
        </w:rPr>
        <w:t>instruments;</w:t>
      </w:r>
      <w:proofErr w:type="gramEnd"/>
    </w:p>
    <w:p w14:paraId="1424E47C" w14:textId="77777777" w:rsidR="00A83991" w:rsidRPr="00D67E97" w:rsidRDefault="00A83991" w:rsidP="00A83991">
      <w:pPr>
        <w:pStyle w:val="BodyNum"/>
        <w:numPr>
          <w:ilvl w:val="1"/>
          <w:numId w:val="5"/>
        </w:numPr>
        <w:spacing w:before="120"/>
        <w:rPr>
          <w:sz w:val="28"/>
          <w:szCs w:val="26"/>
        </w:rPr>
      </w:pPr>
      <w:r w:rsidRPr="00D67E97">
        <w:rPr>
          <w:sz w:val="28"/>
          <w:szCs w:val="26"/>
        </w:rPr>
        <w:t>references to persons, organisations or bodies.</w:t>
      </w:r>
    </w:p>
    <w:p w14:paraId="665E359F" w14:textId="77777777" w:rsidR="00A83991" w:rsidRPr="00D67E97" w:rsidRDefault="00A83991" w:rsidP="00A83991">
      <w:pPr>
        <w:pStyle w:val="Body"/>
        <w:spacing w:before="120"/>
        <w:ind w:left="709"/>
        <w:rPr>
          <w:sz w:val="22"/>
          <w:szCs w:val="26"/>
        </w:rPr>
      </w:pPr>
      <w:r w:rsidRPr="00D67E97">
        <w:rPr>
          <w:sz w:val="22"/>
          <w:szCs w:val="26"/>
        </w:rPr>
        <w:t>This might require checking those references in the laws of the Commonwealth, a State or a Territory, or in instruments made by another person, organisation or body.</w:t>
      </w:r>
    </w:p>
    <w:p w14:paraId="473C0707" w14:textId="77777777" w:rsidR="00A83991" w:rsidRPr="00553A4A" w:rsidRDefault="00A83991" w:rsidP="00A83991">
      <w:pPr>
        <w:pStyle w:val="BodyNum"/>
        <w:numPr>
          <w:ilvl w:val="0"/>
          <w:numId w:val="6"/>
        </w:numPr>
        <w:ind w:left="709" w:hanging="709"/>
        <w:rPr>
          <w:sz w:val="28"/>
          <w:szCs w:val="26"/>
        </w:rPr>
      </w:pPr>
      <w:r w:rsidRPr="00553A4A">
        <w:rPr>
          <w:sz w:val="28"/>
          <w:szCs w:val="26"/>
        </w:rPr>
        <w:t>Does each provision of the instrument meet OPC drafting and publishing standards?</w:t>
      </w:r>
    </w:p>
    <w:p w14:paraId="64E67174" w14:textId="77777777" w:rsidR="00A83991" w:rsidRPr="00553A4A" w:rsidRDefault="00A83991" w:rsidP="00A83991">
      <w:pPr>
        <w:pStyle w:val="BodyNum"/>
        <w:numPr>
          <w:ilvl w:val="0"/>
          <w:numId w:val="6"/>
        </w:numPr>
        <w:ind w:left="709" w:hanging="709"/>
        <w:rPr>
          <w:sz w:val="28"/>
          <w:szCs w:val="26"/>
        </w:rPr>
      </w:pPr>
      <w:proofErr w:type="gramStart"/>
      <w:r w:rsidRPr="00553A4A">
        <w:rPr>
          <w:sz w:val="28"/>
          <w:szCs w:val="26"/>
        </w:rPr>
        <w:t>Are</w:t>
      </w:r>
      <w:proofErr w:type="gramEnd"/>
      <w:r w:rsidRPr="00553A4A">
        <w:rPr>
          <w:sz w:val="28"/>
          <w:szCs w:val="26"/>
        </w:rPr>
        <w:t xml:space="preserve"> any application, transitional or savings issues raised by repealing the instrument?</w:t>
      </w:r>
    </w:p>
    <w:p w14:paraId="779B6E24" w14:textId="77777777" w:rsidR="00A83991" w:rsidRPr="00553A4A" w:rsidRDefault="00A83991" w:rsidP="00A83991">
      <w:pPr>
        <w:pStyle w:val="BodyNum"/>
        <w:numPr>
          <w:ilvl w:val="0"/>
          <w:numId w:val="6"/>
        </w:numPr>
        <w:ind w:left="709" w:hanging="709"/>
        <w:rPr>
          <w:sz w:val="28"/>
          <w:szCs w:val="26"/>
        </w:rPr>
      </w:pPr>
      <w:r w:rsidRPr="00553A4A">
        <w:rPr>
          <w:sz w:val="28"/>
          <w:szCs w:val="26"/>
        </w:rPr>
        <w:t xml:space="preserve">If the instrument is not to be </w:t>
      </w:r>
      <w:r>
        <w:rPr>
          <w:sz w:val="28"/>
          <w:szCs w:val="26"/>
        </w:rPr>
        <w:t>replaced</w:t>
      </w:r>
      <w:r w:rsidRPr="00553A4A">
        <w:rPr>
          <w:sz w:val="28"/>
          <w:szCs w:val="26"/>
        </w:rPr>
        <w:t>, has the instrument been repealed?</w:t>
      </w:r>
    </w:p>
    <w:p w14:paraId="20DD56B6" w14:textId="77777777" w:rsidR="00A83991" w:rsidRPr="00553A4A" w:rsidRDefault="00A83991" w:rsidP="00A83991">
      <w:pPr>
        <w:pStyle w:val="BodyNum"/>
        <w:numPr>
          <w:ilvl w:val="0"/>
          <w:numId w:val="6"/>
        </w:numPr>
        <w:ind w:left="709" w:hanging="709"/>
        <w:rPr>
          <w:sz w:val="28"/>
          <w:szCs w:val="26"/>
        </w:rPr>
      </w:pPr>
      <w:r w:rsidRPr="00553A4A">
        <w:rPr>
          <w:sz w:val="28"/>
          <w:szCs w:val="26"/>
        </w:rPr>
        <w:t xml:space="preserve">If the instrument is to be </w:t>
      </w:r>
      <w:r>
        <w:rPr>
          <w:sz w:val="28"/>
          <w:szCs w:val="26"/>
        </w:rPr>
        <w:t>replaced</w:t>
      </w:r>
      <w:r w:rsidRPr="00553A4A">
        <w:rPr>
          <w:sz w:val="28"/>
          <w:szCs w:val="26"/>
        </w:rPr>
        <w:t>, have all prerequisites required by the enabling legislation before making the new instrument been complied with?</w:t>
      </w:r>
    </w:p>
    <w:p w14:paraId="665452DD" w14:textId="77777777" w:rsidR="00A83991" w:rsidRPr="00553A4A" w:rsidRDefault="00A83991" w:rsidP="00A83991">
      <w:pPr>
        <w:pStyle w:val="BodyNum"/>
        <w:numPr>
          <w:ilvl w:val="0"/>
          <w:numId w:val="6"/>
        </w:numPr>
        <w:ind w:left="709" w:hanging="709"/>
        <w:rPr>
          <w:sz w:val="28"/>
          <w:szCs w:val="26"/>
        </w:rPr>
      </w:pPr>
      <w:r w:rsidRPr="00553A4A">
        <w:rPr>
          <w:sz w:val="28"/>
          <w:szCs w:val="26"/>
        </w:rPr>
        <w:t xml:space="preserve">If the instrument is to be </w:t>
      </w:r>
      <w:r>
        <w:rPr>
          <w:sz w:val="28"/>
          <w:szCs w:val="26"/>
        </w:rPr>
        <w:t>replaced</w:t>
      </w:r>
      <w:r w:rsidRPr="00553A4A">
        <w:rPr>
          <w:sz w:val="28"/>
          <w:szCs w:val="26"/>
        </w:rPr>
        <w:t>, does the new instrument have a unique name, and a commencement provision?</w:t>
      </w:r>
    </w:p>
    <w:p w14:paraId="4BFBE4D1" w14:textId="77777777" w:rsidR="00A83991" w:rsidRPr="00553A4A" w:rsidRDefault="00A83991" w:rsidP="00A83991">
      <w:pPr>
        <w:pStyle w:val="BodyNum"/>
        <w:numPr>
          <w:ilvl w:val="0"/>
          <w:numId w:val="6"/>
        </w:numPr>
        <w:ind w:left="709" w:hanging="709"/>
        <w:rPr>
          <w:sz w:val="28"/>
          <w:szCs w:val="26"/>
        </w:rPr>
      </w:pPr>
      <w:r w:rsidRPr="00553A4A">
        <w:rPr>
          <w:sz w:val="28"/>
          <w:szCs w:val="26"/>
        </w:rPr>
        <w:t>Have you considered the power to make any instruments that are made under the legislative instrument, and the character of those instruments?</w:t>
      </w:r>
    </w:p>
    <w:p w14:paraId="1985FB6C" w14:textId="77777777" w:rsidR="00A83991" w:rsidRPr="00553A4A" w:rsidRDefault="00A83991" w:rsidP="00A83991">
      <w:pPr>
        <w:pStyle w:val="BodyNum"/>
        <w:numPr>
          <w:ilvl w:val="0"/>
          <w:numId w:val="6"/>
        </w:numPr>
        <w:ind w:left="709" w:hanging="709"/>
        <w:rPr>
          <w:sz w:val="28"/>
          <w:szCs w:val="26"/>
        </w:rPr>
      </w:pPr>
      <w:r w:rsidRPr="00553A4A">
        <w:rPr>
          <w:sz w:val="28"/>
          <w:szCs w:val="26"/>
        </w:rPr>
        <w:t xml:space="preserve">Are any consequential amendments required to any other instruments because the instrument is </w:t>
      </w:r>
      <w:proofErr w:type="gramStart"/>
      <w:r w:rsidRPr="00553A4A">
        <w:rPr>
          <w:sz w:val="28"/>
          <w:szCs w:val="26"/>
        </w:rPr>
        <w:t>to</w:t>
      </w:r>
      <w:proofErr w:type="gramEnd"/>
      <w:r w:rsidRPr="00553A4A">
        <w:rPr>
          <w:sz w:val="28"/>
          <w:szCs w:val="26"/>
        </w:rPr>
        <w:t xml:space="preserve"> sunset or be re</w:t>
      </w:r>
      <w:r>
        <w:rPr>
          <w:sz w:val="28"/>
          <w:szCs w:val="26"/>
        </w:rPr>
        <w:t>placed</w:t>
      </w:r>
      <w:r w:rsidRPr="00553A4A">
        <w:rPr>
          <w:sz w:val="28"/>
          <w:szCs w:val="26"/>
        </w:rPr>
        <w:t>?</w:t>
      </w:r>
    </w:p>
    <w:p w14:paraId="68B0B743" w14:textId="77777777" w:rsidR="007C560F" w:rsidRDefault="007C560F" w:rsidP="00A83991">
      <w:pPr>
        <w:sectPr w:rsidR="007C560F" w:rsidSect="004907F0">
          <w:headerReference w:type="default" r:id="rId674"/>
          <w:pgSz w:w="11907" w:h="16839" w:code="9"/>
          <w:pgMar w:top="1440" w:right="1440" w:bottom="1418" w:left="1440" w:header="720" w:footer="720" w:gutter="0"/>
          <w:cols w:sep="1" w:space="567"/>
          <w:docGrid w:linePitch="360"/>
        </w:sectPr>
      </w:pPr>
    </w:p>
    <w:p w14:paraId="44DE2EAB" w14:textId="77777777" w:rsidR="00A83991" w:rsidRPr="00FD274F" w:rsidRDefault="00A83991" w:rsidP="00A83991">
      <w:pPr>
        <w:pStyle w:val="Head2"/>
      </w:pPr>
      <w:bookmarkStart w:id="285" w:name="_Toc183694754"/>
      <w:bookmarkStart w:id="286" w:name="_Hlk175125165"/>
      <w:r w:rsidRPr="00FD274F">
        <w:lastRenderedPageBreak/>
        <w:t>Further reading</w:t>
      </w:r>
      <w:bookmarkEnd w:id="285"/>
    </w:p>
    <w:p w14:paraId="1AB12E77" w14:textId="77777777" w:rsidR="00A83991" w:rsidRPr="00FD274F" w:rsidRDefault="00A83991" w:rsidP="00A83991">
      <w:pPr>
        <w:pStyle w:val="Head3"/>
      </w:pPr>
      <w:bookmarkStart w:id="287" w:name="_Toc183694755"/>
      <w:r w:rsidRPr="002F14DE">
        <w:t>Key legislation</w:t>
      </w:r>
      <w:bookmarkEnd w:id="287"/>
    </w:p>
    <w:p w14:paraId="1A5044A1" w14:textId="474AF9B5" w:rsidR="00A83991" w:rsidRPr="00FD274F" w:rsidRDefault="00A83991" w:rsidP="00A83991">
      <w:pPr>
        <w:pStyle w:val="Body"/>
        <w:spacing w:before="120"/>
        <w:contextualSpacing/>
        <w:rPr>
          <w:i/>
          <w:color w:val="0000FF"/>
        </w:rPr>
      </w:pPr>
      <w:hyperlink r:id="rId675" w:history="1">
        <w:hyperlink r:id="rId676" w:history="1">
          <w:r w:rsidRPr="00FD274F">
            <w:rPr>
              <w:rStyle w:val="Hyperlink"/>
              <w:i/>
            </w:rPr>
            <w:t>Acts Interpretation Act 1901</w:t>
          </w:r>
        </w:hyperlink>
      </w:hyperlink>
      <w:r>
        <w:rPr>
          <w:rStyle w:val="Hyperlink"/>
          <w:i/>
        </w:rPr>
        <w:br/>
      </w:r>
      <w:hyperlink r:id="rId677" w:history="1">
        <w:r w:rsidRPr="00FD274F">
          <w:rPr>
            <w:rStyle w:val="Hyperlink"/>
            <w:i/>
          </w:rPr>
          <w:t>Legislation Act 2003</w:t>
        </w:r>
      </w:hyperlink>
      <w:r>
        <w:rPr>
          <w:rStyle w:val="Hyperlink"/>
          <w:i/>
        </w:rPr>
        <w:br/>
      </w:r>
      <w:hyperlink r:id="rId678" w:history="1">
        <w:r w:rsidRPr="00FD274F">
          <w:rPr>
            <w:rStyle w:val="Hyperlink"/>
            <w:i/>
          </w:rPr>
          <w:t>Legislation (Exemptions and Other Matters) Regulation 2015</w:t>
        </w:r>
      </w:hyperlink>
      <w:r w:rsidRPr="00FD274F">
        <w:rPr>
          <w:rStyle w:val="Hyperlink"/>
          <w:i/>
        </w:rPr>
        <w:br/>
      </w:r>
      <w:hyperlink r:id="rId679" w:history="1">
        <w:r w:rsidRPr="00FD274F">
          <w:rPr>
            <w:rStyle w:val="Hyperlink"/>
            <w:i/>
          </w:rPr>
          <w:t>Legislation Rule 2016</w:t>
        </w:r>
      </w:hyperlink>
    </w:p>
    <w:p w14:paraId="14658D36" w14:textId="77777777" w:rsidR="00A83991" w:rsidRPr="00FD274F" w:rsidRDefault="00A83991" w:rsidP="00A83991">
      <w:pPr>
        <w:pStyle w:val="Head3"/>
        <w:spacing w:before="360"/>
      </w:pPr>
      <w:bookmarkStart w:id="288" w:name="_Toc183694756"/>
      <w:r w:rsidRPr="002F14DE">
        <w:t>Guidance material</w:t>
      </w:r>
      <w:bookmarkEnd w:id="288"/>
    </w:p>
    <w:p w14:paraId="16E7175A" w14:textId="225A7929" w:rsidR="00A83991" w:rsidRPr="00FD274F" w:rsidRDefault="00A83991" w:rsidP="00A83991">
      <w:pPr>
        <w:pStyle w:val="Body"/>
        <w:spacing w:before="120"/>
        <w:rPr>
          <w:rStyle w:val="Hyperlink"/>
          <w:color w:val="auto"/>
        </w:rPr>
      </w:pPr>
      <w:r w:rsidRPr="00FD274F">
        <w:t>AGD guidance on human righ</w:t>
      </w:r>
      <w:r>
        <w:t>ts scrutiny</w:t>
      </w:r>
      <w:r>
        <w:br/>
      </w:r>
      <w:hyperlink r:id="rId680" w:history="1">
        <w:r w:rsidRPr="005E54AC">
          <w:rPr>
            <w:rStyle w:val="Hyperlink"/>
          </w:rPr>
          <w:t>https://www.ag.gov.au/rights-and-protections/human-rights-and-anti-discrimination/human-rights-scrutin</w:t>
        </w:r>
      </w:hyperlink>
      <w:r w:rsidRPr="005E54AC">
        <w:t>y</w:t>
      </w:r>
    </w:p>
    <w:p w14:paraId="3A779D28" w14:textId="03E6DCA9" w:rsidR="00A83991" w:rsidRPr="00FD274F" w:rsidRDefault="00A83991" w:rsidP="00A83991">
      <w:pPr>
        <w:pStyle w:val="Body"/>
        <w:spacing w:before="120"/>
        <w:rPr>
          <w:rStyle w:val="Hyperlink"/>
        </w:rPr>
      </w:pPr>
      <w:r w:rsidRPr="00FD274F">
        <w:rPr>
          <w:spacing w:val="-6"/>
        </w:rPr>
        <w:t>AGD Guide to Framing Commonwealth Offences, Infringements Notices and Enforcement Powers</w:t>
      </w:r>
      <w:r w:rsidRPr="00FD274F">
        <w:br/>
      </w:r>
      <w:hyperlink r:id="rId681" w:history="1">
        <w:r w:rsidRPr="005E54AC">
          <w:rPr>
            <w:rStyle w:val="Hyperlink"/>
          </w:rPr>
          <w:t>https://www.ag.gov.au/legal-system/publications/guide-framing-commonwealth-offences-infringement-notices-and-enforcement-powers</w:t>
        </w:r>
      </w:hyperlink>
    </w:p>
    <w:p w14:paraId="19D4C99F" w14:textId="40A85129" w:rsidR="00A83991" w:rsidRPr="00FD274F" w:rsidRDefault="00A83991" w:rsidP="00A83991">
      <w:pPr>
        <w:pStyle w:val="Body"/>
        <w:spacing w:before="120"/>
        <w:rPr>
          <w:rStyle w:val="Hyperlink"/>
          <w:szCs w:val="24"/>
        </w:rPr>
      </w:pPr>
      <w:r w:rsidRPr="00FD274F">
        <w:rPr>
          <w:szCs w:val="24"/>
        </w:rPr>
        <w:t xml:space="preserve">AGD Guide to Managing Sunsetting of Legislative Instruments </w:t>
      </w:r>
      <w:r w:rsidRPr="00FD274F">
        <w:rPr>
          <w:szCs w:val="24"/>
        </w:rPr>
        <w:br/>
      </w:r>
      <w:hyperlink r:id="rId682" w:history="1">
        <w:hyperlink r:id="rId683" w:history="1">
          <w:r w:rsidRPr="00EA7EDE">
            <w:rPr>
              <w:rStyle w:val="Hyperlink"/>
            </w:rPr>
            <w:t>https://www.ag.gov.au/legal-system/administrative-law/legislation-act-2003</w:t>
          </w:r>
        </w:hyperlink>
      </w:hyperlink>
    </w:p>
    <w:p w14:paraId="1347942F" w14:textId="143E5FD3" w:rsidR="00A83991" w:rsidRPr="00013845" w:rsidRDefault="00A83991" w:rsidP="00A83991">
      <w:pPr>
        <w:pStyle w:val="Body"/>
        <w:spacing w:before="120"/>
      </w:pPr>
      <w:r w:rsidRPr="00013845">
        <w:t xml:space="preserve">The Australian Government Guide to </w:t>
      </w:r>
      <w:r w:rsidRPr="005E54AC">
        <w:t>Delivering Great Policy</w:t>
      </w:r>
      <w:r w:rsidRPr="00013845">
        <w:br/>
      </w:r>
      <w:hyperlink r:id="rId684" w:history="1">
        <w:r w:rsidRPr="005E54AC">
          <w:rPr>
            <w:rStyle w:val="Hyperlink"/>
          </w:rPr>
          <w:t>https://www.apsacademy.gov.au/aps-craft/strategy-policy-evaluation/delivering-great-policy</w:t>
        </w:r>
      </w:hyperlink>
    </w:p>
    <w:p w14:paraId="3C0C8420" w14:textId="37EED188" w:rsidR="00A83991" w:rsidRPr="00433C0A" w:rsidRDefault="00A83991" w:rsidP="00A83991">
      <w:pPr>
        <w:pStyle w:val="Body"/>
        <w:spacing w:before="120"/>
        <w:rPr>
          <w:spacing w:val="-6"/>
          <w:sz w:val="36"/>
        </w:rPr>
      </w:pPr>
      <w:r w:rsidRPr="00574CB5">
        <w:t>Federal Executive Council Handbook</w:t>
      </w:r>
      <w:r w:rsidRPr="00574CB5">
        <w:rPr>
          <w:rStyle w:val="Hyperlink"/>
          <w:highlight w:val="green"/>
        </w:rPr>
        <w:br/>
      </w:r>
      <w:hyperlink r:id="rId685" w:history="1">
        <w:r w:rsidRPr="005E54AC">
          <w:rPr>
            <w:rStyle w:val="Hyperlink"/>
          </w:rPr>
          <w:t>https://www.pmc.gov.au/resources/federal-executive-council-handbook-2021</w:t>
        </w:r>
      </w:hyperlink>
    </w:p>
    <w:p w14:paraId="1F7C39DD" w14:textId="5FE92ADE" w:rsidR="00210BAB" w:rsidRDefault="00A83991" w:rsidP="00A83991">
      <w:pPr>
        <w:pStyle w:val="Body"/>
        <w:spacing w:before="120"/>
        <w:rPr>
          <w:rStyle w:val="Hyperlink"/>
        </w:rPr>
      </w:pPr>
      <w:r w:rsidRPr="00433C0A">
        <w:t>Guidelines for the Presentation of Documents to the Parliament</w:t>
      </w:r>
      <w:r w:rsidRPr="00433C0A">
        <w:br/>
      </w:r>
      <w:hyperlink r:id="rId686" w:history="1">
        <w:r w:rsidRPr="004443F8">
          <w:rPr>
            <w:rStyle w:val="Hyperlink"/>
          </w:rPr>
          <w:t>https://www.pmc.gov.au/resources/tabling-guidelines</w:t>
        </w:r>
      </w:hyperlink>
    </w:p>
    <w:p w14:paraId="6C02D648" w14:textId="0F1E6609" w:rsidR="00A83991" w:rsidRPr="00FD274F" w:rsidRDefault="00A83991" w:rsidP="00A83991">
      <w:pPr>
        <w:pStyle w:val="Body"/>
        <w:spacing w:before="120"/>
        <w:rPr>
          <w:rStyle w:val="Hyperlink"/>
        </w:rPr>
      </w:pPr>
      <w:r w:rsidRPr="00433C0A">
        <w:t>Legislation Handbook</w:t>
      </w:r>
      <w:r w:rsidRPr="00433C0A">
        <w:br/>
      </w:r>
      <w:hyperlink r:id="rId687" w:history="1">
        <w:r w:rsidRPr="004443F8">
          <w:rPr>
            <w:rStyle w:val="Hyperlink"/>
          </w:rPr>
          <w:t>https://www.pmc.gov.au/resources/legislation-handbook</w:t>
        </w:r>
      </w:hyperlink>
    </w:p>
    <w:bookmarkEnd w:id="286"/>
    <w:p w14:paraId="43E3849D" w14:textId="1C3D2384" w:rsidR="00A83991" w:rsidRPr="00FD274F" w:rsidRDefault="00A83991" w:rsidP="00A83991">
      <w:pPr>
        <w:pStyle w:val="Body"/>
        <w:spacing w:before="120"/>
        <w:rPr>
          <w:rStyle w:val="Hyperlink"/>
        </w:rPr>
      </w:pPr>
      <w:r w:rsidRPr="00FD274F">
        <w:t>Legislation Proposal Advice—OPC client advisers list</w:t>
      </w:r>
      <w:r w:rsidRPr="00FD274F">
        <w:br/>
      </w:r>
      <w:hyperlink r:id="rId688" w:history="1">
        <w:r>
          <w:rPr>
            <w:rStyle w:val="Hyperlink"/>
          </w:rPr>
          <w:t>https://www.opc.gov.au/drafting</w:t>
        </w:r>
        <w:r>
          <w:rPr>
            <w:rStyle w:val="Hyperlink"/>
          </w:rPr>
          <w:noBreakHyphen/>
          <w:t>resources/client</w:t>
        </w:r>
        <w:r>
          <w:rPr>
            <w:rStyle w:val="Hyperlink"/>
          </w:rPr>
          <w:noBreakHyphen/>
          <w:t>advisers</w:t>
        </w:r>
      </w:hyperlink>
      <w:r w:rsidRPr="00FD274F">
        <w:t xml:space="preserve"> </w:t>
      </w:r>
    </w:p>
    <w:p w14:paraId="002533B0" w14:textId="77777777" w:rsidR="00C11C06" w:rsidRPr="00EB1638" w:rsidRDefault="00C11C06" w:rsidP="00C11C06">
      <w:pPr>
        <w:pStyle w:val="Body"/>
        <w:spacing w:before="120"/>
        <w:rPr>
          <w:rStyle w:val="Hyperlink"/>
          <w:color w:val="auto"/>
        </w:rPr>
      </w:pPr>
      <w:r w:rsidRPr="00FD274F">
        <w:t>OPC Drafting Directions</w:t>
      </w:r>
      <w:r w:rsidRPr="00FD274F">
        <w:rPr>
          <w:rStyle w:val="Hyperlink"/>
        </w:rPr>
        <w:br/>
      </w:r>
      <w:hyperlink r:id="rId689" w:history="1">
        <w:r>
          <w:rPr>
            <w:rStyle w:val="Hyperlink"/>
          </w:rPr>
          <w:t>https://www.opc.gov.au/drafting</w:t>
        </w:r>
        <w:r>
          <w:rPr>
            <w:rStyle w:val="Hyperlink"/>
          </w:rPr>
          <w:noBreakHyphen/>
          <w:t>resources/drafting</w:t>
        </w:r>
        <w:r>
          <w:rPr>
            <w:rStyle w:val="Hyperlink"/>
          </w:rPr>
          <w:noBreakHyphen/>
          <w:t>directions</w:t>
        </w:r>
      </w:hyperlink>
    </w:p>
    <w:p w14:paraId="656A0CC6" w14:textId="77777777" w:rsidR="00C11C06" w:rsidRPr="00FD274F" w:rsidRDefault="00C11C06" w:rsidP="00C11C06">
      <w:pPr>
        <w:pStyle w:val="Body"/>
        <w:spacing w:before="120"/>
        <w:rPr>
          <w:rStyle w:val="Hyperlink"/>
        </w:rPr>
      </w:pPr>
      <w:r w:rsidRPr="00FD274F">
        <w:t>OPC Drafting Manuals</w:t>
      </w:r>
      <w:r w:rsidRPr="00FD274F">
        <w:rPr>
          <w:rStyle w:val="Hyperlink"/>
        </w:rPr>
        <w:br/>
      </w:r>
      <w:hyperlink r:id="rId690" w:history="1">
        <w:r>
          <w:rPr>
            <w:rStyle w:val="Hyperlink"/>
          </w:rPr>
          <w:t>https://www.opc.gov.au/drafting-resources/drafting-general</w:t>
        </w:r>
      </w:hyperlink>
    </w:p>
    <w:p w14:paraId="0A6349A3" w14:textId="67B94D99" w:rsidR="00A83991" w:rsidRPr="00FD274F" w:rsidRDefault="00A83991" w:rsidP="00A83991">
      <w:pPr>
        <w:pStyle w:val="Body"/>
        <w:spacing w:before="120"/>
        <w:rPr>
          <w:rStyle w:val="Hyperlink"/>
        </w:rPr>
      </w:pPr>
      <w:r w:rsidRPr="00FD274F">
        <w:t>OPC’s draftin</w:t>
      </w:r>
      <w:r>
        <w:t>g services: a guide for clients</w:t>
      </w:r>
      <w:r w:rsidRPr="00FD274F">
        <w:rPr>
          <w:rStyle w:val="Hyperlink"/>
        </w:rPr>
        <w:br/>
      </w:r>
      <w:hyperlink r:id="rId691" w:history="1">
        <w:r w:rsidR="00A15B9B">
          <w:rPr>
            <w:rStyle w:val="Hyperlink"/>
          </w:rPr>
          <w:t>https://www.opc.gov.au/publications/opcs-drafting-services-guide-clients</w:t>
        </w:r>
      </w:hyperlink>
    </w:p>
    <w:p w14:paraId="2A55E590" w14:textId="343CF50C" w:rsidR="00A83991" w:rsidRPr="00FD274F" w:rsidRDefault="00A83991" w:rsidP="00A83991">
      <w:pPr>
        <w:pStyle w:val="Body"/>
        <w:spacing w:before="120"/>
        <w:rPr>
          <w:rStyle w:val="Hyperlink"/>
        </w:rPr>
      </w:pPr>
      <w:r w:rsidRPr="00FD274F">
        <w:t>Parliamentary Joint Committee on Human Rights—Guidance Notes and Resources</w:t>
      </w:r>
      <w:r w:rsidRPr="00FD274F">
        <w:br/>
      </w:r>
      <w:hyperlink r:id="rId692" w:history="1">
        <w:r w:rsidRPr="00FD274F">
          <w:rPr>
            <w:rStyle w:val="Hyperlink"/>
          </w:rPr>
          <w:t>http</w:t>
        </w:r>
        <w:r>
          <w:rPr>
            <w:rStyle w:val="Hyperlink"/>
          </w:rPr>
          <w:t>s</w:t>
        </w:r>
        <w:r w:rsidRPr="00FD274F">
          <w:rPr>
            <w:rStyle w:val="Hyperlink"/>
          </w:rPr>
          <w:t>://www.aph.gov.au/Parliamentary_Business/Committees/Joint/Human_Rights/Guidance_Notes_and_Resources</w:t>
        </w:r>
      </w:hyperlink>
    </w:p>
    <w:p w14:paraId="3C548839" w14:textId="2191A135" w:rsidR="00A83991" w:rsidRPr="00FD274F" w:rsidRDefault="00A83991" w:rsidP="00A83991">
      <w:pPr>
        <w:pStyle w:val="Body"/>
        <w:spacing w:before="120"/>
        <w:rPr>
          <w:rStyle w:val="Hyperlink"/>
        </w:rPr>
      </w:pPr>
      <w:r w:rsidRPr="00FD274F">
        <w:t xml:space="preserve">Senate Standing Committee </w:t>
      </w:r>
      <w:r>
        <w:t>for the Scrutiny of Delegated Legislation</w:t>
      </w:r>
      <w:r w:rsidRPr="00FD274F">
        <w:t>—Committee guidelines</w:t>
      </w:r>
      <w:r w:rsidRPr="00FD274F">
        <w:br/>
      </w:r>
      <w:hyperlink r:id="rId693" w:history="1">
        <w:r w:rsidRPr="00FD274F">
          <w:rPr>
            <w:rStyle w:val="Hyperlink"/>
          </w:rPr>
          <w:t>http</w:t>
        </w:r>
        <w:r>
          <w:rPr>
            <w:rStyle w:val="Hyperlink"/>
          </w:rPr>
          <w:t>s</w:t>
        </w:r>
        <w:r w:rsidRPr="00FD274F">
          <w:rPr>
            <w:rStyle w:val="Hyperlink"/>
          </w:rPr>
          <w:t xml:space="preserve">://www.aph.gov.au/Parliamentary_Business/Committees/Senate/Regulations_and_Ordinances/Guidelines </w:t>
        </w:r>
      </w:hyperlink>
    </w:p>
    <w:bookmarkEnd w:id="144"/>
    <w:p w14:paraId="26086F1A" w14:textId="16F3886E" w:rsidR="00D2302D" w:rsidRPr="00FD274F" w:rsidRDefault="00D2302D" w:rsidP="00D2302D">
      <w:pPr>
        <w:pStyle w:val="Head2"/>
        <w:sectPr w:rsidR="00D2302D" w:rsidRPr="00FD274F" w:rsidSect="004907F0">
          <w:headerReference w:type="default" r:id="rId694"/>
          <w:pgSz w:w="11907" w:h="16839" w:code="9"/>
          <w:pgMar w:top="1440" w:right="1440" w:bottom="1418" w:left="1440" w:header="720" w:footer="720" w:gutter="0"/>
          <w:cols w:sep="1" w:space="567"/>
          <w:docGrid w:linePitch="360"/>
        </w:sectPr>
      </w:pPr>
    </w:p>
    <w:p w14:paraId="632CED71" w14:textId="119BC5D1" w:rsidR="00727ED5" w:rsidRPr="00FD274F" w:rsidRDefault="00727ED5" w:rsidP="004734E3">
      <w:pPr>
        <w:pStyle w:val="Head2"/>
      </w:pPr>
      <w:bookmarkStart w:id="289" w:name="_Toc183694757"/>
      <w:r w:rsidRPr="002F14DE">
        <w:lastRenderedPageBreak/>
        <w:t>Useful contacts</w:t>
      </w:r>
      <w:bookmarkEnd w:id="289"/>
    </w:p>
    <w:p w14:paraId="4D9DE2B7" w14:textId="77777777" w:rsidR="00727ED5" w:rsidRPr="00FD274F" w:rsidRDefault="00727ED5" w:rsidP="004734E3">
      <w:pPr>
        <w:pStyle w:val="Head2"/>
        <w:sectPr w:rsidR="00727ED5" w:rsidRPr="00FD274F" w:rsidSect="004907F0">
          <w:headerReference w:type="default" r:id="rId695"/>
          <w:pgSz w:w="11907" w:h="16839" w:code="9"/>
          <w:pgMar w:top="1440" w:right="1440" w:bottom="1418" w:left="1440" w:header="720" w:footer="720" w:gutter="0"/>
          <w:cols w:sep="1" w:space="567"/>
          <w:docGrid w:linePitch="360"/>
        </w:sectPr>
      </w:pPr>
    </w:p>
    <w:p w14:paraId="3D0F5814" w14:textId="77777777" w:rsidR="00727ED5" w:rsidRPr="00FD274F" w:rsidRDefault="00727ED5" w:rsidP="004855B6">
      <w:pPr>
        <w:pStyle w:val="Head3"/>
      </w:pPr>
      <w:bookmarkStart w:id="290" w:name="_Toc183694758"/>
      <w:r w:rsidRPr="00FD274F">
        <w:t>Office of Parliamentary Counsel</w:t>
      </w:r>
      <w:bookmarkEnd w:id="290"/>
    </w:p>
    <w:p w14:paraId="10B2C9B1"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Instrument drafting services</w:t>
      </w:r>
    </w:p>
    <w:p w14:paraId="35F03749" w14:textId="6AE22B8B" w:rsidR="00727ED5" w:rsidRPr="00FD274F" w:rsidRDefault="00727ED5" w:rsidP="00727ED5">
      <w:pPr>
        <w:pStyle w:val="Body"/>
        <w:spacing w:before="120"/>
      </w:pPr>
      <w:hyperlink r:id="rId696" w:history="1">
        <w:r w:rsidRPr="00FD274F">
          <w:rPr>
            <w:rStyle w:val="Hyperlink"/>
          </w:rPr>
          <w:t>instrument.instructions@opc.gov.au</w:t>
        </w:r>
      </w:hyperlink>
    </w:p>
    <w:p w14:paraId="5B85B6E5" w14:textId="01AD63AB" w:rsidR="00727ED5" w:rsidRPr="00FD274F" w:rsidRDefault="00365E38" w:rsidP="00727ED5">
      <w:pPr>
        <w:pStyle w:val="Body"/>
        <w:spacing w:before="120"/>
      </w:pPr>
      <w:r w:rsidRPr="00FD274F">
        <w:t>o</w:t>
      </w:r>
      <w:r w:rsidR="00466C26" w:rsidRPr="00FD274F">
        <w:t xml:space="preserve">r </w:t>
      </w:r>
      <w:r w:rsidR="00360D0F" w:rsidRPr="00FD274F">
        <w:t xml:space="preserve">contact </w:t>
      </w:r>
      <w:r w:rsidR="00180BA2" w:rsidRPr="00FD274F">
        <w:t>OPC</w:t>
      </w:r>
      <w:r w:rsidR="00134C62">
        <w:t>’s</w:t>
      </w:r>
      <w:r w:rsidR="00180BA2" w:rsidRPr="00FD274F">
        <w:t xml:space="preserve"> instrument</w:t>
      </w:r>
      <w:r w:rsidR="00F23FE8">
        <w:t xml:space="preserve"> client adviser</w:t>
      </w:r>
      <w:r w:rsidR="00134C62">
        <w:t>s</w:t>
      </w:r>
      <w:r w:rsidRPr="00FD274F">
        <w:br/>
        <w:t>(</w:t>
      </w:r>
      <w:hyperlink r:id="rId697" w:history="1">
        <w:r w:rsidR="00BC647B">
          <w:rPr>
            <w:rStyle w:val="Hyperlink"/>
          </w:rPr>
          <w:t>https://www.opc.gov.au/drafting</w:t>
        </w:r>
        <w:r w:rsidR="009C4251">
          <w:rPr>
            <w:rStyle w:val="Hyperlink"/>
          </w:rPr>
          <w:noBreakHyphen/>
        </w:r>
        <w:r w:rsidR="00BC647B">
          <w:rPr>
            <w:rStyle w:val="Hyperlink"/>
          </w:rPr>
          <w:t>resources/client</w:t>
        </w:r>
        <w:r w:rsidR="009C4251">
          <w:rPr>
            <w:rStyle w:val="Hyperlink"/>
          </w:rPr>
          <w:noBreakHyphen/>
        </w:r>
        <w:r w:rsidR="00BC647B">
          <w:rPr>
            <w:rStyle w:val="Hyperlink"/>
          </w:rPr>
          <w:t>advisers</w:t>
        </w:r>
      </w:hyperlink>
      <w:r w:rsidRPr="00FD274F">
        <w:t>)</w:t>
      </w:r>
    </w:p>
    <w:p w14:paraId="33C6650E"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Compilations services</w:t>
      </w:r>
    </w:p>
    <w:p w14:paraId="5D1F9935" w14:textId="5822E6B0" w:rsidR="00727ED5" w:rsidRPr="00FD274F" w:rsidRDefault="00D53143" w:rsidP="00727ED5">
      <w:pPr>
        <w:pStyle w:val="Body"/>
        <w:spacing w:before="120"/>
      </w:pPr>
      <w:hyperlink r:id="rId698" w:history="1">
        <w:hyperlink r:id="rId699" w:history="1">
          <w:r w:rsidRPr="00FD26C8">
            <w:rPr>
              <w:rStyle w:val="Hyperlink"/>
            </w:rPr>
            <w:t>lodge@legislation.gov.au</w:t>
          </w:r>
        </w:hyperlink>
      </w:hyperlink>
      <w:r w:rsidR="00727ED5" w:rsidRPr="00FD274F">
        <w:rPr>
          <w:szCs w:val="24"/>
        </w:rPr>
        <w:br/>
      </w:r>
      <w:r w:rsidR="00727ED5" w:rsidRPr="00FD274F">
        <w:t xml:space="preserve">(02) </w:t>
      </w:r>
      <w:r w:rsidR="00353191" w:rsidRPr="00FD274F">
        <w:t>6120 1</w:t>
      </w:r>
      <w:r w:rsidR="00727ED5" w:rsidRPr="00FD274F">
        <w:t>3</w:t>
      </w:r>
      <w:r w:rsidR="00963B43" w:rsidRPr="00FD274F">
        <w:t>50</w:t>
      </w:r>
    </w:p>
    <w:p w14:paraId="20457F44"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Sunsetting and repeal of instruments</w:t>
      </w:r>
    </w:p>
    <w:p w14:paraId="25301498" w14:textId="4DF8CBAC" w:rsidR="00727ED5" w:rsidRPr="00FD274F" w:rsidRDefault="00727ED5" w:rsidP="00727ED5">
      <w:pPr>
        <w:pStyle w:val="Body"/>
        <w:spacing w:before="120"/>
      </w:pPr>
      <w:hyperlink r:id="rId700" w:history="1">
        <w:r w:rsidRPr="00FD274F">
          <w:rPr>
            <w:rStyle w:val="Hyperlink"/>
          </w:rPr>
          <w:t>sunsetting@opc.gov.au</w:t>
        </w:r>
      </w:hyperlink>
      <w:r w:rsidRPr="00FD274F">
        <w:t xml:space="preserve"> </w:t>
      </w:r>
      <w:r w:rsidRPr="00FD274F">
        <w:br/>
        <w:t xml:space="preserve">(02) </w:t>
      </w:r>
      <w:r w:rsidR="00353191" w:rsidRPr="00FD274F">
        <w:t>6120 1</w:t>
      </w:r>
      <w:r w:rsidRPr="00FD274F">
        <w:t>3</w:t>
      </w:r>
      <w:r w:rsidR="00EF3C18">
        <w:t>50</w:t>
      </w:r>
    </w:p>
    <w:p w14:paraId="4092CA3C" w14:textId="77777777" w:rsidR="00727ED5" w:rsidRPr="00FD274F" w:rsidRDefault="00831645" w:rsidP="00727ED5">
      <w:pPr>
        <w:pStyle w:val="Body"/>
        <w:spacing w:before="120"/>
        <w:rPr>
          <w:rFonts w:ascii="Arial" w:hAnsi="Arial" w:cs="Arial"/>
          <w:b/>
          <w:sz w:val="22"/>
          <w:szCs w:val="22"/>
        </w:rPr>
      </w:pPr>
      <w:r w:rsidRPr="00FD274F">
        <w:rPr>
          <w:rFonts w:ascii="Arial" w:hAnsi="Arial" w:cs="Arial"/>
          <w:b/>
          <w:sz w:val="22"/>
          <w:szCs w:val="22"/>
        </w:rPr>
        <w:t>Registration</w:t>
      </w:r>
      <w:r w:rsidR="00727ED5" w:rsidRPr="00FD274F">
        <w:rPr>
          <w:rFonts w:ascii="Arial" w:hAnsi="Arial" w:cs="Arial"/>
          <w:b/>
          <w:sz w:val="22"/>
          <w:szCs w:val="22"/>
        </w:rPr>
        <w:t xml:space="preserve"> services and </w:t>
      </w:r>
      <w:r w:rsidR="00FD5F93" w:rsidRPr="00FD274F">
        <w:rPr>
          <w:rFonts w:ascii="Arial" w:hAnsi="Arial" w:cs="Arial"/>
          <w:b/>
          <w:sz w:val="22"/>
          <w:szCs w:val="22"/>
        </w:rPr>
        <w:t>correc</w:t>
      </w:r>
      <w:r w:rsidR="00727ED5" w:rsidRPr="00FD274F">
        <w:rPr>
          <w:rFonts w:ascii="Arial" w:hAnsi="Arial" w:cs="Arial"/>
          <w:b/>
          <w:sz w:val="22"/>
          <w:szCs w:val="22"/>
        </w:rPr>
        <w:t>tion</w:t>
      </w:r>
      <w:r w:rsidRPr="00FD274F">
        <w:rPr>
          <w:rFonts w:ascii="Arial" w:hAnsi="Arial" w:cs="Arial"/>
          <w:b/>
          <w:sz w:val="22"/>
          <w:szCs w:val="22"/>
        </w:rPr>
        <w:t>s</w:t>
      </w:r>
    </w:p>
    <w:p w14:paraId="5A65306B" w14:textId="5CAA683D" w:rsidR="00727ED5" w:rsidRPr="00FD274F" w:rsidRDefault="00727ED5" w:rsidP="00727ED5">
      <w:pPr>
        <w:pStyle w:val="Body"/>
        <w:spacing w:before="120"/>
        <w:rPr>
          <w:rStyle w:val="Hyperlink"/>
        </w:rPr>
      </w:pPr>
      <w:r w:rsidRPr="00FD274F">
        <w:t>To lodge documents online, go to:</w:t>
      </w:r>
      <w:r w:rsidRPr="00FD274F">
        <w:br/>
      </w:r>
      <w:hyperlink r:id="rId701" w:history="1">
        <w:r w:rsidR="00667D98">
          <w:rPr>
            <w:rStyle w:val="Hyperlink"/>
          </w:rPr>
          <w:t>https://lodge.legislation.gov.au</w:t>
        </w:r>
      </w:hyperlink>
    </w:p>
    <w:p w14:paraId="76FF63CA" w14:textId="106DD570" w:rsidR="00831645" w:rsidRPr="001E456D" w:rsidRDefault="00831645" w:rsidP="00831645">
      <w:pPr>
        <w:pStyle w:val="Body"/>
        <w:spacing w:before="120"/>
        <w:rPr>
          <w:szCs w:val="24"/>
        </w:rPr>
      </w:pPr>
      <w:r w:rsidRPr="001E456D">
        <w:rPr>
          <w:szCs w:val="24"/>
        </w:rPr>
        <w:t>To arrange a log</w:t>
      </w:r>
      <w:r w:rsidR="009C4251" w:rsidRPr="001E456D">
        <w:rPr>
          <w:szCs w:val="24"/>
        </w:rPr>
        <w:noBreakHyphen/>
      </w:r>
      <w:r w:rsidRPr="001E456D">
        <w:rPr>
          <w:szCs w:val="24"/>
        </w:rPr>
        <w:t>on or get other help:</w:t>
      </w:r>
      <w:r w:rsidRPr="001E456D">
        <w:rPr>
          <w:szCs w:val="24"/>
        </w:rPr>
        <w:br/>
      </w:r>
      <w:hyperlink r:id="rId702" w:history="1">
        <w:r w:rsidR="001E456D" w:rsidRPr="001E456D">
          <w:rPr>
            <w:rStyle w:val="Hyperlink"/>
            <w:rFonts w:eastAsiaTheme="minorHAnsi"/>
            <w:szCs w:val="24"/>
            <w:lang w:eastAsia="en-US"/>
          </w:rPr>
          <w:t>lodge@legislation.gov.au</w:t>
        </w:r>
      </w:hyperlink>
      <w:r w:rsidRPr="001E456D">
        <w:rPr>
          <w:szCs w:val="24"/>
        </w:rPr>
        <w:t xml:space="preserve"> </w:t>
      </w:r>
      <w:r w:rsidRPr="001E456D">
        <w:rPr>
          <w:szCs w:val="24"/>
        </w:rPr>
        <w:br/>
        <w:t xml:space="preserve">(02) 6120 1350 </w:t>
      </w:r>
    </w:p>
    <w:p w14:paraId="45C73720" w14:textId="77777777" w:rsidR="00727ED5" w:rsidRPr="00FD274F" w:rsidRDefault="00727ED5" w:rsidP="004855B6">
      <w:pPr>
        <w:pStyle w:val="Head3"/>
        <w:spacing w:before="120" w:after="0"/>
      </w:pPr>
      <w:bookmarkStart w:id="291" w:name="_Toc183694759"/>
      <w:r w:rsidRPr="00FD274F">
        <w:t>Table Offices</w:t>
      </w:r>
      <w:bookmarkEnd w:id="291"/>
    </w:p>
    <w:p w14:paraId="069AB333" w14:textId="77777777" w:rsidR="00727ED5" w:rsidRPr="00FD274F" w:rsidRDefault="00727ED5" w:rsidP="00727ED5">
      <w:pPr>
        <w:pStyle w:val="Body"/>
        <w:spacing w:before="120"/>
      </w:pPr>
      <w:r w:rsidRPr="00FD274F">
        <w:rPr>
          <w:rFonts w:ascii="Arial" w:hAnsi="Arial" w:cs="Arial"/>
          <w:b/>
          <w:sz w:val="22"/>
          <w:szCs w:val="22"/>
        </w:rPr>
        <w:t>House of Representatives</w:t>
      </w:r>
    </w:p>
    <w:p w14:paraId="77D96691" w14:textId="60A1E507" w:rsidR="00727ED5" w:rsidRPr="00FD274F" w:rsidRDefault="00727ED5" w:rsidP="00727ED5">
      <w:pPr>
        <w:pStyle w:val="Body"/>
        <w:spacing w:before="120"/>
      </w:pPr>
      <w:hyperlink r:id="rId703" w:history="1">
        <w:r w:rsidRPr="00FD274F">
          <w:rPr>
            <w:rStyle w:val="Hyperlink"/>
          </w:rPr>
          <w:t>table.office.reps@aph.gov.au</w:t>
        </w:r>
      </w:hyperlink>
      <w:r w:rsidRPr="00FD274F">
        <w:br/>
        <w:t>(02) 6277 4800</w:t>
      </w:r>
    </w:p>
    <w:p w14:paraId="6A40CDF9"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Senate</w:t>
      </w:r>
    </w:p>
    <w:p w14:paraId="532AA8B1" w14:textId="3DDC385A" w:rsidR="00727ED5" w:rsidRPr="00FD274F" w:rsidRDefault="00727ED5" w:rsidP="00727ED5">
      <w:pPr>
        <w:pStyle w:val="Body"/>
        <w:spacing w:before="120"/>
      </w:pPr>
      <w:hyperlink r:id="rId704" w:history="1">
        <w:r w:rsidRPr="00FD274F">
          <w:rPr>
            <w:rStyle w:val="Hyperlink"/>
          </w:rPr>
          <w:t>table.legislation.sen@aph.gov.au</w:t>
        </w:r>
      </w:hyperlink>
      <w:r w:rsidRPr="00FD274F">
        <w:br/>
        <w:t>(02) 6277 3035</w:t>
      </w:r>
    </w:p>
    <w:p w14:paraId="269662F9" w14:textId="77777777" w:rsidR="00727ED5" w:rsidRPr="00FD274F" w:rsidRDefault="00727ED5" w:rsidP="004855B6">
      <w:pPr>
        <w:pStyle w:val="Head3"/>
        <w:spacing w:before="160"/>
      </w:pPr>
      <w:r w:rsidRPr="00FD274F">
        <w:br w:type="column"/>
      </w:r>
      <w:bookmarkStart w:id="292" w:name="_Toc183694760"/>
      <w:r w:rsidRPr="00FD274F">
        <w:t>Attorney</w:t>
      </w:r>
      <w:r w:rsidR="009C4251">
        <w:noBreakHyphen/>
      </w:r>
      <w:r w:rsidRPr="00FD274F">
        <w:t>General’s Department</w:t>
      </w:r>
      <w:bookmarkEnd w:id="292"/>
    </w:p>
    <w:p w14:paraId="725FA7AC" w14:textId="479C6BBA"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Exemptions from some or all of the LA</w:t>
      </w:r>
      <w:r w:rsidR="0077772E">
        <w:rPr>
          <w:rFonts w:ascii="Arial" w:hAnsi="Arial" w:cs="Arial"/>
          <w:b/>
          <w:sz w:val="22"/>
          <w:szCs w:val="22"/>
        </w:rPr>
        <w:t>*</w:t>
      </w:r>
    </w:p>
    <w:p w14:paraId="4728F6D8" w14:textId="51572A3E" w:rsidR="00687C96" w:rsidRPr="00FD274F" w:rsidRDefault="00AB2784" w:rsidP="00727ED5">
      <w:pPr>
        <w:pStyle w:val="Body"/>
        <w:spacing w:before="120"/>
      </w:pPr>
      <w:hyperlink r:id="rId705" w:history="1">
        <w:r w:rsidRPr="00FD274F">
          <w:rPr>
            <w:rStyle w:val="Hyperlink"/>
          </w:rPr>
          <w:t>adminlaw@ag.gov.au</w:t>
        </w:r>
      </w:hyperlink>
    </w:p>
    <w:p w14:paraId="3A93C650" w14:textId="56DDA73E" w:rsidR="00727ED5" w:rsidRPr="00FD274F" w:rsidRDefault="00466C26" w:rsidP="00727ED5">
      <w:pPr>
        <w:pStyle w:val="Body"/>
        <w:spacing w:before="120"/>
        <w:rPr>
          <w:rFonts w:ascii="Arial" w:hAnsi="Arial" w:cs="Arial"/>
          <w:b/>
          <w:sz w:val="22"/>
          <w:szCs w:val="22"/>
        </w:rPr>
      </w:pPr>
      <w:r w:rsidRPr="00FD274F">
        <w:rPr>
          <w:rFonts w:ascii="Arial" w:hAnsi="Arial" w:cs="Arial"/>
          <w:b/>
          <w:sz w:val="22"/>
          <w:szCs w:val="22"/>
        </w:rPr>
        <w:t>Proposals to defer sunsetting</w:t>
      </w:r>
      <w:r w:rsidR="0077772E">
        <w:rPr>
          <w:rFonts w:ascii="Arial" w:hAnsi="Arial" w:cs="Arial"/>
          <w:b/>
          <w:sz w:val="22"/>
          <w:szCs w:val="22"/>
        </w:rPr>
        <w:t>*</w:t>
      </w:r>
    </w:p>
    <w:p w14:paraId="4C5112DD" w14:textId="34AFA847" w:rsidR="00E277CA" w:rsidRPr="00E277CA" w:rsidRDefault="00727ED5" w:rsidP="00727ED5">
      <w:pPr>
        <w:pStyle w:val="Body"/>
        <w:spacing w:before="120"/>
      </w:pPr>
      <w:hyperlink r:id="rId706" w:history="1">
        <w:r w:rsidRPr="00FD274F">
          <w:rPr>
            <w:rStyle w:val="Hyperlink"/>
          </w:rPr>
          <w:t>sunsetting@ag.gov.au</w:t>
        </w:r>
      </w:hyperlink>
    </w:p>
    <w:p w14:paraId="206250C7" w14:textId="1065EC37" w:rsidR="00D31469" w:rsidRDefault="0077772E" w:rsidP="00D31469">
      <w:pPr>
        <w:pStyle w:val="Body"/>
        <w:spacing w:before="120"/>
        <w:rPr>
          <w:rFonts w:ascii="Arial" w:hAnsi="Arial" w:cs="Arial"/>
          <w:b/>
          <w:sz w:val="22"/>
          <w:szCs w:val="22"/>
        </w:rPr>
      </w:pPr>
      <w:r w:rsidRPr="009D3DDD">
        <w:rPr>
          <w:sz w:val="22"/>
          <w:szCs w:val="22"/>
        </w:rPr>
        <w:t>*</w:t>
      </w:r>
      <w:r w:rsidR="00D31469">
        <w:t xml:space="preserve">Alternatively, call the AGD Switchboard on </w:t>
      </w:r>
      <w:r w:rsidR="00D31469" w:rsidRPr="00FD274F">
        <w:t>(02) 6141 6666</w:t>
      </w:r>
      <w:r w:rsidR="00D31469">
        <w:t xml:space="preserve"> and ask to be redirected to the Administrative Law Section</w:t>
      </w:r>
    </w:p>
    <w:p w14:paraId="73FCC5C9" w14:textId="403AF023"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Human rights compatibility</w:t>
      </w:r>
    </w:p>
    <w:p w14:paraId="433CA91B" w14:textId="469AF147" w:rsidR="00727ED5" w:rsidRPr="00FD274F" w:rsidRDefault="00727ED5" w:rsidP="00727ED5">
      <w:pPr>
        <w:pStyle w:val="Body"/>
        <w:spacing w:before="120"/>
      </w:pPr>
      <w:hyperlink r:id="rId707" w:history="1">
        <w:r w:rsidRPr="00FD274F">
          <w:rPr>
            <w:rStyle w:val="Hyperlink"/>
          </w:rPr>
          <w:t>humanrights@ag.gov.au</w:t>
        </w:r>
      </w:hyperlink>
    </w:p>
    <w:p w14:paraId="093038AB" w14:textId="75655326"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Criminal Law Policy</w:t>
      </w:r>
    </w:p>
    <w:p w14:paraId="19FAB304" w14:textId="689197F0" w:rsidR="00727ED5" w:rsidRPr="00FD274F" w:rsidRDefault="00B76B55" w:rsidP="00727ED5">
      <w:pPr>
        <w:pStyle w:val="Body"/>
        <w:spacing w:before="120"/>
      </w:pPr>
      <w:hyperlink r:id="rId708" w:history="1">
        <w:r w:rsidRPr="00934DA6">
          <w:rPr>
            <w:rStyle w:val="Hyperlink"/>
          </w:rPr>
          <w:t>CriminalLaw@ag.gov.au</w:t>
        </w:r>
      </w:hyperlink>
    </w:p>
    <w:p w14:paraId="41B27173" w14:textId="07ED6C80" w:rsidR="00727ED5" w:rsidRPr="00FD274F" w:rsidRDefault="00727ED5" w:rsidP="004855B6">
      <w:pPr>
        <w:pStyle w:val="Head3"/>
        <w:spacing w:after="0"/>
      </w:pPr>
      <w:bookmarkStart w:id="293" w:name="_Toc183694761"/>
      <w:r w:rsidRPr="00FD274F">
        <w:t>Department of the Prime Minister and Cabinet</w:t>
      </w:r>
      <w:bookmarkEnd w:id="293"/>
    </w:p>
    <w:p w14:paraId="75B7302D" w14:textId="7FE0828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 xml:space="preserve">Office of </w:t>
      </w:r>
      <w:r w:rsidR="008A70D0">
        <w:rPr>
          <w:rFonts w:ascii="Arial" w:hAnsi="Arial" w:cs="Arial"/>
          <w:b/>
          <w:sz w:val="22"/>
          <w:szCs w:val="22"/>
        </w:rPr>
        <w:t>Impact Analysis</w:t>
      </w:r>
    </w:p>
    <w:p w14:paraId="0FC021AA" w14:textId="100D4C75" w:rsidR="00727ED5" w:rsidRPr="00FD274F" w:rsidRDefault="00222067" w:rsidP="00727ED5">
      <w:pPr>
        <w:pStyle w:val="Body"/>
        <w:spacing w:before="120"/>
      </w:pPr>
      <w:hyperlink r:id="rId709" w:history="1">
        <w:r w:rsidRPr="00FD274F">
          <w:rPr>
            <w:rStyle w:val="Hyperlink"/>
          </w:rPr>
          <w:t>helpdesk</w:t>
        </w:r>
        <w:r w:rsidR="009C4251">
          <w:rPr>
            <w:rStyle w:val="Hyperlink"/>
          </w:rPr>
          <w:noBreakHyphen/>
        </w:r>
        <w:r w:rsidR="00741192">
          <w:rPr>
            <w:rStyle w:val="Hyperlink"/>
          </w:rPr>
          <w:t>OIA</w:t>
        </w:r>
        <w:r w:rsidRPr="00FD274F">
          <w:rPr>
            <w:rStyle w:val="Hyperlink"/>
          </w:rPr>
          <w:t>@pmc.gov.au</w:t>
        </w:r>
      </w:hyperlink>
      <w:r w:rsidR="00727ED5" w:rsidRPr="00FD274F">
        <w:rPr>
          <w:rStyle w:val="Hyperlink"/>
        </w:rPr>
        <w:br/>
      </w:r>
      <w:r w:rsidR="00727ED5" w:rsidRPr="00FD274F">
        <w:t>(02) 6271 6270</w:t>
      </w:r>
    </w:p>
    <w:p w14:paraId="7A83D35E"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Federal Executive Council Secretariat</w:t>
      </w:r>
    </w:p>
    <w:p w14:paraId="2E50A79F" w14:textId="52E534C7" w:rsidR="00727ED5" w:rsidRPr="00FD274F" w:rsidRDefault="00727ED5" w:rsidP="00727ED5">
      <w:pPr>
        <w:pStyle w:val="Body"/>
        <w:spacing w:before="120"/>
      </w:pPr>
      <w:hyperlink r:id="rId710" w:history="1">
        <w:r w:rsidRPr="00FD274F">
          <w:rPr>
            <w:rStyle w:val="Hyperlink"/>
          </w:rPr>
          <w:t>exco@pmc.gov.au</w:t>
        </w:r>
      </w:hyperlink>
      <w:r w:rsidRPr="00FD274F">
        <w:br/>
        <w:t>(02) 6271 5779</w:t>
      </w:r>
    </w:p>
    <w:p w14:paraId="673B5CF2"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Tabling of non</w:t>
      </w:r>
      <w:r w:rsidR="009C4251">
        <w:rPr>
          <w:rFonts w:ascii="Arial" w:hAnsi="Arial" w:cs="Arial"/>
          <w:b/>
          <w:sz w:val="22"/>
          <w:szCs w:val="22"/>
        </w:rPr>
        <w:noBreakHyphen/>
      </w:r>
      <w:r w:rsidR="000D63D1" w:rsidRPr="00FD274F">
        <w:rPr>
          <w:rFonts w:ascii="Arial" w:hAnsi="Arial" w:cs="Arial"/>
          <w:b/>
          <w:sz w:val="22"/>
          <w:szCs w:val="22"/>
        </w:rPr>
        <w:t>Register</w:t>
      </w:r>
      <w:r w:rsidRPr="00FD274F">
        <w:rPr>
          <w:rFonts w:ascii="Arial" w:hAnsi="Arial" w:cs="Arial"/>
          <w:b/>
          <w:sz w:val="22"/>
          <w:szCs w:val="22"/>
        </w:rPr>
        <w:t xml:space="preserve"> documents</w:t>
      </w:r>
    </w:p>
    <w:p w14:paraId="6B69961D" w14:textId="3E268CB0" w:rsidR="00727ED5" w:rsidRPr="00FD274F" w:rsidRDefault="00727ED5" w:rsidP="00727ED5">
      <w:pPr>
        <w:pStyle w:val="Body"/>
        <w:spacing w:before="120"/>
      </w:pPr>
      <w:hyperlink r:id="rId711" w:history="1">
        <w:r w:rsidRPr="00FD274F">
          <w:rPr>
            <w:rStyle w:val="Hyperlink"/>
          </w:rPr>
          <w:t>tabling@pmc.gov.au</w:t>
        </w:r>
      </w:hyperlink>
      <w:r w:rsidRPr="00FD274F">
        <w:br/>
        <w:t>(02) 6277 7212</w:t>
      </w:r>
    </w:p>
    <w:p w14:paraId="4CB0CD72" w14:textId="77777777" w:rsidR="00727ED5" w:rsidRPr="00FD274F" w:rsidRDefault="00727ED5" w:rsidP="004855B6">
      <w:pPr>
        <w:pStyle w:val="Head3"/>
        <w:spacing w:after="0"/>
        <w:rPr>
          <w:rFonts w:cs="Arial"/>
          <w:b w:val="0"/>
          <w:i w:val="0"/>
          <w:szCs w:val="26"/>
        </w:rPr>
      </w:pPr>
      <w:bookmarkStart w:id="294" w:name="_Toc183694762"/>
      <w:r w:rsidRPr="00FD274F">
        <w:t>Parliamentary committees</w:t>
      </w:r>
      <w:bookmarkEnd w:id="294"/>
    </w:p>
    <w:p w14:paraId="35C67272"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Parliamentary Joint Committee on Human Rights</w:t>
      </w:r>
    </w:p>
    <w:p w14:paraId="192145B3" w14:textId="67EFFFF8" w:rsidR="00727ED5" w:rsidRPr="00FD274F" w:rsidRDefault="00727ED5" w:rsidP="00727ED5">
      <w:pPr>
        <w:pStyle w:val="Body"/>
        <w:spacing w:before="120"/>
      </w:pPr>
      <w:hyperlink r:id="rId712" w:history="1">
        <w:r w:rsidRPr="00FD274F">
          <w:rPr>
            <w:rStyle w:val="Hyperlink"/>
          </w:rPr>
          <w:t>human.rights@aph.gov.au</w:t>
        </w:r>
      </w:hyperlink>
      <w:r w:rsidRPr="00FD274F">
        <w:br/>
        <w:t>(02) 6277 3823</w:t>
      </w:r>
    </w:p>
    <w:p w14:paraId="2C7BA60A" w14:textId="77777777" w:rsidR="00727ED5" w:rsidRPr="00FD274F" w:rsidRDefault="00727ED5" w:rsidP="00727ED5">
      <w:pPr>
        <w:pStyle w:val="Body"/>
        <w:spacing w:before="120"/>
        <w:rPr>
          <w:rFonts w:ascii="Arial" w:hAnsi="Arial" w:cs="Arial"/>
          <w:b/>
          <w:sz w:val="22"/>
          <w:szCs w:val="22"/>
        </w:rPr>
      </w:pPr>
      <w:r w:rsidRPr="00FD274F">
        <w:rPr>
          <w:rFonts w:ascii="Arial" w:hAnsi="Arial" w:cs="Arial"/>
          <w:b/>
          <w:sz w:val="22"/>
          <w:szCs w:val="22"/>
        </w:rPr>
        <w:t xml:space="preserve">Senate Standing Committee </w:t>
      </w:r>
      <w:r w:rsidR="00A16959">
        <w:rPr>
          <w:rFonts w:ascii="Arial" w:hAnsi="Arial" w:cs="Arial"/>
          <w:b/>
          <w:sz w:val="22"/>
          <w:szCs w:val="22"/>
        </w:rPr>
        <w:t>for the Scrutiny of Delegated Legislation</w:t>
      </w:r>
    </w:p>
    <w:p w14:paraId="1E9DA873" w14:textId="7D3BCA98" w:rsidR="00306B5E" w:rsidRPr="00FD274F" w:rsidRDefault="00A16959" w:rsidP="002366E2">
      <w:pPr>
        <w:pStyle w:val="Body"/>
        <w:spacing w:before="120"/>
        <w:sectPr w:rsidR="00306B5E" w:rsidRPr="00FD274F" w:rsidSect="00590636">
          <w:footerReference w:type="even" r:id="rId713"/>
          <w:footerReference w:type="default" r:id="rId714"/>
          <w:headerReference w:type="first" r:id="rId715"/>
          <w:footerReference w:type="first" r:id="rId716"/>
          <w:type w:val="continuous"/>
          <w:pgSz w:w="11907" w:h="16839" w:code="9"/>
          <w:pgMar w:top="1440" w:right="1440" w:bottom="1440" w:left="1440" w:header="720" w:footer="567" w:gutter="0"/>
          <w:cols w:num="2" w:sep="1" w:space="567"/>
          <w:docGrid w:linePitch="360"/>
        </w:sectPr>
      </w:pPr>
      <w:hyperlink r:id="rId717" w:history="1">
        <w:r w:rsidRPr="0031199D">
          <w:rPr>
            <w:rStyle w:val="Hyperlink"/>
          </w:rPr>
          <w:t>sdlc.sen@aph.gov.au</w:t>
        </w:r>
      </w:hyperlink>
      <w:r w:rsidR="00727ED5" w:rsidRPr="00FD274F">
        <w:br/>
        <w:t>(02) 6277 3066</w:t>
      </w:r>
    </w:p>
    <w:p w14:paraId="2153FCF3" w14:textId="77777777" w:rsidR="00306B5E" w:rsidRPr="00FD274F" w:rsidRDefault="00306B5E" w:rsidP="00306B5E">
      <w:pPr>
        <w:pStyle w:val="Head2"/>
      </w:pPr>
      <w:bookmarkStart w:id="295" w:name="_Toc183694763"/>
      <w:r w:rsidRPr="00FD274F">
        <w:lastRenderedPageBreak/>
        <w:t>Document history</w:t>
      </w:r>
      <w:bookmarkEnd w:id="295"/>
    </w:p>
    <w:p w14:paraId="2E1BC075" w14:textId="77777777" w:rsidR="00F6117F" w:rsidRPr="00FD274F" w:rsidRDefault="00F6117F" w:rsidP="00F6117F">
      <w:pPr>
        <w:pStyle w:val="BodyNum"/>
        <w:numPr>
          <w:ilvl w:val="0"/>
          <w:numId w:val="0"/>
        </w:numPr>
      </w:pPr>
    </w:p>
    <w:tbl>
      <w:tblPr>
        <w:tblW w:w="9027"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3009"/>
        <w:gridCol w:w="3009"/>
        <w:gridCol w:w="3009"/>
      </w:tblGrid>
      <w:tr w:rsidR="00F6117F" w:rsidRPr="00FD274F" w14:paraId="6736A747" w14:textId="77777777" w:rsidTr="00A16959">
        <w:trPr>
          <w:tblHeader/>
        </w:trPr>
        <w:tc>
          <w:tcPr>
            <w:tcW w:w="9027" w:type="dxa"/>
            <w:gridSpan w:val="3"/>
            <w:tcBorders>
              <w:top w:val="single" w:sz="12" w:space="0" w:color="auto"/>
              <w:bottom w:val="single" w:sz="6" w:space="0" w:color="auto"/>
            </w:tcBorders>
            <w:shd w:val="clear" w:color="auto" w:fill="auto"/>
            <w:hideMark/>
          </w:tcPr>
          <w:p w14:paraId="79B31B99" w14:textId="77777777" w:rsidR="00F6117F" w:rsidRPr="00FD274F" w:rsidRDefault="00F6117F" w:rsidP="00805ED3">
            <w:pPr>
              <w:pStyle w:val="Tabletext"/>
              <w:keepNext/>
              <w:rPr>
                <w:b/>
                <w:lang w:eastAsia="en-US"/>
              </w:rPr>
            </w:pPr>
            <w:r w:rsidRPr="00FD274F">
              <w:rPr>
                <w:b/>
                <w:lang w:eastAsia="en-US"/>
              </w:rPr>
              <w:t>Document History</w:t>
            </w:r>
          </w:p>
        </w:tc>
      </w:tr>
      <w:tr w:rsidR="00F6117F" w:rsidRPr="00FD274F" w14:paraId="5147DAF8" w14:textId="77777777" w:rsidTr="00A16959">
        <w:trPr>
          <w:tblHeader/>
        </w:trPr>
        <w:tc>
          <w:tcPr>
            <w:tcW w:w="3009" w:type="dxa"/>
            <w:tcBorders>
              <w:top w:val="single" w:sz="6" w:space="0" w:color="auto"/>
              <w:bottom w:val="single" w:sz="12" w:space="0" w:color="auto"/>
            </w:tcBorders>
            <w:shd w:val="clear" w:color="auto" w:fill="auto"/>
            <w:hideMark/>
          </w:tcPr>
          <w:p w14:paraId="36BC41CF" w14:textId="77777777" w:rsidR="00F6117F" w:rsidRPr="00FD274F" w:rsidRDefault="00F6117F" w:rsidP="00805ED3">
            <w:pPr>
              <w:pStyle w:val="Tabletext"/>
              <w:keepNext/>
              <w:rPr>
                <w:b/>
                <w:lang w:eastAsia="en-US"/>
              </w:rPr>
            </w:pPr>
            <w:r w:rsidRPr="00FD274F">
              <w:rPr>
                <w:b/>
                <w:lang w:eastAsia="en-US"/>
              </w:rPr>
              <w:t>Release</w:t>
            </w:r>
          </w:p>
        </w:tc>
        <w:tc>
          <w:tcPr>
            <w:tcW w:w="3009" w:type="dxa"/>
            <w:tcBorders>
              <w:top w:val="single" w:sz="6" w:space="0" w:color="auto"/>
              <w:bottom w:val="single" w:sz="12" w:space="0" w:color="auto"/>
            </w:tcBorders>
            <w:shd w:val="clear" w:color="auto" w:fill="auto"/>
            <w:hideMark/>
          </w:tcPr>
          <w:p w14:paraId="6F357511" w14:textId="77777777" w:rsidR="00F6117F" w:rsidRPr="00FD274F" w:rsidRDefault="00F6117F" w:rsidP="00805ED3">
            <w:pPr>
              <w:pStyle w:val="Tabletext"/>
              <w:keepNext/>
              <w:rPr>
                <w:b/>
                <w:lang w:eastAsia="en-US"/>
              </w:rPr>
            </w:pPr>
            <w:r w:rsidRPr="00FD274F">
              <w:rPr>
                <w:b/>
                <w:lang w:eastAsia="en-US"/>
              </w:rPr>
              <w:t>Release date</w:t>
            </w:r>
          </w:p>
        </w:tc>
        <w:tc>
          <w:tcPr>
            <w:tcW w:w="3009" w:type="dxa"/>
            <w:tcBorders>
              <w:top w:val="single" w:sz="6" w:space="0" w:color="auto"/>
              <w:bottom w:val="single" w:sz="12" w:space="0" w:color="auto"/>
            </w:tcBorders>
            <w:shd w:val="clear" w:color="auto" w:fill="auto"/>
            <w:hideMark/>
          </w:tcPr>
          <w:p w14:paraId="70D90954" w14:textId="77777777" w:rsidR="00F6117F" w:rsidRPr="00FD274F" w:rsidRDefault="00F6117F" w:rsidP="00805ED3">
            <w:pPr>
              <w:pStyle w:val="Tabletext"/>
              <w:keepNext/>
              <w:rPr>
                <w:b/>
                <w:lang w:eastAsia="en-US"/>
              </w:rPr>
            </w:pPr>
            <w:r w:rsidRPr="00FD274F">
              <w:rPr>
                <w:b/>
                <w:lang w:eastAsia="en-US"/>
              </w:rPr>
              <w:t>Document number</w:t>
            </w:r>
          </w:p>
        </w:tc>
      </w:tr>
      <w:tr w:rsidR="00F6117F" w:rsidRPr="00FD274F" w14:paraId="39699E81" w14:textId="77777777" w:rsidTr="00A16959">
        <w:tc>
          <w:tcPr>
            <w:tcW w:w="3009" w:type="dxa"/>
            <w:tcBorders>
              <w:top w:val="single" w:sz="12" w:space="0" w:color="auto"/>
            </w:tcBorders>
            <w:shd w:val="clear" w:color="auto" w:fill="auto"/>
            <w:hideMark/>
          </w:tcPr>
          <w:p w14:paraId="4CA834E2" w14:textId="77777777" w:rsidR="00F6117F" w:rsidRPr="00FD274F" w:rsidRDefault="00F6117F" w:rsidP="00805ED3">
            <w:pPr>
              <w:pStyle w:val="Tabletext"/>
              <w:rPr>
                <w:lang w:eastAsia="en-US"/>
              </w:rPr>
            </w:pPr>
            <w:r w:rsidRPr="00FD274F">
              <w:rPr>
                <w:lang w:eastAsia="en-US"/>
              </w:rPr>
              <w:t>1.0</w:t>
            </w:r>
          </w:p>
        </w:tc>
        <w:tc>
          <w:tcPr>
            <w:tcW w:w="3009" w:type="dxa"/>
            <w:tcBorders>
              <w:top w:val="single" w:sz="12" w:space="0" w:color="auto"/>
            </w:tcBorders>
            <w:shd w:val="clear" w:color="auto" w:fill="auto"/>
            <w:hideMark/>
          </w:tcPr>
          <w:p w14:paraId="6C01A54E" w14:textId="77777777" w:rsidR="00F6117F" w:rsidRPr="00FD274F" w:rsidRDefault="00F6117F" w:rsidP="00805ED3">
            <w:pPr>
              <w:pStyle w:val="Tabletext"/>
              <w:rPr>
                <w:lang w:eastAsia="en-US"/>
              </w:rPr>
            </w:pPr>
            <w:r w:rsidRPr="00FD274F">
              <w:rPr>
                <w:lang w:eastAsia="en-US"/>
              </w:rPr>
              <w:t>December 2004</w:t>
            </w:r>
          </w:p>
        </w:tc>
        <w:tc>
          <w:tcPr>
            <w:tcW w:w="3009" w:type="dxa"/>
            <w:tcBorders>
              <w:top w:val="single" w:sz="12" w:space="0" w:color="auto"/>
            </w:tcBorders>
            <w:shd w:val="clear" w:color="auto" w:fill="auto"/>
            <w:hideMark/>
          </w:tcPr>
          <w:p w14:paraId="162F8E0F" w14:textId="77777777" w:rsidR="00F6117F" w:rsidRPr="00FD274F" w:rsidRDefault="00F6117F" w:rsidP="00805ED3">
            <w:pPr>
              <w:pStyle w:val="Tabletext"/>
              <w:rPr>
                <w:lang w:eastAsia="en-US"/>
              </w:rPr>
            </w:pPr>
            <w:r w:rsidRPr="00FD274F">
              <w:rPr>
                <w:lang w:eastAsia="en-US"/>
              </w:rPr>
              <w:t>Not applicable</w:t>
            </w:r>
          </w:p>
        </w:tc>
      </w:tr>
      <w:tr w:rsidR="00F6117F" w:rsidRPr="00FD274F" w14:paraId="36A6BD75" w14:textId="77777777" w:rsidTr="00A16959">
        <w:tc>
          <w:tcPr>
            <w:tcW w:w="3009" w:type="dxa"/>
            <w:shd w:val="clear" w:color="auto" w:fill="auto"/>
          </w:tcPr>
          <w:p w14:paraId="23F29887" w14:textId="77777777" w:rsidR="00F6117F" w:rsidRPr="00FD274F" w:rsidRDefault="00F6117F" w:rsidP="00805ED3">
            <w:pPr>
              <w:pStyle w:val="Tabletext"/>
              <w:rPr>
                <w:lang w:eastAsia="en-US"/>
              </w:rPr>
            </w:pPr>
            <w:r w:rsidRPr="00FD274F">
              <w:rPr>
                <w:lang w:eastAsia="en-US"/>
              </w:rPr>
              <w:t>2.0</w:t>
            </w:r>
          </w:p>
        </w:tc>
        <w:tc>
          <w:tcPr>
            <w:tcW w:w="3009" w:type="dxa"/>
            <w:shd w:val="clear" w:color="auto" w:fill="auto"/>
          </w:tcPr>
          <w:p w14:paraId="2CD22878" w14:textId="77777777" w:rsidR="00F6117F" w:rsidRPr="00FD274F" w:rsidRDefault="00F6117F" w:rsidP="00805ED3">
            <w:pPr>
              <w:pStyle w:val="Tabletext"/>
              <w:rPr>
                <w:lang w:eastAsia="en-US"/>
              </w:rPr>
            </w:pPr>
            <w:r w:rsidRPr="00FD274F">
              <w:rPr>
                <w:lang w:eastAsia="en-US"/>
              </w:rPr>
              <w:t>May 2014</w:t>
            </w:r>
          </w:p>
        </w:tc>
        <w:tc>
          <w:tcPr>
            <w:tcW w:w="3009" w:type="dxa"/>
            <w:shd w:val="clear" w:color="auto" w:fill="auto"/>
          </w:tcPr>
          <w:p w14:paraId="15674AA1" w14:textId="77777777" w:rsidR="00F6117F" w:rsidRPr="00FD274F" w:rsidRDefault="00F6117F" w:rsidP="00805ED3">
            <w:pPr>
              <w:pStyle w:val="Tabletext"/>
              <w:rPr>
                <w:lang w:eastAsia="en-US"/>
              </w:rPr>
            </w:pPr>
            <w:r w:rsidRPr="00FD274F">
              <w:rPr>
                <w:lang w:eastAsia="en-US"/>
              </w:rPr>
              <w:t>M13MW111.V25.DOCX</w:t>
            </w:r>
          </w:p>
        </w:tc>
      </w:tr>
      <w:tr w:rsidR="00F6117F" w:rsidRPr="00FD274F" w14:paraId="4AD95F40" w14:textId="77777777" w:rsidTr="00A16959">
        <w:tc>
          <w:tcPr>
            <w:tcW w:w="3009" w:type="dxa"/>
            <w:shd w:val="clear" w:color="auto" w:fill="auto"/>
            <w:hideMark/>
          </w:tcPr>
          <w:p w14:paraId="35BF0978" w14:textId="77777777" w:rsidR="00F6117F" w:rsidRPr="00FD274F" w:rsidRDefault="00F6117F" w:rsidP="00805ED3">
            <w:pPr>
              <w:pStyle w:val="Tabletext"/>
              <w:rPr>
                <w:lang w:eastAsia="en-US"/>
              </w:rPr>
            </w:pPr>
            <w:r w:rsidRPr="00FD274F">
              <w:rPr>
                <w:lang w:eastAsia="en-US"/>
              </w:rPr>
              <w:t>2.1</w:t>
            </w:r>
          </w:p>
        </w:tc>
        <w:tc>
          <w:tcPr>
            <w:tcW w:w="3009" w:type="dxa"/>
            <w:shd w:val="clear" w:color="auto" w:fill="auto"/>
            <w:hideMark/>
          </w:tcPr>
          <w:p w14:paraId="7CDB23DF" w14:textId="77777777" w:rsidR="00F6117F" w:rsidRPr="00FD274F" w:rsidRDefault="00F6117F" w:rsidP="00805ED3">
            <w:pPr>
              <w:pStyle w:val="Tabletext"/>
              <w:rPr>
                <w:lang w:eastAsia="en-US"/>
              </w:rPr>
            </w:pPr>
            <w:r w:rsidRPr="00FD274F">
              <w:rPr>
                <w:lang w:eastAsia="en-US"/>
              </w:rPr>
              <w:t>December 2015</w:t>
            </w:r>
          </w:p>
        </w:tc>
        <w:tc>
          <w:tcPr>
            <w:tcW w:w="3009" w:type="dxa"/>
            <w:shd w:val="clear" w:color="auto" w:fill="auto"/>
            <w:hideMark/>
          </w:tcPr>
          <w:p w14:paraId="7DFC15B3" w14:textId="77777777" w:rsidR="00F6117F" w:rsidRPr="00FD274F" w:rsidRDefault="00F6117F" w:rsidP="00805ED3">
            <w:pPr>
              <w:pStyle w:val="Tabletext"/>
              <w:rPr>
                <w:lang w:eastAsia="en-US"/>
              </w:rPr>
            </w:pPr>
            <w:r w:rsidRPr="00FD274F">
              <w:rPr>
                <w:lang w:eastAsia="en-US"/>
              </w:rPr>
              <w:t>M15JF133.V04.DOCX</w:t>
            </w:r>
          </w:p>
        </w:tc>
      </w:tr>
      <w:tr w:rsidR="00F6117F" w:rsidRPr="00FD274F" w14:paraId="29E0B0C0" w14:textId="77777777" w:rsidTr="00A16959">
        <w:tc>
          <w:tcPr>
            <w:tcW w:w="3009" w:type="dxa"/>
            <w:shd w:val="clear" w:color="auto" w:fill="auto"/>
          </w:tcPr>
          <w:p w14:paraId="1027F165" w14:textId="77777777" w:rsidR="00F6117F" w:rsidRPr="00FD274F" w:rsidRDefault="00F6117F" w:rsidP="00805ED3">
            <w:pPr>
              <w:pStyle w:val="Tabletext"/>
              <w:rPr>
                <w:lang w:eastAsia="en-US"/>
              </w:rPr>
            </w:pPr>
            <w:r w:rsidRPr="00FD274F">
              <w:rPr>
                <w:lang w:eastAsia="en-US"/>
              </w:rPr>
              <w:t>3.0</w:t>
            </w:r>
          </w:p>
        </w:tc>
        <w:tc>
          <w:tcPr>
            <w:tcW w:w="3009" w:type="dxa"/>
            <w:shd w:val="clear" w:color="auto" w:fill="auto"/>
          </w:tcPr>
          <w:p w14:paraId="67646CAE" w14:textId="77777777" w:rsidR="00F6117F" w:rsidRPr="00FD274F" w:rsidRDefault="00F6117F" w:rsidP="00805ED3">
            <w:pPr>
              <w:pStyle w:val="Tabletext"/>
              <w:rPr>
                <w:lang w:eastAsia="en-US"/>
              </w:rPr>
            </w:pPr>
            <w:r w:rsidRPr="00FD274F">
              <w:rPr>
                <w:lang w:eastAsia="en-US"/>
              </w:rPr>
              <w:t>July 2016</w:t>
            </w:r>
          </w:p>
        </w:tc>
        <w:tc>
          <w:tcPr>
            <w:tcW w:w="3009" w:type="dxa"/>
            <w:shd w:val="clear" w:color="auto" w:fill="auto"/>
          </w:tcPr>
          <w:p w14:paraId="12AA49DF" w14:textId="77777777" w:rsidR="00F6117F" w:rsidRPr="00FD274F" w:rsidRDefault="00F6117F" w:rsidP="00805ED3">
            <w:pPr>
              <w:pStyle w:val="Tabletext"/>
              <w:rPr>
                <w:lang w:eastAsia="en-US"/>
              </w:rPr>
            </w:pPr>
            <w:r w:rsidRPr="00FD274F">
              <w:rPr>
                <w:lang w:eastAsia="en-US"/>
              </w:rPr>
              <w:t>M16JF136.V02.DOCX</w:t>
            </w:r>
          </w:p>
        </w:tc>
      </w:tr>
      <w:tr w:rsidR="00F6117F" w14:paraId="2DD5FB10" w14:textId="77777777" w:rsidTr="00A16959">
        <w:tc>
          <w:tcPr>
            <w:tcW w:w="3009" w:type="dxa"/>
            <w:shd w:val="clear" w:color="auto" w:fill="auto"/>
          </w:tcPr>
          <w:p w14:paraId="2BE98D31" w14:textId="77777777" w:rsidR="00F6117F" w:rsidRPr="00FD274F" w:rsidRDefault="00F6117F" w:rsidP="00805ED3">
            <w:pPr>
              <w:pStyle w:val="Tabletext"/>
              <w:rPr>
                <w:lang w:eastAsia="en-US"/>
              </w:rPr>
            </w:pPr>
            <w:r w:rsidRPr="00FD274F">
              <w:rPr>
                <w:lang w:eastAsia="en-US"/>
              </w:rPr>
              <w:t>3.1</w:t>
            </w:r>
          </w:p>
        </w:tc>
        <w:tc>
          <w:tcPr>
            <w:tcW w:w="3009" w:type="dxa"/>
            <w:shd w:val="clear" w:color="auto" w:fill="auto"/>
          </w:tcPr>
          <w:p w14:paraId="39DA69AB" w14:textId="77777777" w:rsidR="00F6117F" w:rsidRPr="00FD274F" w:rsidRDefault="00F6117F" w:rsidP="00805ED3">
            <w:pPr>
              <w:pStyle w:val="Tabletext"/>
              <w:rPr>
                <w:lang w:eastAsia="en-US"/>
              </w:rPr>
            </w:pPr>
            <w:r>
              <w:rPr>
                <w:lang w:eastAsia="en-US"/>
              </w:rPr>
              <w:t>March</w:t>
            </w:r>
            <w:r w:rsidRPr="00FD274F">
              <w:rPr>
                <w:lang w:eastAsia="en-US"/>
              </w:rPr>
              <w:t xml:space="preserve"> 2017</w:t>
            </w:r>
          </w:p>
        </w:tc>
        <w:tc>
          <w:tcPr>
            <w:tcW w:w="3009" w:type="dxa"/>
            <w:shd w:val="clear" w:color="auto" w:fill="auto"/>
          </w:tcPr>
          <w:p w14:paraId="0B1488EF" w14:textId="77777777" w:rsidR="00F6117F" w:rsidRPr="00FD274F" w:rsidRDefault="00F6117F" w:rsidP="00805ED3">
            <w:pPr>
              <w:pStyle w:val="Tabletext"/>
              <w:rPr>
                <w:lang w:eastAsia="en-US"/>
              </w:rPr>
            </w:pPr>
            <w:r w:rsidRPr="00FD274F">
              <w:rPr>
                <w:lang w:eastAsia="en-US"/>
              </w:rPr>
              <w:t>M17JF142.</w:t>
            </w:r>
            <w:r>
              <w:rPr>
                <w:lang w:eastAsia="en-US"/>
              </w:rPr>
              <w:t>V05</w:t>
            </w:r>
            <w:r w:rsidR="001C16FE">
              <w:rPr>
                <w:lang w:eastAsia="en-US"/>
              </w:rPr>
              <w:t>.</w:t>
            </w:r>
            <w:r w:rsidRPr="00FD274F">
              <w:rPr>
                <w:lang w:eastAsia="en-US"/>
              </w:rPr>
              <w:t>DOCX</w:t>
            </w:r>
          </w:p>
        </w:tc>
      </w:tr>
      <w:tr w:rsidR="00F6117F" w14:paraId="1FF2F055" w14:textId="77777777" w:rsidTr="00A16959">
        <w:tc>
          <w:tcPr>
            <w:tcW w:w="3009" w:type="dxa"/>
            <w:shd w:val="clear" w:color="auto" w:fill="auto"/>
          </w:tcPr>
          <w:p w14:paraId="050D5E2C" w14:textId="77777777" w:rsidR="00F6117F" w:rsidRPr="000C6703" w:rsidRDefault="00F6117F" w:rsidP="00805ED3">
            <w:pPr>
              <w:pStyle w:val="Tabletext"/>
              <w:rPr>
                <w:lang w:eastAsia="en-US"/>
              </w:rPr>
            </w:pPr>
            <w:r w:rsidRPr="000C6703">
              <w:rPr>
                <w:lang w:eastAsia="en-US"/>
              </w:rPr>
              <w:t>3.2</w:t>
            </w:r>
          </w:p>
        </w:tc>
        <w:tc>
          <w:tcPr>
            <w:tcW w:w="3009" w:type="dxa"/>
            <w:shd w:val="clear" w:color="auto" w:fill="auto"/>
          </w:tcPr>
          <w:p w14:paraId="6CE26ACA" w14:textId="77777777" w:rsidR="00F6117F" w:rsidRPr="000C6703" w:rsidRDefault="00F6117F" w:rsidP="00805ED3">
            <w:pPr>
              <w:pStyle w:val="Tabletext"/>
              <w:rPr>
                <w:lang w:eastAsia="en-US"/>
              </w:rPr>
            </w:pPr>
            <w:r w:rsidRPr="000C6703">
              <w:rPr>
                <w:lang w:eastAsia="en-US"/>
              </w:rPr>
              <w:t>March 2018</w:t>
            </w:r>
          </w:p>
        </w:tc>
        <w:tc>
          <w:tcPr>
            <w:tcW w:w="3009" w:type="dxa"/>
            <w:shd w:val="clear" w:color="auto" w:fill="auto"/>
          </w:tcPr>
          <w:p w14:paraId="4527B90D" w14:textId="77777777" w:rsidR="00F6117F" w:rsidRPr="00FD274F" w:rsidRDefault="00F6117F" w:rsidP="00805ED3">
            <w:pPr>
              <w:pStyle w:val="Tabletext"/>
              <w:rPr>
                <w:lang w:eastAsia="en-US"/>
              </w:rPr>
            </w:pPr>
            <w:r w:rsidRPr="00FD274F">
              <w:rPr>
                <w:lang w:eastAsia="en-US"/>
              </w:rPr>
              <w:t>M17JF142.</w:t>
            </w:r>
            <w:r>
              <w:rPr>
                <w:lang w:eastAsia="en-US"/>
              </w:rPr>
              <w:t>V11</w:t>
            </w:r>
            <w:r w:rsidR="001C16FE">
              <w:rPr>
                <w:lang w:eastAsia="en-US"/>
              </w:rPr>
              <w:t>.</w:t>
            </w:r>
            <w:r w:rsidRPr="00FD274F">
              <w:rPr>
                <w:lang w:eastAsia="en-US"/>
              </w:rPr>
              <w:t>DOCX</w:t>
            </w:r>
          </w:p>
        </w:tc>
      </w:tr>
      <w:tr w:rsidR="00F6117F" w14:paraId="00D80665" w14:textId="77777777" w:rsidTr="00A16959">
        <w:tc>
          <w:tcPr>
            <w:tcW w:w="3009" w:type="dxa"/>
            <w:shd w:val="clear" w:color="auto" w:fill="auto"/>
          </w:tcPr>
          <w:p w14:paraId="45FAA0BB" w14:textId="77777777" w:rsidR="00F6117F" w:rsidRPr="000C6703" w:rsidRDefault="00F6117F" w:rsidP="00805ED3">
            <w:pPr>
              <w:pStyle w:val="Tabletext"/>
              <w:rPr>
                <w:lang w:eastAsia="en-US"/>
              </w:rPr>
            </w:pPr>
            <w:r>
              <w:rPr>
                <w:lang w:eastAsia="en-US"/>
              </w:rPr>
              <w:t>3.3</w:t>
            </w:r>
          </w:p>
        </w:tc>
        <w:tc>
          <w:tcPr>
            <w:tcW w:w="3009" w:type="dxa"/>
            <w:shd w:val="clear" w:color="auto" w:fill="auto"/>
          </w:tcPr>
          <w:p w14:paraId="3AF4F416" w14:textId="77777777" w:rsidR="00F6117F" w:rsidRPr="000C6703" w:rsidRDefault="00F6117F" w:rsidP="00805ED3">
            <w:pPr>
              <w:pStyle w:val="Tabletext"/>
              <w:rPr>
                <w:lang w:eastAsia="en-US"/>
              </w:rPr>
            </w:pPr>
            <w:r>
              <w:rPr>
                <w:lang w:eastAsia="en-US"/>
              </w:rPr>
              <w:t>June 2018</w:t>
            </w:r>
          </w:p>
        </w:tc>
        <w:tc>
          <w:tcPr>
            <w:tcW w:w="3009" w:type="dxa"/>
            <w:shd w:val="clear" w:color="auto" w:fill="auto"/>
          </w:tcPr>
          <w:p w14:paraId="6244B4C6" w14:textId="77777777" w:rsidR="00F6117F" w:rsidRPr="00FD274F" w:rsidRDefault="00F6117F" w:rsidP="00805ED3">
            <w:pPr>
              <w:pStyle w:val="Tabletext"/>
              <w:rPr>
                <w:lang w:eastAsia="en-US"/>
              </w:rPr>
            </w:pPr>
            <w:r w:rsidRPr="00FD274F">
              <w:rPr>
                <w:lang w:eastAsia="en-US"/>
              </w:rPr>
              <w:t>M17JF142.</w:t>
            </w:r>
            <w:r>
              <w:rPr>
                <w:lang w:eastAsia="en-US"/>
              </w:rPr>
              <w:t>V12</w:t>
            </w:r>
            <w:r w:rsidR="001C16FE">
              <w:rPr>
                <w:lang w:eastAsia="en-US"/>
              </w:rPr>
              <w:t>.</w:t>
            </w:r>
            <w:r w:rsidRPr="00FD274F">
              <w:rPr>
                <w:lang w:eastAsia="en-US"/>
              </w:rPr>
              <w:t>DOCX</w:t>
            </w:r>
          </w:p>
        </w:tc>
      </w:tr>
      <w:tr w:rsidR="00F6117F" w14:paraId="28875671" w14:textId="77777777" w:rsidTr="00A16959">
        <w:tc>
          <w:tcPr>
            <w:tcW w:w="3009" w:type="dxa"/>
            <w:shd w:val="clear" w:color="auto" w:fill="auto"/>
          </w:tcPr>
          <w:p w14:paraId="7A7A0AD5" w14:textId="77777777" w:rsidR="00F6117F" w:rsidRDefault="00F6117F" w:rsidP="00805ED3">
            <w:pPr>
              <w:pStyle w:val="Tabletext"/>
              <w:rPr>
                <w:lang w:eastAsia="en-US"/>
              </w:rPr>
            </w:pPr>
            <w:r>
              <w:rPr>
                <w:lang w:eastAsia="en-US"/>
              </w:rPr>
              <w:t>3.4</w:t>
            </w:r>
          </w:p>
        </w:tc>
        <w:tc>
          <w:tcPr>
            <w:tcW w:w="3009" w:type="dxa"/>
            <w:shd w:val="clear" w:color="auto" w:fill="auto"/>
          </w:tcPr>
          <w:p w14:paraId="36FE8BC9" w14:textId="77777777" w:rsidR="00F6117F" w:rsidRDefault="00F6117F" w:rsidP="00805ED3">
            <w:pPr>
              <w:pStyle w:val="Tabletext"/>
              <w:rPr>
                <w:lang w:eastAsia="en-US"/>
              </w:rPr>
            </w:pPr>
            <w:r>
              <w:rPr>
                <w:lang w:eastAsia="en-US"/>
              </w:rPr>
              <w:t>November 2018</w:t>
            </w:r>
          </w:p>
        </w:tc>
        <w:tc>
          <w:tcPr>
            <w:tcW w:w="3009" w:type="dxa"/>
            <w:shd w:val="clear" w:color="auto" w:fill="auto"/>
          </w:tcPr>
          <w:p w14:paraId="5E456D84" w14:textId="77777777" w:rsidR="00F6117F" w:rsidRPr="00FD274F" w:rsidRDefault="00F6117F" w:rsidP="00805ED3">
            <w:pPr>
              <w:pStyle w:val="Tabletext"/>
              <w:rPr>
                <w:lang w:eastAsia="en-US"/>
              </w:rPr>
            </w:pPr>
            <w:r w:rsidRPr="00FD274F">
              <w:rPr>
                <w:lang w:eastAsia="en-US"/>
              </w:rPr>
              <w:t>M17JF142.</w:t>
            </w:r>
            <w:r>
              <w:rPr>
                <w:lang w:eastAsia="en-US"/>
              </w:rPr>
              <w:t>V20</w:t>
            </w:r>
            <w:r w:rsidR="001C16FE">
              <w:rPr>
                <w:lang w:eastAsia="en-US"/>
              </w:rPr>
              <w:t>.</w:t>
            </w:r>
            <w:r w:rsidRPr="00FD274F">
              <w:rPr>
                <w:lang w:eastAsia="en-US"/>
              </w:rPr>
              <w:t>DOCX</w:t>
            </w:r>
          </w:p>
        </w:tc>
      </w:tr>
      <w:tr w:rsidR="00A16959" w14:paraId="741F2A54" w14:textId="77777777" w:rsidTr="00A16959">
        <w:tc>
          <w:tcPr>
            <w:tcW w:w="3009" w:type="dxa"/>
            <w:tcBorders>
              <w:bottom w:val="single" w:sz="2" w:space="0" w:color="auto"/>
            </w:tcBorders>
            <w:shd w:val="clear" w:color="auto" w:fill="auto"/>
          </w:tcPr>
          <w:p w14:paraId="6B0BFFB2" w14:textId="77777777" w:rsidR="00A16959" w:rsidRDefault="00A16959" w:rsidP="00805ED3">
            <w:pPr>
              <w:pStyle w:val="Tabletext"/>
              <w:rPr>
                <w:lang w:eastAsia="en-US"/>
              </w:rPr>
            </w:pPr>
            <w:r>
              <w:rPr>
                <w:lang w:eastAsia="en-US"/>
              </w:rPr>
              <w:t>3.5</w:t>
            </w:r>
          </w:p>
        </w:tc>
        <w:tc>
          <w:tcPr>
            <w:tcW w:w="3009" w:type="dxa"/>
            <w:tcBorders>
              <w:bottom w:val="single" w:sz="2" w:space="0" w:color="auto"/>
            </w:tcBorders>
            <w:shd w:val="clear" w:color="auto" w:fill="auto"/>
          </w:tcPr>
          <w:p w14:paraId="465D36EA" w14:textId="77777777" w:rsidR="00A16959" w:rsidRDefault="00A16959" w:rsidP="00805ED3">
            <w:pPr>
              <w:pStyle w:val="Tabletext"/>
              <w:rPr>
                <w:lang w:eastAsia="en-US"/>
              </w:rPr>
            </w:pPr>
            <w:r>
              <w:rPr>
                <w:lang w:eastAsia="en-US"/>
              </w:rPr>
              <w:t>May 2019</w:t>
            </w:r>
          </w:p>
        </w:tc>
        <w:tc>
          <w:tcPr>
            <w:tcW w:w="3009" w:type="dxa"/>
            <w:tcBorders>
              <w:bottom w:val="single" w:sz="2" w:space="0" w:color="auto"/>
            </w:tcBorders>
            <w:shd w:val="clear" w:color="auto" w:fill="auto"/>
          </w:tcPr>
          <w:p w14:paraId="0110948A" w14:textId="77777777" w:rsidR="00A16959" w:rsidRPr="00637CF2" w:rsidRDefault="00A16959" w:rsidP="00805ED3">
            <w:pPr>
              <w:pStyle w:val="Tabletext"/>
              <w:rPr>
                <w:lang w:eastAsia="en-US"/>
              </w:rPr>
            </w:pPr>
            <w:r w:rsidRPr="00637CF2">
              <w:rPr>
                <w:lang w:eastAsia="en-US"/>
              </w:rPr>
              <w:t>M17JF142.V24</w:t>
            </w:r>
            <w:r w:rsidR="001C16FE">
              <w:rPr>
                <w:lang w:eastAsia="en-US"/>
              </w:rPr>
              <w:t>.</w:t>
            </w:r>
            <w:r w:rsidRPr="00637CF2">
              <w:rPr>
                <w:lang w:eastAsia="en-US"/>
              </w:rPr>
              <w:t>DOCX</w:t>
            </w:r>
          </w:p>
        </w:tc>
      </w:tr>
      <w:tr w:rsidR="00F6117F" w14:paraId="7D9AE45A" w14:textId="77777777" w:rsidTr="00135AC2">
        <w:tc>
          <w:tcPr>
            <w:tcW w:w="3009" w:type="dxa"/>
            <w:tcBorders>
              <w:top w:val="single" w:sz="2" w:space="0" w:color="auto"/>
              <w:bottom w:val="single" w:sz="2" w:space="0" w:color="auto"/>
            </w:tcBorders>
            <w:shd w:val="clear" w:color="auto" w:fill="auto"/>
          </w:tcPr>
          <w:p w14:paraId="6AA7BB32" w14:textId="77777777" w:rsidR="00F6117F" w:rsidRDefault="009C4251" w:rsidP="00805ED3">
            <w:pPr>
              <w:pStyle w:val="Tabletext"/>
              <w:rPr>
                <w:lang w:eastAsia="en-US"/>
              </w:rPr>
            </w:pPr>
            <w:r>
              <w:rPr>
                <w:lang w:eastAsia="en-US"/>
              </w:rPr>
              <w:t>3.6</w:t>
            </w:r>
          </w:p>
        </w:tc>
        <w:tc>
          <w:tcPr>
            <w:tcW w:w="3009" w:type="dxa"/>
            <w:tcBorders>
              <w:top w:val="single" w:sz="2" w:space="0" w:color="auto"/>
              <w:bottom w:val="single" w:sz="2" w:space="0" w:color="auto"/>
            </w:tcBorders>
            <w:shd w:val="clear" w:color="auto" w:fill="auto"/>
          </w:tcPr>
          <w:p w14:paraId="3FC55B16" w14:textId="1632DE46" w:rsidR="00F6117F" w:rsidRDefault="009366F6" w:rsidP="00805ED3">
            <w:pPr>
              <w:pStyle w:val="Tabletext"/>
              <w:rPr>
                <w:lang w:eastAsia="en-US"/>
              </w:rPr>
            </w:pPr>
            <w:r>
              <w:rPr>
                <w:lang w:eastAsia="en-US"/>
              </w:rPr>
              <w:t xml:space="preserve">August </w:t>
            </w:r>
            <w:r w:rsidR="007B7E58">
              <w:rPr>
                <w:lang w:eastAsia="en-US"/>
              </w:rPr>
              <w:t>2022</w:t>
            </w:r>
          </w:p>
        </w:tc>
        <w:tc>
          <w:tcPr>
            <w:tcW w:w="3009" w:type="dxa"/>
            <w:tcBorders>
              <w:top w:val="single" w:sz="2" w:space="0" w:color="auto"/>
              <w:bottom w:val="single" w:sz="2" w:space="0" w:color="auto"/>
            </w:tcBorders>
            <w:shd w:val="clear" w:color="auto" w:fill="auto"/>
          </w:tcPr>
          <w:p w14:paraId="11442061" w14:textId="364DD815" w:rsidR="00F6117F" w:rsidRPr="00FD274F" w:rsidRDefault="007B7E58" w:rsidP="00805ED3">
            <w:pPr>
              <w:pStyle w:val="Tabletext"/>
              <w:rPr>
                <w:lang w:eastAsia="en-US"/>
              </w:rPr>
            </w:pPr>
            <w:r>
              <w:rPr>
                <w:lang w:eastAsia="en-US"/>
              </w:rPr>
              <w:t>M17JF142.V36.DOCX</w:t>
            </w:r>
          </w:p>
        </w:tc>
      </w:tr>
      <w:tr w:rsidR="00135AC2" w14:paraId="263C10E8" w14:textId="77777777" w:rsidTr="00CE41DB">
        <w:tc>
          <w:tcPr>
            <w:tcW w:w="3009" w:type="dxa"/>
            <w:tcBorders>
              <w:top w:val="single" w:sz="2" w:space="0" w:color="auto"/>
              <w:bottom w:val="single" w:sz="2" w:space="0" w:color="auto"/>
            </w:tcBorders>
            <w:shd w:val="clear" w:color="auto" w:fill="auto"/>
          </w:tcPr>
          <w:p w14:paraId="0FD0246A" w14:textId="0B3DCF05" w:rsidR="00135AC2" w:rsidRDefault="00135AC2" w:rsidP="00805ED3">
            <w:pPr>
              <w:pStyle w:val="Tabletext"/>
              <w:rPr>
                <w:lang w:eastAsia="en-US"/>
              </w:rPr>
            </w:pPr>
            <w:r>
              <w:rPr>
                <w:lang w:eastAsia="en-US"/>
              </w:rPr>
              <w:t>3.7</w:t>
            </w:r>
          </w:p>
        </w:tc>
        <w:tc>
          <w:tcPr>
            <w:tcW w:w="3009" w:type="dxa"/>
            <w:tcBorders>
              <w:top w:val="single" w:sz="2" w:space="0" w:color="auto"/>
              <w:bottom w:val="single" w:sz="2" w:space="0" w:color="auto"/>
            </w:tcBorders>
            <w:shd w:val="clear" w:color="auto" w:fill="auto"/>
          </w:tcPr>
          <w:p w14:paraId="3F11A7D0" w14:textId="36D56762" w:rsidR="00135AC2" w:rsidRDefault="00135AC2" w:rsidP="00805ED3">
            <w:pPr>
              <w:pStyle w:val="Tabletext"/>
              <w:rPr>
                <w:lang w:eastAsia="en-US"/>
              </w:rPr>
            </w:pPr>
            <w:r>
              <w:rPr>
                <w:lang w:eastAsia="en-US"/>
              </w:rPr>
              <w:t>September 2022</w:t>
            </w:r>
          </w:p>
        </w:tc>
        <w:tc>
          <w:tcPr>
            <w:tcW w:w="3009" w:type="dxa"/>
            <w:tcBorders>
              <w:top w:val="single" w:sz="2" w:space="0" w:color="auto"/>
              <w:bottom w:val="single" w:sz="2" w:space="0" w:color="auto"/>
            </w:tcBorders>
            <w:shd w:val="clear" w:color="auto" w:fill="auto"/>
          </w:tcPr>
          <w:p w14:paraId="235F9DF9" w14:textId="3E6246BF" w:rsidR="00135AC2" w:rsidRDefault="00135AC2" w:rsidP="00805ED3">
            <w:pPr>
              <w:pStyle w:val="Tabletext"/>
              <w:rPr>
                <w:lang w:eastAsia="en-US"/>
              </w:rPr>
            </w:pPr>
            <w:r>
              <w:rPr>
                <w:lang w:eastAsia="en-US"/>
              </w:rPr>
              <w:t>M17JF142.V40.DOCX</w:t>
            </w:r>
          </w:p>
        </w:tc>
      </w:tr>
      <w:tr w:rsidR="00CE41DB" w14:paraId="51563562" w14:textId="77777777" w:rsidTr="00867179">
        <w:tc>
          <w:tcPr>
            <w:tcW w:w="3009" w:type="dxa"/>
            <w:tcBorders>
              <w:top w:val="single" w:sz="2" w:space="0" w:color="auto"/>
              <w:bottom w:val="single" w:sz="12" w:space="0" w:color="auto"/>
            </w:tcBorders>
            <w:shd w:val="clear" w:color="auto" w:fill="auto"/>
          </w:tcPr>
          <w:p w14:paraId="7556371B" w14:textId="42D205E3" w:rsidR="00CE41DB" w:rsidRDefault="00CE41DB" w:rsidP="00805ED3">
            <w:pPr>
              <w:pStyle w:val="Tabletext"/>
              <w:rPr>
                <w:lang w:eastAsia="en-US"/>
              </w:rPr>
            </w:pPr>
            <w:r>
              <w:rPr>
                <w:lang w:eastAsia="en-US"/>
              </w:rPr>
              <w:t>3.8</w:t>
            </w:r>
          </w:p>
        </w:tc>
        <w:tc>
          <w:tcPr>
            <w:tcW w:w="3009" w:type="dxa"/>
            <w:tcBorders>
              <w:top w:val="single" w:sz="2" w:space="0" w:color="auto"/>
              <w:bottom w:val="single" w:sz="12" w:space="0" w:color="auto"/>
            </w:tcBorders>
            <w:shd w:val="clear" w:color="auto" w:fill="auto"/>
          </w:tcPr>
          <w:p w14:paraId="078D0990" w14:textId="1B21F4C2" w:rsidR="00CE41DB" w:rsidRDefault="00F02267" w:rsidP="00805ED3">
            <w:pPr>
              <w:pStyle w:val="Tabletext"/>
              <w:rPr>
                <w:lang w:eastAsia="en-US"/>
              </w:rPr>
            </w:pPr>
            <w:r>
              <w:rPr>
                <w:lang w:eastAsia="en-US"/>
              </w:rPr>
              <w:t>December</w:t>
            </w:r>
            <w:r w:rsidR="00E14A65">
              <w:rPr>
                <w:lang w:eastAsia="en-US"/>
              </w:rPr>
              <w:t xml:space="preserve"> 2024</w:t>
            </w:r>
          </w:p>
        </w:tc>
        <w:tc>
          <w:tcPr>
            <w:tcW w:w="3009" w:type="dxa"/>
            <w:tcBorders>
              <w:top w:val="single" w:sz="2" w:space="0" w:color="auto"/>
              <w:bottom w:val="single" w:sz="12" w:space="0" w:color="auto"/>
            </w:tcBorders>
            <w:shd w:val="clear" w:color="auto" w:fill="auto"/>
          </w:tcPr>
          <w:p w14:paraId="48B48B70" w14:textId="00969EBD" w:rsidR="00CE41DB" w:rsidRDefault="00120615" w:rsidP="00805ED3">
            <w:pPr>
              <w:pStyle w:val="Tabletext"/>
              <w:rPr>
                <w:lang w:eastAsia="en-US"/>
              </w:rPr>
            </w:pPr>
            <w:r>
              <w:rPr>
                <w:lang w:eastAsia="en-US"/>
              </w:rPr>
              <w:t>M17JF142.V5</w:t>
            </w:r>
            <w:r w:rsidR="003B5CCE">
              <w:rPr>
                <w:lang w:eastAsia="en-US"/>
              </w:rPr>
              <w:t>3</w:t>
            </w:r>
            <w:r>
              <w:rPr>
                <w:lang w:eastAsia="en-US"/>
              </w:rPr>
              <w:t>.DOCX</w:t>
            </w:r>
          </w:p>
        </w:tc>
      </w:tr>
    </w:tbl>
    <w:p w14:paraId="3A375CF6" w14:textId="77777777" w:rsidR="00A46E7A" w:rsidRPr="00A46E7A" w:rsidRDefault="00A46E7A" w:rsidP="00F6117F">
      <w:pPr>
        <w:pStyle w:val="Tabletext"/>
      </w:pPr>
    </w:p>
    <w:sectPr w:rsidR="00A46E7A" w:rsidRPr="00A46E7A" w:rsidSect="00590636">
      <w:headerReference w:type="default" r:id="rId718"/>
      <w:pgSz w:w="11907" w:h="16839" w:code="9"/>
      <w:pgMar w:top="1440" w:right="1440" w:bottom="1440" w:left="1440" w:header="720" w:footer="567"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20461" w14:textId="77777777" w:rsidR="00F02267" w:rsidRDefault="00F02267" w:rsidP="00610D12">
      <w:pPr>
        <w:spacing w:line="240" w:lineRule="auto"/>
      </w:pPr>
      <w:r>
        <w:separator/>
      </w:r>
    </w:p>
  </w:endnote>
  <w:endnote w:type="continuationSeparator" w:id="0">
    <w:p w14:paraId="4D264B3C" w14:textId="77777777" w:rsidR="00F02267" w:rsidRDefault="00F02267" w:rsidP="00610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F08C" w14:textId="77777777" w:rsidR="00F02267" w:rsidRDefault="00F02267" w:rsidP="00782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lxxxiv</w:t>
    </w:r>
    <w:r>
      <w:rPr>
        <w:rStyle w:val="PageNumber"/>
      </w:rPr>
      <w:fldChar w:fldCharType="end"/>
    </w:r>
  </w:p>
  <w:p w14:paraId="4BC7FD21" w14:textId="77777777" w:rsidR="00F02267" w:rsidRDefault="00F02267" w:rsidP="00782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D9D77" w14:textId="77777777" w:rsidR="00F02267" w:rsidRDefault="00F02267" w:rsidP="00782976">
    <w:pPr>
      <w:tabs>
        <w:tab w:val="right" w:pos="8931"/>
      </w:tabs>
      <w:rPr>
        <w:sz w:val="16"/>
      </w:rPr>
    </w:pPr>
    <w:r>
      <w:rPr>
        <w:sz w:val="16"/>
      </w:rPr>
      <w:tab/>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95D7" w14:textId="77777777" w:rsidR="00833171" w:rsidRDefault="008331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D15E" w14:textId="77777777" w:rsidR="00F02267" w:rsidRPr="00E33C1C" w:rsidRDefault="00F02267"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F02267" w:rsidRPr="00550D22" w14:paraId="752F73B1" w14:textId="77777777" w:rsidTr="00746A03">
      <w:tc>
        <w:tcPr>
          <w:tcW w:w="1384" w:type="dxa"/>
          <w:tcBorders>
            <w:top w:val="nil"/>
            <w:left w:val="nil"/>
            <w:bottom w:val="nil"/>
            <w:right w:val="nil"/>
          </w:tcBorders>
          <w:shd w:val="clear" w:color="auto" w:fill="auto"/>
        </w:tcPr>
        <w:p w14:paraId="6E6CD0D9" w14:textId="77777777" w:rsidR="00F02267" w:rsidRPr="00AF024F" w:rsidRDefault="00F02267" w:rsidP="00746A03">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Pr>
              <w:i/>
              <w:noProof/>
              <w:sz w:val="18"/>
            </w:rPr>
            <w:t>84</w:t>
          </w:r>
          <w:r w:rsidRPr="00AF024F">
            <w:rPr>
              <w:i/>
              <w:sz w:val="18"/>
            </w:rPr>
            <w:fldChar w:fldCharType="end"/>
          </w:r>
        </w:p>
      </w:tc>
      <w:tc>
        <w:tcPr>
          <w:tcW w:w="6379" w:type="dxa"/>
          <w:tcBorders>
            <w:top w:val="nil"/>
            <w:left w:val="nil"/>
            <w:bottom w:val="nil"/>
            <w:right w:val="nil"/>
          </w:tcBorders>
          <w:shd w:val="clear" w:color="auto" w:fill="auto"/>
        </w:tcPr>
        <w:p w14:paraId="5F94FC88" w14:textId="46E5A6DC" w:rsidR="00F02267" w:rsidRPr="00550D22" w:rsidRDefault="00F02267" w:rsidP="00590636">
          <w:pPr>
            <w:spacing w:line="0" w:lineRule="atLeast"/>
            <w:jc w:val="center"/>
            <w:rPr>
              <w:sz w:val="18"/>
            </w:rPr>
          </w:pPr>
          <w:r>
            <w:rPr>
              <w:i/>
              <w:sz w:val="18"/>
            </w:rPr>
            <w:fldChar w:fldCharType="begin"/>
          </w:r>
          <w:r>
            <w:rPr>
              <w:i/>
              <w:sz w:val="18"/>
            </w:rPr>
            <w:instrText xml:space="preserve"> TITLE   \* MERGEFORMAT </w:instrText>
          </w:r>
          <w:r>
            <w:rPr>
              <w:i/>
              <w:sz w:val="18"/>
            </w:rPr>
            <w:fldChar w:fldCharType="separate"/>
          </w:r>
          <w:r w:rsidR="00833171">
            <w:rPr>
              <w:i/>
              <w:sz w:val="18"/>
            </w:rPr>
            <w:t>Instruments Handbook</w:t>
          </w:r>
          <w:r>
            <w:rPr>
              <w:i/>
              <w:sz w:val="18"/>
            </w:rPr>
            <w:fldChar w:fldCharType="end"/>
          </w:r>
        </w:p>
      </w:tc>
      <w:tc>
        <w:tcPr>
          <w:tcW w:w="1417" w:type="dxa"/>
          <w:tcBorders>
            <w:top w:val="nil"/>
            <w:left w:val="nil"/>
            <w:bottom w:val="nil"/>
            <w:right w:val="nil"/>
          </w:tcBorders>
          <w:shd w:val="clear" w:color="auto" w:fill="auto"/>
        </w:tcPr>
        <w:p w14:paraId="71A8D63A" w14:textId="77777777" w:rsidR="00F02267" w:rsidRPr="00550D22" w:rsidRDefault="00F02267" w:rsidP="00714D90">
          <w:pPr>
            <w:spacing w:line="0" w:lineRule="atLeast"/>
            <w:jc w:val="right"/>
            <w:rPr>
              <w:sz w:val="18"/>
            </w:rPr>
          </w:pPr>
        </w:p>
      </w:tc>
    </w:tr>
    <w:tr w:rsidR="00F02267" w:rsidRPr="00550D22" w14:paraId="2AB3C034"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38763A9F" w14:textId="77777777" w:rsidR="00F02267" w:rsidRPr="00550D22" w:rsidRDefault="00F02267" w:rsidP="00746A03">
          <w:pPr>
            <w:rPr>
              <w:sz w:val="18"/>
            </w:rPr>
          </w:pPr>
        </w:p>
      </w:tc>
    </w:tr>
  </w:tbl>
  <w:p w14:paraId="4CE14795" w14:textId="77777777" w:rsidR="00F02267" w:rsidRPr="00077A3C" w:rsidRDefault="00F02267" w:rsidP="00077A3C">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CB3B" w14:textId="77777777" w:rsidR="00F02267" w:rsidRPr="00E33C1C" w:rsidRDefault="00F02267"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F02267" w:rsidRPr="00550D22" w14:paraId="224CD280" w14:textId="77777777" w:rsidTr="00746A03">
      <w:tc>
        <w:tcPr>
          <w:tcW w:w="1384" w:type="dxa"/>
          <w:tcBorders>
            <w:top w:val="nil"/>
            <w:left w:val="nil"/>
            <w:bottom w:val="nil"/>
            <w:right w:val="nil"/>
          </w:tcBorders>
          <w:shd w:val="clear" w:color="auto" w:fill="auto"/>
        </w:tcPr>
        <w:p w14:paraId="34716C61" w14:textId="77777777" w:rsidR="00F02267" w:rsidRPr="00550D22" w:rsidRDefault="00F02267" w:rsidP="00746A03">
          <w:pPr>
            <w:spacing w:line="0" w:lineRule="atLeast"/>
            <w:rPr>
              <w:sz w:val="18"/>
            </w:rPr>
          </w:pPr>
        </w:p>
      </w:tc>
      <w:tc>
        <w:tcPr>
          <w:tcW w:w="6379" w:type="dxa"/>
          <w:tcBorders>
            <w:top w:val="nil"/>
            <w:left w:val="nil"/>
            <w:bottom w:val="nil"/>
            <w:right w:val="nil"/>
          </w:tcBorders>
          <w:shd w:val="clear" w:color="auto" w:fill="auto"/>
        </w:tcPr>
        <w:p w14:paraId="7E5785D3" w14:textId="5695BA50" w:rsidR="00F02267" w:rsidRPr="00550D22" w:rsidRDefault="00F02267" w:rsidP="00613359">
          <w:pPr>
            <w:spacing w:line="0" w:lineRule="atLeast"/>
            <w:jc w:val="center"/>
            <w:rPr>
              <w:sz w:val="18"/>
            </w:rPr>
          </w:pPr>
          <w:r>
            <w:rPr>
              <w:i/>
              <w:sz w:val="18"/>
            </w:rPr>
            <w:fldChar w:fldCharType="begin"/>
          </w:r>
          <w:r>
            <w:rPr>
              <w:i/>
              <w:sz w:val="18"/>
            </w:rPr>
            <w:instrText xml:space="preserve"> TITLE   \* MERGEFORMAT </w:instrText>
          </w:r>
          <w:r>
            <w:rPr>
              <w:i/>
              <w:sz w:val="18"/>
            </w:rPr>
            <w:fldChar w:fldCharType="separate"/>
          </w:r>
          <w:r w:rsidR="00833171">
            <w:rPr>
              <w:i/>
              <w:sz w:val="18"/>
            </w:rPr>
            <w:t>Instruments Handbook</w:t>
          </w:r>
          <w:r>
            <w:rPr>
              <w:i/>
              <w:sz w:val="18"/>
            </w:rPr>
            <w:fldChar w:fldCharType="end"/>
          </w:r>
        </w:p>
      </w:tc>
      <w:tc>
        <w:tcPr>
          <w:tcW w:w="1417" w:type="dxa"/>
          <w:tcBorders>
            <w:top w:val="nil"/>
            <w:left w:val="nil"/>
            <w:bottom w:val="nil"/>
            <w:right w:val="nil"/>
          </w:tcBorders>
          <w:shd w:val="clear" w:color="auto" w:fill="auto"/>
        </w:tcPr>
        <w:p w14:paraId="7EB5DF84" w14:textId="77777777" w:rsidR="00F02267" w:rsidRPr="00550D22" w:rsidRDefault="00F02267" w:rsidP="00746A03">
          <w:pPr>
            <w:spacing w:line="0" w:lineRule="atLeast"/>
            <w:jc w:val="right"/>
            <w:rPr>
              <w:sz w:val="18"/>
            </w:rPr>
          </w:pPr>
          <w:r w:rsidRPr="00491DA1">
            <w:rPr>
              <w:i/>
              <w:sz w:val="18"/>
            </w:rPr>
            <w:fldChar w:fldCharType="begin"/>
          </w:r>
          <w:r w:rsidRPr="00491DA1">
            <w:rPr>
              <w:i/>
              <w:sz w:val="18"/>
            </w:rPr>
            <w:instrText xml:space="preserve"> PAGE   \* MERGEFORMAT </w:instrText>
          </w:r>
          <w:r w:rsidRPr="00491DA1">
            <w:rPr>
              <w:i/>
              <w:sz w:val="18"/>
            </w:rPr>
            <w:fldChar w:fldCharType="separate"/>
          </w:r>
          <w:r>
            <w:rPr>
              <w:i/>
              <w:noProof/>
              <w:sz w:val="18"/>
            </w:rPr>
            <w:t>58</w:t>
          </w:r>
          <w:r w:rsidRPr="00491DA1">
            <w:rPr>
              <w:i/>
              <w:noProof/>
              <w:sz w:val="18"/>
            </w:rPr>
            <w:fldChar w:fldCharType="end"/>
          </w:r>
        </w:p>
      </w:tc>
    </w:tr>
    <w:tr w:rsidR="00F02267" w:rsidRPr="00550D22" w14:paraId="07EC0071"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7834429A" w14:textId="77777777" w:rsidR="00F02267" w:rsidRPr="00550D22" w:rsidRDefault="00F02267" w:rsidP="00746A03">
          <w:pPr>
            <w:rPr>
              <w:sz w:val="18"/>
            </w:rPr>
          </w:pPr>
        </w:p>
      </w:tc>
    </w:tr>
  </w:tbl>
  <w:p w14:paraId="03D99126" w14:textId="77777777" w:rsidR="00F02267" w:rsidRPr="00590636" w:rsidRDefault="00F02267" w:rsidP="00590636">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DD3C" w14:textId="77777777" w:rsidR="00F02267" w:rsidRPr="00E33C1C" w:rsidRDefault="00F02267"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F02267" w:rsidRPr="00550D22" w14:paraId="59767398" w14:textId="77777777" w:rsidTr="00746A03">
      <w:tc>
        <w:tcPr>
          <w:tcW w:w="1384" w:type="dxa"/>
          <w:tcBorders>
            <w:top w:val="nil"/>
            <w:left w:val="nil"/>
            <w:bottom w:val="nil"/>
            <w:right w:val="nil"/>
          </w:tcBorders>
          <w:shd w:val="clear" w:color="auto" w:fill="auto"/>
        </w:tcPr>
        <w:p w14:paraId="3C833132" w14:textId="77777777" w:rsidR="00F02267" w:rsidRPr="00550D22" w:rsidRDefault="00F02267" w:rsidP="00746A03">
          <w:pPr>
            <w:spacing w:line="0" w:lineRule="atLeast"/>
            <w:rPr>
              <w:sz w:val="18"/>
            </w:rPr>
          </w:pPr>
          <w:r w:rsidRPr="00550D22">
            <w:rPr>
              <w:sz w:val="18"/>
            </w:rPr>
            <w:fldChar w:fldCharType="begin"/>
          </w:r>
          <w:r w:rsidRPr="00550D22">
            <w:rPr>
              <w:sz w:val="18"/>
            </w:rPr>
            <w:instrText xml:space="preserve"> PAGE </w:instrText>
          </w:r>
          <w:r w:rsidRPr="00550D22">
            <w:rPr>
              <w:sz w:val="18"/>
            </w:rPr>
            <w:fldChar w:fldCharType="separate"/>
          </w:r>
          <w:r>
            <w:rPr>
              <w:noProof/>
              <w:sz w:val="18"/>
            </w:rPr>
            <w:t>84</w:t>
          </w:r>
          <w:r w:rsidRPr="00550D22">
            <w:rPr>
              <w:sz w:val="18"/>
            </w:rPr>
            <w:fldChar w:fldCharType="end"/>
          </w:r>
        </w:p>
      </w:tc>
      <w:tc>
        <w:tcPr>
          <w:tcW w:w="6379" w:type="dxa"/>
          <w:tcBorders>
            <w:top w:val="nil"/>
            <w:left w:val="nil"/>
            <w:bottom w:val="nil"/>
            <w:right w:val="nil"/>
          </w:tcBorders>
          <w:shd w:val="clear" w:color="auto" w:fill="auto"/>
        </w:tcPr>
        <w:p w14:paraId="1003224F" w14:textId="72720E34" w:rsidR="00F02267" w:rsidRPr="00550D22" w:rsidRDefault="00F02267" w:rsidP="00746A03">
          <w:pPr>
            <w:spacing w:line="0" w:lineRule="atLeast"/>
            <w:jc w:val="center"/>
            <w:rPr>
              <w:sz w:val="18"/>
            </w:rPr>
          </w:pPr>
          <w:r w:rsidRPr="00550D22">
            <w:rPr>
              <w:i/>
              <w:sz w:val="18"/>
            </w:rPr>
            <w:fldChar w:fldCharType="begin"/>
          </w:r>
          <w:r w:rsidRPr="00550D22">
            <w:rPr>
              <w:i/>
              <w:sz w:val="18"/>
            </w:rPr>
            <w:instrText xml:space="preserve"> DOCPROPERTY  Subject </w:instrText>
          </w:r>
          <w:r w:rsidRPr="00550D22">
            <w:rPr>
              <w:i/>
              <w:sz w:val="18"/>
            </w:rPr>
            <w:fldChar w:fldCharType="separate"/>
          </w:r>
          <w:r w:rsidR="00833171">
            <w:rPr>
              <w:i/>
              <w:sz w:val="18"/>
            </w:rPr>
            <w:t>Instruments Handbook</w:t>
          </w:r>
          <w:r w:rsidRPr="00550D22">
            <w:rPr>
              <w:i/>
              <w:sz w:val="18"/>
            </w:rPr>
            <w:fldChar w:fldCharType="end"/>
          </w:r>
        </w:p>
      </w:tc>
      <w:tc>
        <w:tcPr>
          <w:tcW w:w="1417" w:type="dxa"/>
          <w:tcBorders>
            <w:top w:val="nil"/>
            <w:left w:val="nil"/>
            <w:bottom w:val="nil"/>
            <w:right w:val="nil"/>
          </w:tcBorders>
          <w:shd w:val="clear" w:color="auto" w:fill="auto"/>
        </w:tcPr>
        <w:p w14:paraId="6347EDB0" w14:textId="77777777" w:rsidR="00F02267" w:rsidRPr="00550D22" w:rsidRDefault="00F02267" w:rsidP="00746A03">
          <w:pPr>
            <w:spacing w:line="0" w:lineRule="atLeast"/>
            <w:jc w:val="right"/>
            <w:rPr>
              <w:sz w:val="18"/>
            </w:rPr>
          </w:pPr>
        </w:p>
      </w:tc>
    </w:tr>
    <w:tr w:rsidR="00F02267" w:rsidRPr="00550D22" w14:paraId="40CAA23B"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303D7552" w14:textId="77777777" w:rsidR="00F02267" w:rsidRPr="00550D22" w:rsidRDefault="00F02267" w:rsidP="00746A03">
          <w:pPr>
            <w:rPr>
              <w:sz w:val="18"/>
            </w:rPr>
          </w:pPr>
        </w:p>
      </w:tc>
    </w:tr>
  </w:tbl>
  <w:p w14:paraId="38BE8A4D" w14:textId="77777777" w:rsidR="00F02267" w:rsidRPr="00530981" w:rsidRDefault="00F02267" w:rsidP="00D901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3442" w14:textId="77777777" w:rsidR="00F02267" w:rsidRPr="00E33C1C" w:rsidRDefault="00F02267"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F02267" w:rsidRPr="00550D22" w14:paraId="52FD0958" w14:textId="77777777" w:rsidTr="00746A03">
      <w:tc>
        <w:tcPr>
          <w:tcW w:w="1384" w:type="dxa"/>
          <w:tcBorders>
            <w:top w:val="nil"/>
            <w:left w:val="nil"/>
            <w:bottom w:val="nil"/>
            <w:right w:val="nil"/>
          </w:tcBorders>
          <w:shd w:val="clear" w:color="auto" w:fill="auto"/>
        </w:tcPr>
        <w:p w14:paraId="36869155" w14:textId="77777777" w:rsidR="00F02267" w:rsidRPr="00550D22" w:rsidRDefault="00F02267" w:rsidP="00746A03">
          <w:pPr>
            <w:spacing w:line="0" w:lineRule="atLeast"/>
            <w:rPr>
              <w:sz w:val="18"/>
            </w:rPr>
          </w:pPr>
        </w:p>
      </w:tc>
      <w:tc>
        <w:tcPr>
          <w:tcW w:w="6379" w:type="dxa"/>
          <w:tcBorders>
            <w:top w:val="nil"/>
            <w:left w:val="nil"/>
            <w:bottom w:val="nil"/>
            <w:right w:val="nil"/>
          </w:tcBorders>
          <w:shd w:val="clear" w:color="auto" w:fill="auto"/>
        </w:tcPr>
        <w:p w14:paraId="63824883" w14:textId="076A0113" w:rsidR="00F02267" w:rsidRPr="00550D22" w:rsidRDefault="00F02267" w:rsidP="00746A03">
          <w:pPr>
            <w:spacing w:line="0" w:lineRule="atLeast"/>
            <w:jc w:val="center"/>
            <w:rPr>
              <w:sz w:val="18"/>
            </w:rPr>
          </w:pPr>
          <w:r w:rsidRPr="00550D22">
            <w:rPr>
              <w:i/>
              <w:sz w:val="18"/>
            </w:rPr>
            <w:fldChar w:fldCharType="begin"/>
          </w:r>
          <w:r w:rsidRPr="00550D22">
            <w:rPr>
              <w:i/>
              <w:sz w:val="18"/>
            </w:rPr>
            <w:instrText xml:space="preserve"> DOCPROPERTY  Subject </w:instrText>
          </w:r>
          <w:r w:rsidRPr="00550D22">
            <w:rPr>
              <w:i/>
              <w:sz w:val="18"/>
            </w:rPr>
            <w:fldChar w:fldCharType="separate"/>
          </w:r>
          <w:r w:rsidR="00833171">
            <w:rPr>
              <w:i/>
              <w:sz w:val="18"/>
            </w:rPr>
            <w:t>Instruments Handbook</w:t>
          </w:r>
          <w:r w:rsidRPr="00550D22">
            <w:rPr>
              <w:i/>
              <w:sz w:val="18"/>
            </w:rPr>
            <w:fldChar w:fldCharType="end"/>
          </w:r>
        </w:p>
      </w:tc>
      <w:tc>
        <w:tcPr>
          <w:tcW w:w="1417" w:type="dxa"/>
          <w:tcBorders>
            <w:top w:val="nil"/>
            <w:left w:val="nil"/>
            <w:bottom w:val="nil"/>
            <w:right w:val="nil"/>
          </w:tcBorders>
          <w:shd w:val="clear" w:color="auto" w:fill="auto"/>
        </w:tcPr>
        <w:p w14:paraId="1824B33E" w14:textId="77777777" w:rsidR="00F02267" w:rsidRPr="00550D22" w:rsidRDefault="00F02267" w:rsidP="00746A03">
          <w:pPr>
            <w:spacing w:line="0" w:lineRule="atLeast"/>
            <w:jc w:val="right"/>
            <w:rPr>
              <w:sz w:val="18"/>
            </w:rPr>
          </w:pPr>
          <w:r w:rsidRPr="00550D22">
            <w:rPr>
              <w:sz w:val="18"/>
            </w:rPr>
            <w:fldChar w:fldCharType="begin"/>
          </w:r>
          <w:r w:rsidRPr="00550D22">
            <w:rPr>
              <w:sz w:val="18"/>
            </w:rPr>
            <w:instrText xml:space="preserve"> PAGE </w:instrText>
          </w:r>
          <w:r w:rsidRPr="00550D22">
            <w:rPr>
              <w:sz w:val="18"/>
            </w:rPr>
            <w:fldChar w:fldCharType="separate"/>
          </w:r>
          <w:r>
            <w:rPr>
              <w:noProof/>
              <w:sz w:val="18"/>
            </w:rPr>
            <w:t>85</w:t>
          </w:r>
          <w:r w:rsidRPr="00550D22">
            <w:rPr>
              <w:sz w:val="18"/>
            </w:rPr>
            <w:fldChar w:fldCharType="end"/>
          </w:r>
        </w:p>
      </w:tc>
    </w:tr>
    <w:tr w:rsidR="00F02267" w:rsidRPr="00550D22" w14:paraId="02227789" w14:textId="77777777"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505C5B2C" w14:textId="77777777" w:rsidR="00F02267" w:rsidRPr="00550D22" w:rsidRDefault="00F02267" w:rsidP="00746A03">
          <w:pPr>
            <w:rPr>
              <w:sz w:val="18"/>
            </w:rPr>
          </w:pPr>
        </w:p>
      </w:tc>
    </w:tr>
  </w:tbl>
  <w:p w14:paraId="7F50805B" w14:textId="77777777" w:rsidR="00F02267" w:rsidRPr="00EA40F8" w:rsidRDefault="00F02267" w:rsidP="00D90167">
    <w:pPr>
      <w:pStyle w:val="Footer"/>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C060" w14:textId="77777777" w:rsidR="00F02267" w:rsidRPr="00E33C1C" w:rsidRDefault="00F02267" w:rsidP="00242D1D">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F02267" w:rsidRPr="00550D22" w14:paraId="1330E853" w14:textId="77777777" w:rsidTr="00F550E3">
      <w:tc>
        <w:tcPr>
          <w:tcW w:w="1384" w:type="dxa"/>
          <w:tcBorders>
            <w:top w:val="nil"/>
            <w:left w:val="nil"/>
            <w:bottom w:val="nil"/>
            <w:right w:val="nil"/>
          </w:tcBorders>
          <w:shd w:val="clear" w:color="auto" w:fill="auto"/>
        </w:tcPr>
        <w:p w14:paraId="51F327F2" w14:textId="77777777" w:rsidR="00F02267" w:rsidRPr="00AF024F" w:rsidRDefault="00F02267" w:rsidP="00F550E3">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Pr>
              <w:i/>
              <w:noProof/>
              <w:sz w:val="18"/>
            </w:rPr>
            <w:t>84</w:t>
          </w:r>
          <w:r w:rsidRPr="00AF024F">
            <w:rPr>
              <w:i/>
              <w:sz w:val="18"/>
            </w:rPr>
            <w:fldChar w:fldCharType="end"/>
          </w:r>
        </w:p>
      </w:tc>
      <w:tc>
        <w:tcPr>
          <w:tcW w:w="6379" w:type="dxa"/>
          <w:tcBorders>
            <w:top w:val="nil"/>
            <w:left w:val="nil"/>
            <w:bottom w:val="nil"/>
            <w:right w:val="nil"/>
          </w:tcBorders>
          <w:shd w:val="clear" w:color="auto" w:fill="auto"/>
        </w:tcPr>
        <w:p w14:paraId="78505F87" w14:textId="1507C2D1" w:rsidR="00F02267" w:rsidRPr="00550D22" w:rsidRDefault="00F02267" w:rsidP="00393EB1">
          <w:pPr>
            <w:spacing w:line="0" w:lineRule="atLeast"/>
            <w:jc w:val="center"/>
            <w:rPr>
              <w:sz w:val="18"/>
            </w:rPr>
          </w:pPr>
          <w:r>
            <w:rPr>
              <w:i/>
              <w:sz w:val="18"/>
            </w:rPr>
            <w:fldChar w:fldCharType="begin"/>
          </w:r>
          <w:r>
            <w:rPr>
              <w:i/>
              <w:sz w:val="18"/>
            </w:rPr>
            <w:instrText xml:space="preserve"> TITLE   \* MERGEFORMAT </w:instrText>
          </w:r>
          <w:r>
            <w:rPr>
              <w:i/>
              <w:sz w:val="18"/>
            </w:rPr>
            <w:fldChar w:fldCharType="separate"/>
          </w:r>
          <w:r w:rsidR="00833171">
            <w:rPr>
              <w:i/>
              <w:sz w:val="18"/>
            </w:rPr>
            <w:t>Instruments Handbook</w:t>
          </w:r>
          <w:r>
            <w:rPr>
              <w:i/>
              <w:sz w:val="18"/>
            </w:rPr>
            <w:fldChar w:fldCharType="end"/>
          </w:r>
        </w:p>
      </w:tc>
      <w:tc>
        <w:tcPr>
          <w:tcW w:w="1417" w:type="dxa"/>
          <w:tcBorders>
            <w:top w:val="nil"/>
            <w:left w:val="nil"/>
            <w:bottom w:val="nil"/>
            <w:right w:val="nil"/>
          </w:tcBorders>
          <w:shd w:val="clear" w:color="auto" w:fill="auto"/>
        </w:tcPr>
        <w:p w14:paraId="3E6DBE78" w14:textId="77777777" w:rsidR="00F02267" w:rsidRPr="00550D22" w:rsidRDefault="00F02267" w:rsidP="00F550E3">
          <w:pPr>
            <w:spacing w:line="0" w:lineRule="atLeast"/>
            <w:jc w:val="right"/>
            <w:rPr>
              <w:sz w:val="18"/>
            </w:rPr>
          </w:pPr>
        </w:p>
      </w:tc>
    </w:tr>
    <w:tr w:rsidR="00F02267" w:rsidRPr="00550D22" w14:paraId="7351EF38" w14:textId="77777777" w:rsidTr="00F55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14:paraId="564D6CC0" w14:textId="77777777" w:rsidR="00F02267" w:rsidRPr="00550D22" w:rsidRDefault="00F02267" w:rsidP="00F550E3">
          <w:pPr>
            <w:rPr>
              <w:sz w:val="18"/>
            </w:rPr>
          </w:pPr>
        </w:p>
      </w:tc>
    </w:tr>
  </w:tbl>
  <w:p w14:paraId="29531FA5" w14:textId="77777777" w:rsidR="00F02267" w:rsidRDefault="00F02267" w:rsidP="0024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8F5C4" w14:textId="77777777" w:rsidR="00F02267" w:rsidRDefault="00F02267" w:rsidP="00610D12">
      <w:pPr>
        <w:spacing w:line="240" w:lineRule="auto"/>
      </w:pPr>
      <w:r>
        <w:separator/>
      </w:r>
    </w:p>
  </w:footnote>
  <w:footnote w:type="continuationSeparator" w:id="0">
    <w:p w14:paraId="088D54CB" w14:textId="77777777" w:rsidR="00F02267" w:rsidRDefault="00F02267" w:rsidP="00610D12">
      <w:pPr>
        <w:spacing w:line="240" w:lineRule="auto"/>
      </w:pPr>
      <w:r>
        <w:continuationSeparator/>
      </w:r>
    </w:p>
  </w:footnote>
  <w:footnote w:id="1">
    <w:p w14:paraId="728BA1C3" w14:textId="30F73AD1" w:rsidR="00F02267" w:rsidRPr="00717460" w:rsidRDefault="00F02267" w:rsidP="00090F15">
      <w:pPr>
        <w:pStyle w:val="FootnoteText"/>
        <w:rPr>
          <w:sz w:val="18"/>
          <w:szCs w:val="18"/>
          <w:lang w:val="en-AU"/>
        </w:rPr>
      </w:pPr>
      <w:r w:rsidRPr="00717460">
        <w:rPr>
          <w:rStyle w:val="FootnoteReference"/>
          <w:sz w:val="18"/>
          <w:szCs w:val="18"/>
        </w:rPr>
        <w:footnoteRef/>
      </w:r>
      <w:r w:rsidRPr="00717460">
        <w:rPr>
          <w:sz w:val="18"/>
          <w:szCs w:val="18"/>
        </w:rPr>
        <w:t xml:space="preserve"> For guidance on which powers may be delegated, see the </w:t>
      </w:r>
      <w:r w:rsidRPr="00717460">
        <w:rPr>
          <w:i/>
          <w:sz w:val="18"/>
          <w:szCs w:val="18"/>
        </w:rPr>
        <w:t>Legislation Handbook</w:t>
      </w:r>
      <w:r w:rsidRPr="00717460">
        <w:rPr>
          <w:i/>
          <w:sz w:val="18"/>
          <w:szCs w:val="18"/>
          <w:lang w:val="en-AU"/>
        </w:rPr>
        <w:t xml:space="preserve"> </w:t>
      </w:r>
      <w:r w:rsidRPr="00717460">
        <w:rPr>
          <w:i/>
          <w:sz w:val="18"/>
          <w:szCs w:val="18"/>
          <w:lang w:val="en-AU"/>
        </w:rPr>
        <w:br/>
      </w:r>
      <w:hyperlink r:id="rId1" w:history="1">
        <w:r w:rsidRPr="00DE1224">
          <w:rPr>
            <w:rStyle w:val="Hyperlink"/>
            <w:sz w:val="18"/>
            <w:szCs w:val="18"/>
          </w:rPr>
          <w:t>https://www.pmc.gov.au/resources/legislation-handbook</w:t>
        </w:r>
      </w:hyperlink>
      <w:r w:rsidR="006F2958" w:rsidRPr="006F2958">
        <w:rPr>
          <w:rStyle w:val="Hyperlink"/>
          <w:color w:val="auto"/>
          <w:sz w:val="18"/>
          <w:szCs w:val="18"/>
        </w:rPr>
        <w:t>.</w:t>
      </w:r>
    </w:p>
  </w:footnote>
  <w:footnote w:id="2">
    <w:p w14:paraId="71C9A0AF" w14:textId="5DC61D94" w:rsidR="00F02267" w:rsidRPr="00717460" w:rsidRDefault="00F02267" w:rsidP="00090F15">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2" w:history="1">
        <w:r w:rsidRPr="00717460">
          <w:rPr>
            <w:rStyle w:val="Hyperlink"/>
            <w:sz w:val="18"/>
            <w:szCs w:val="18"/>
          </w:rPr>
          <w:t>https://www.ag.gov.au/legal-system/publications/report-35-rule-making-commonwealth-agencies-1992</w:t>
        </w:r>
      </w:hyperlink>
      <w:r w:rsidR="006F2958" w:rsidRPr="006F2958">
        <w:rPr>
          <w:rStyle w:val="Hyperlink"/>
          <w:color w:val="auto"/>
          <w:sz w:val="18"/>
          <w:szCs w:val="18"/>
        </w:rPr>
        <w:t>.</w:t>
      </w:r>
    </w:p>
  </w:footnote>
  <w:footnote w:id="3">
    <w:p w14:paraId="5F265AAD" w14:textId="30A1F4D3" w:rsidR="00F02267" w:rsidRPr="00717460" w:rsidRDefault="00F02267" w:rsidP="00090F15">
      <w:pPr>
        <w:pStyle w:val="FootnoteText"/>
        <w:rPr>
          <w:sz w:val="18"/>
          <w:szCs w:val="18"/>
          <w:lang w:val="en-AU"/>
        </w:rPr>
      </w:pPr>
      <w:r w:rsidRPr="00717460">
        <w:rPr>
          <w:rStyle w:val="FootnoteReference"/>
          <w:sz w:val="18"/>
          <w:szCs w:val="18"/>
        </w:rPr>
        <w:footnoteRef/>
      </w:r>
      <w:r w:rsidRPr="00717460">
        <w:rPr>
          <w:sz w:val="18"/>
          <w:szCs w:val="18"/>
        </w:rPr>
        <w:t xml:space="preserve"> For more information about the review process and recommendations, see</w:t>
      </w:r>
      <w:r w:rsidRPr="00717460">
        <w:rPr>
          <w:sz w:val="18"/>
          <w:szCs w:val="18"/>
          <w:lang w:val="en-AU"/>
        </w:rPr>
        <w:t xml:space="preserve"> </w:t>
      </w:r>
      <w:r>
        <w:rPr>
          <w:sz w:val="18"/>
          <w:szCs w:val="18"/>
          <w:lang w:val="en-AU"/>
        </w:rPr>
        <w:t xml:space="preserve">the 2008 Review of the Legislative Instruments Act 2003 at </w:t>
      </w:r>
      <w:hyperlink r:id="rId3" w:history="1">
        <w:r w:rsidRPr="00DE1224">
          <w:rPr>
            <w:rStyle w:val="Hyperlink"/>
            <w:sz w:val="18"/>
            <w:szCs w:val="18"/>
          </w:rPr>
          <w:t>https://www.ag.gov.au/legal-system/administrative-law/legislation-act-2003</w:t>
        </w:r>
      </w:hyperlink>
      <w:r w:rsidR="006F2958" w:rsidRPr="006F2958">
        <w:rPr>
          <w:rStyle w:val="Hyperlink"/>
          <w:color w:val="auto"/>
          <w:sz w:val="18"/>
          <w:szCs w:val="18"/>
        </w:rPr>
        <w:t>.</w:t>
      </w:r>
    </w:p>
  </w:footnote>
  <w:footnote w:id="4">
    <w:p w14:paraId="078626B0" w14:textId="00ACCCB9" w:rsidR="00F02267" w:rsidRPr="00717460" w:rsidRDefault="00F02267" w:rsidP="00DF16BE">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 w:history="1">
        <w:r w:rsidRPr="00717460">
          <w:rPr>
            <w:rStyle w:val="Hyperlink"/>
            <w:sz w:val="18"/>
            <w:szCs w:val="18"/>
          </w:rPr>
          <w:t>https://www.ag.gov.au/legal-system/publications/report-operation-sunsetting-provisions-legislation-act-2003</w:t>
        </w:r>
      </w:hyperlink>
      <w:r w:rsidR="006F2958" w:rsidRPr="006F2958">
        <w:rPr>
          <w:rStyle w:val="Hyperlink"/>
          <w:color w:val="auto"/>
          <w:sz w:val="18"/>
          <w:szCs w:val="18"/>
        </w:rPr>
        <w:t>.</w:t>
      </w:r>
    </w:p>
  </w:footnote>
  <w:footnote w:id="5">
    <w:p w14:paraId="53A68639" w14:textId="3A3EE933" w:rsidR="00F02267" w:rsidRPr="00717460" w:rsidRDefault="00F02267" w:rsidP="005A296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5" w:history="1">
        <w:r w:rsidRPr="00717460">
          <w:rPr>
            <w:rStyle w:val="Hyperlink"/>
            <w:sz w:val="18"/>
            <w:szCs w:val="18"/>
            <w:lang w:val="en-AU"/>
          </w:rPr>
          <w:t>OPC’s Instrument Fact Sheet Series: What is a legislative instrument?</w:t>
        </w:r>
      </w:hyperlink>
      <w:r w:rsidRPr="00717460">
        <w:rPr>
          <w:sz w:val="18"/>
          <w:szCs w:val="18"/>
          <w:lang w:val="en-AU"/>
        </w:rPr>
        <w:t xml:space="preserve"> for additional guidance.</w:t>
      </w:r>
    </w:p>
  </w:footnote>
  <w:footnote w:id="6">
    <w:p w14:paraId="4723C9AE" w14:textId="793B02A8" w:rsidR="00F02267" w:rsidRPr="00717460" w:rsidRDefault="00F02267" w:rsidP="00977814">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6" w:history="1">
        <w:r w:rsidRPr="00DE1224">
          <w:rPr>
            <w:rStyle w:val="Hyperlink"/>
            <w:sz w:val="18"/>
            <w:szCs w:val="18"/>
          </w:rPr>
          <w:t>https://www.aph.gov.au/Parliamentary_Business/Bills_Legislation</w:t>
        </w:r>
      </w:hyperlink>
      <w:r w:rsidR="006F2958" w:rsidRPr="006F2958">
        <w:rPr>
          <w:rStyle w:val="Hyperlink"/>
          <w:color w:val="auto"/>
          <w:sz w:val="18"/>
          <w:szCs w:val="18"/>
        </w:rPr>
        <w:t>.</w:t>
      </w:r>
    </w:p>
  </w:footnote>
  <w:footnote w:id="7">
    <w:p w14:paraId="5315B51E" w14:textId="46A5F874" w:rsidR="00F02267" w:rsidRPr="00717460" w:rsidRDefault="00F02267" w:rsidP="00A030F6">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7" w:history="1">
        <w:r w:rsidRPr="00DE1224">
          <w:rPr>
            <w:rStyle w:val="Hyperlink"/>
            <w:sz w:val="18"/>
            <w:szCs w:val="18"/>
          </w:rPr>
          <w:t>https://parlinfo.aph.gov.au/</w:t>
        </w:r>
      </w:hyperlink>
      <w:r w:rsidR="006F2958" w:rsidRPr="006F2958">
        <w:rPr>
          <w:rStyle w:val="Hyperlink"/>
          <w:color w:val="auto"/>
          <w:sz w:val="18"/>
          <w:szCs w:val="18"/>
        </w:rPr>
        <w:t>.</w:t>
      </w:r>
    </w:p>
  </w:footnote>
  <w:footnote w:id="8">
    <w:p w14:paraId="4CCD90B4" w14:textId="67E1D8C5" w:rsidR="00F02267" w:rsidRPr="00717460" w:rsidRDefault="00F02267" w:rsidP="008E40D0">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8" w:history="1">
        <w:r w:rsidRPr="00DE1224">
          <w:rPr>
            <w:rStyle w:val="Hyperlink"/>
            <w:sz w:val="18"/>
            <w:szCs w:val="18"/>
          </w:rPr>
          <w:t>https://www.pmc.gov.au/resources/legislation-handbook</w:t>
        </w:r>
      </w:hyperlink>
      <w:r w:rsidR="006F2958" w:rsidRPr="006F2958">
        <w:rPr>
          <w:rStyle w:val="Hyperlink"/>
          <w:color w:val="auto"/>
          <w:sz w:val="18"/>
          <w:szCs w:val="18"/>
        </w:rPr>
        <w:t>.</w:t>
      </w:r>
    </w:p>
  </w:footnote>
  <w:footnote w:id="9">
    <w:p w14:paraId="05351AD7" w14:textId="6A2A253B" w:rsidR="00F02267" w:rsidRPr="00717460" w:rsidRDefault="00F02267" w:rsidP="008E40D0">
      <w:pPr>
        <w:rPr>
          <w:rFonts w:cs="Times New Roman"/>
          <w:sz w:val="18"/>
          <w:szCs w:val="18"/>
        </w:rPr>
      </w:pPr>
      <w:r w:rsidRPr="00717460">
        <w:rPr>
          <w:rStyle w:val="FootnoteReference"/>
          <w:sz w:val="18"/>
          <w:szCs w:val="18"/>
        </w:rPr>
        <w:footnoteRef/>
      </w:r>
      <w:r w:rsidRPr="00717460">
        <w:rPr>
          <w:sz w:val="18"/>
          <w:szCs w:val="18"/>
        </w:rPr>
        <w:t xml:space="preserve"> This is an example only and may not be appropriate in all situ</w:t>
      </w:r>
      <w:r w:rsidRPr="00717460">
        <w:rPr>
          <w:rFonts w:cs="Times New Roman"/>
          <w:sz w:val="18"/>
          <w:szCs w:val="18"/>
        </w:rPr>
        <w:t xml:space="preserve">ations. See </w:t>
      </w:r>
      <w:hyperlink r:id="rId9" w:history="1">
        <w:r w:rsidRPr="00717460">
          <w:rPr>
            <w:rStyle w:val="Hyperlink"/>
            <w:rFonts w:cs="Times New Roman"/>
            <w:sz w:val="18"/>
            <w:szCs w:val="18"/>
          </w:rPr>
          <w:t>OPC’s Instrument Fact Sheet Series: Essentials of a legislative instrument</w:t>
        </w:r>
      </w:hyperlink>
      <w:r w:rsidRPr="00717460">
        <w:rPr>
          <w:rFonts w:cs="Times New Roman"/>
          <w:sz w:val="18"/>
          <w:szCs w:val="18"/>
        </w:rPr>
        <w:t xml:space="preserve"> for additional guidance.</w:t>
      </w:r>
    </w:p>
  </w:footnote>
  <w:footnote w:id="10">
    <w:p w14:paraId="61536E97" w14:textId="5E45F394" w:rsidR="00F02267" w:rsidRPr="00717460" w:rsidRDefault="00F02267" w:rsidP="008E40D0">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pacing w:val="-2"/>
          <w:sz w:val="18"/>
          <w:szCs w:val="18"/>
          <w:lang w:val="en-AU"/>
        </w:rPr>
        <w:t xml:space="preserve">See </w:t>
      </w:r>
      <w:hyperlink r:id="rId10" w:history="1">
        <w:r w:rsidRPr="00DE1224">
          <w:rPr>
            <w:rStyle w:val="Hyperlink"/>
            <w:sz w:val="18"/>
            <w:szCs w:val="18"/>
          </w:rPr>
          <w:t>https://www.pmc.gov.au/resources/federal-executive-council-handbook-2021</w:t>
        </w:r>
      </w:hyperlink>
      <w:r w:rsidR="006F2958" w:rsidRPr="006F2958">
        <w:rPr>
          <w:rStyle w:val="Hyperlink"/>
          <w:color w:val="auto"/>
          <w:sz w:val="18"/>
          <w:szCs w:val="18"/>
        </w:rPr>
        <w:t>.</w:t>
      </w:r>
    </w:p>
  </w:footnote>
  <w:footnote w:id="11">
    <w:p w14:paraId="392094DF" w14:textId="77777777" w:rsidR="00F02267" w:rsidRPr="00717460" w:rsidRDefault="00F02267" w:rsidP="00183BE0">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11" w:history="1">
        <w:r w:rsidRPr="00717460">
          <w:rPr>
            <w:rStyle w:val="Hyperlink"/>
            <w:sz w:val="18"/>
            <w:szCs w:val="18"/>
            <w:lang w:val="en-AU"/>
          </w:rPr>
          <w:t>OPC’s Instrument Fact Sheet Series: Drafting amending instruments</w:t>
        </w:r>
      </w:hyperlink>
      <w:r w:rsidRPr="00717460">
        <w:rPr>
          <w:sz w:val="18"/>
          <w:szCs w:val="18"/>
          <w:lang w:val="en-AU"/>
        </w:rPr>
        <w:t xml:space="preserve"> for additional guidance.</w:t>
      </w:r>
    </w:p>
  </w:footnote>
  <w:footnote w:id="12">
    <w:p w14:paraId="58C67171" w14:textId="3C9E51D4" w:rsidR="00F02267" w:rsidRPr="00717460" w:rsidRDefault="00F02267" w:rsidP="008E40D0">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12" w:history="1">
        <w:r w:rsidRPr="00DE1224">
          <w:rPr>
            <w:rStyle w:val="Hyperlink"/>
            <w:i/>
            <w:sz w:val="18"/>
            <w:szCs w:val="18"/>
            <w:lang w:val="en-AU"/>
          </w:rPr>
          <w:t>2008 Review of the Legislative Instruments Act 2003</w:t>
        </w:r>
      </w:hyperlink>
      <w:r w:rsidRPr="00717460">
        <w:rPr>
          <w:sz w:val="18"/>
          <w:szCs w:val="18"/>
          <w:lang w:val="en-AU"/>
        </w:rPr>
        <w:t>, chapter 4.4</w:t>
      </w:r>
      <w:r w:rsidR="006F2958" w:rsidRPr="006F2958">
        <w:rPr>
          <w:rStyle w:val="Hyperlink"/>
          <w:color w:val="auto"/>
          <w:sz w:val="18"/>
          <w:szCs w:val="18"/>
        </w:rPr>
        <w:t>.</w:t>
      </w:r>
    </w:p>
  </w:footnote>
  <w:footnote w:id="13">
    <w:p w14:paraId="4FFAED0B" w14:textId="20B5FC6C" w:rsidR="00F02267" w:rsidRPr="00707E89" w:rsidRDefault="00F02267" w:rsidP="008E40D0">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13" w:history="1">
        <w:r w:rsidRPr="00717460">
          <w:rPr>
            <w:rStyle w:val="Hyperlink"/>
            <w:sz w:val="18"/>
            <w:szCs w:val="18"/>
          </w:rPr>
          <w:t>https://www.dta.gov.au/help-and-advice/guides-and-tools/commonwealth-library-deposit-and-free-issue-schemes</w:t>
        </w:r>
      </w:hyperlink>
      <w:r w:rsidR="006F2958" w:rsidRPr="006F2958">
        <w:rPr>
          <w:rStyle w:val="Hyperlink"/>
          <w:color w:val="auto"/>
          <w:sz w:val="18"/>
          <w:szCs w:val="18"/>
        </w:rPr>
        <w:t>.</w:t>
      </w:r>
    </w:p>
  </w:footnote>
  <w:footnote w:id="14">
    <w:p w14:paraId="68649589" w14:textId="00A17CE0" w:rsidR="00F02267" w:rsidRPr="00717460" w:rsidRDefault="00F02267" w:rsidP="008E40D0">
      <w:pPr>
        <w:pStyle w:val="FootnoteText"/>
        <w:rPr>
          <w:sz w:val="18"/>
          <w:szCs w:val="18"/>
          <w:lang w:val="en-AU"/>
        </w:rPr>
      </w:pPr>
      <w:r w:rsidRPr="00717460">
        <w:rPr>
          <w:rStyle w:val="FootnoteReference"/>
          <w:sz w:val="18"/>
          <w:szCs w:val="18"/>
        </w:rPr>
        <w:footnoteRef/>
      </w:r>
      <w:r w:rsidRPr="00717460">
        <w:rPr>
          <w:sz w:val="18"/>
          <w:szCs w:val="18"/>
          <w:lang w:val="en-AU"/>
        </w:rPr>
        <w:t xml:space="preserve">See </w:t>
      </w:r>
      <w:hyperlink r:id="rId14" w:history="1">
        <w:r w:rsidRPr="00DE1224">
          <w:rPr>
            <w:rStyle w:val="Hyperlink"/>
            <w:sz w:val="18"/>
            <w:szCs w:val="18"/>
          </w:rPr>
          <w:t>https://www.ag.gov.au/legal-system/publications/guide-framing-commonwealth-offences-infringement-notices-and-enforcement-powers</w:t>
        </w:r>
      </w:hyperlink>
      <w:r w:rsidR="006F2958" w:rsidRPr="006F2958">
        <w:rPr>
          <w:rStyle w:val="Hyperlink"/>
          <w:color w:val="auto"/>
          <w:sz w:val="18"/>
          <w:szCs w:val="18"/>
        </w:rPr>
        <w:t>.</w:t>
      </w:r>
    </w:p>
  </w:footnote>
  <w:footnote w:id="15">
    <w:p w14:paraId="118A48DA" w14:textId="4E405559" w:rsidR="00F02267" w:rsidRPr="00717460" w:rsidRDefault="00F02267" w:rsidP="00B46ACE">
      <w:pPr>
        <w:pStyle w:val="FootnoteText"/>
        <w:rPr>
          <w:sz w:val="18"/>
          <w:szCs w:val="18"/>
          <w:lang w:val="en-AU"/>
        </w:rPr>
      </w:pPr>
      <w:r w:rsidRPr="00717460">
        <w:rPr>
          <w:rStyle w:val="FootnoteReference"/>
          <w:rFonts w:eastAsia="Calibri"/>
          <w:sz w:val="18"/>
          <w:szCs w:val="18"/>
        </w:rPr>
        <w:footnoteRef/>
      </w:r>
      <w:r w:rsidRPr="00717460">
        <w:rPr>
          <w:sz w:val="18"/>
          <w:szCs w:val="18"/>
        </w:rPr>
        <w:t xml:space="preserve"> </w:t>
      </w:r>
      <w:r w:rsidRPr="00717460">
        <w:rPr>
          <w:sz w:val="18"/>
          <w:szCs w:val="18"/>
          <w:lang w:val="en-AU"/>
        </w:rPr>
        <w:t>See</w:t>
      </w:r>
      <w:r w:rsidRPr="00717460">
        <w:rPr>
          <w:sz w:val="18"/>
          <w:szCs w:val="18"/>
        </w:rPr>
        <w:t xml:space="preserve"> </w:t>
      </w:r>
      <w:hyperlink r:id="rId15" w:history="1">
        <w:r w:rsidR="00BB6F78">
          <w:rPr>
            <w:rStyle w:val="Hyperlink"/>
            <w:sz w:val="18"/>
            <w:szCs w:val="18"/>
            <w:lang w:val="en-AU"/>
          </w:rPr>
          <w:t>PSPF Policy 9: Classifications and Caveats</w:t>
        </w:r>
      </w:hyperlink>
      <w:r w:rsidR="006F2958" w:rsidRPr="006F2958">
        <w:rPr>
          <w:rStyle w:val="Hyperlink"/>
          <w:color w:val="auto"/>
          <w:sz w:val="18"/>
          <w:szCs w:val="18"/>
        </w:rPr>
        <w:t>.</w:t>
      </w:r>
    </w:p>
  </w:footnote>
  <w:footnote w:id="16">
    <w:p w14:paraId="4C007C95" w14:textId="77777777" w:rsidR="00F02267" w:rsidRPr="00717460" w:rsidRDefault="00F02267" w:rsidP="0084047D">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section 13 of the </w:t>
      </w:r>
      <w:hyperlink r:id="rId16" w:history="1">
        <w:r w:rsidRPr="00717460">
          <w:rPr>
            <w:rStyle w:val="Hyperlink"/>
            <w:i/>
            <w:sz w:val="18"/>
            <w:szCs w:val="18"/>
            <w:lang w:val="en-AU"/>
          </w:rPr>
          <w:t>Public Service Act 1999</w:t>
        </w:r>
      </w:hyperlink>
      <w:r w:rsidRPr="00717460">
        <w:rPr>
          <w:sz w:val="18"/>
          <w:szCs w:val="18"/>
          <w:lang w:val="en-AU"/>
        </w:rPr>
        <w:t>.</w:t>
      </w:r>
    </w:p>
  </w:footnote>
  <w:footnote w:id="17">
    <w:p w14:paraId="3D446E5B" w14:textId="60059233" w:rsidR="00F02267" w:rsidRPr="00717460" w:rsidRDefault="00F02267" w:rsidP="00590F3B">
      <w:pPr>
        <w:pStyle w:val="FootnoteText"/>
        <w:rPr>
          <w:sz w:val="18"/>
          <w:szCs w:val="18"/>
          <w:lang w:val="en-AU"/>
        </w:rPr>
      </w:pPr>
      <w:r w:rsidRPr="00717460">
        <w:rPr>
          <w:rStyle w:val="FootnoteReference"/>
          <w:sz w:val="18"/>
          <w:szCs w:val="18"/>
        </w:rPr>
        <w:footnoteRef/>
      </w:r>
      <w:r w:rsidRPr="00717460">
        <w:rPr>
          <w:sz w:val="18"/>
          <w:szCs w:val="18"/>
        </w:rPr>
        <w:t xml:space="preserve"> The 2008 Review of the LIA explicitly recommended that agencies consider aligning all </w:t>
      </w:r>
      <w:r w:rsidRPr="00717460">
        <w:rPr>
          <w:sz w:val="18"/>
          <w:szCs w:val="18"/>
          <w:lang w:val="en-AU"/>
        </w:rPr>
        <w:t xml:space="preserve">additional publication requirements with the </w:t>
      </w:r>
      <w:r w:rsidRPr="00717460">
        <w:rPr>
          <w:sz w:val="18"/>
          <w:szCs w:val="18"/>
        </w:rPr>
        <w:t>LIA (now the LA) unless there are compelling reasons why that should not be done</w:t>
      </w:r>
      <w:r w:rsidRPr="00717460">
        <w:rPr>
          <w:sz w:val="18"/>
          <w:szCs w:val="18"/>
          <w:lang w:val="en-AU"/>
        </w:rPr>
        <w:t xml:space="preserve"> (see </w:t>
      </w:r>
      <w:hyperlink r:id="rId17" w:history="1">
        <w:hyperlink r:id="rId18" w:history="1">
          <w:r w:rsidRPr="00DE1224">
            <w:rPr>
              <w:rStyle w:val="Hyperlink"/>
              <w:i/>
              <w:sz w:val="18"/>
              <w:szCs w:val="18"/>
              <w:lang w:val="en-AU"/>
            </w:rPr>
            <w:t>2008 Review of the Legislative Instruments Act 2003</w:t>
          </w:r>
        </w:hyperlink>
      </w:hyperlink>
      <w:r w:rsidRPr="00717460">
        <w:rPr>
          <w:rStyle w:val="Hyperlink"/>
          <w:sz w:val="18"/>
          <w:szCs w:val="18"/>
          <w:lang w:val="en-AU"/>
        </w:rPr>
        <w:t>,</w:t>
      </w:r>
      <w:r w:rsidRPr="00717460">
        <w:rPr>
          <w:sz w:val="18"/>
          <w:szCs w:val="18"/>
          <w:lang w:val="en-AU"/>
        </w:rPr>
        <w:t xml:space="preserve"> recommendation 19).</w:t>
      </w:r>
    </w:p>
  </w:footnote>
  <w:footnote w:id="18">
    <w:p w14:paraId="21917FA1" w14:textId="2F2BD6F1"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lang w:val="en-AU"/>
        </w:rPr>
        <w:t xml:space="preserve"> See</w:t>
      </w:r>
      <w:r w:rsidRPr="00717460">
        <w:rPr>
          <w:sz w:val="18"/>
          <w:szCs w:val="18"/>
        </w:rPr>
        <w:t xml:space="preserve"> </w:t>
      </w:r>
      <w:hyperlink r:id="rId19" w:history="1">
        <w:r w:rsidRPr="00DE1224">
          <w:rPr>
            <w:rStyle w:val="Hyperlink"/>
            <w:sz w:val="18"/>
            <w:szCs w:val="18"/>
          </w:rPr>
          <w:t>https://www.pmc.gov.au/resources/federal-executive-council-handbook-2021</w:t>
        </w:r>
      </w:hyperlink>
      <w:r w:rsidR="006F2958" w:rsidRPr="006F2958">
        <w:rPr>
          <w:rStyle w:val="Hyperlink"/>
          <w:color w:val="auto"/>
          <w:sz w:val="18"/>
          <w:szCs w:val="18"/>
        </w:rPr>
        <w:t>.</w:t>
      </w:r>
    </w:p>
  </w:footnote>
  <w:footnote w:id="19">
    <w:p w14:paraId="65D9F6BD" w14:textId="3FE1B83D" w:rsidR="00F02267" w:rsidRPr="00717460" w:rsidRDefault="00F02267" w:rsidP="00A83991">
      <w:pPr>
        <w:pStyle w:val="FootnoteText"/>
        <w:rPr>
          <w:spacing w:val="-2"/>
          <w:sz w:val="18"/>
          <w:szCs w:val="18"/>
          <w:lang w:val="en-AU"/>
        </w:rPr>
      </w:pPr>
      <w:r w:rsidRPr="00717460">
        <w:rPr>
          <w:rStyle w:val="FootnoteReference"/>
          <w:spacing w:val="-2"/>
          <w:sz w:val="18"/>
          <w:szCs w:val="18"/>
        </w:rPr>
        <w:footnoteRef/>
      </w:r>
      <w:r w:rsidRPr="00717460">
        <w:rPr>
          <w:sz w:val="18"/>
          <w:szCs w:val="18"/>
          <w:lang w:val="en-AU"/>
        </w:rPr>
        <w:t> See </w:t>
      </w:r>
      <w:hyperlink r:id="rId20" w:history="1">
        <w:r w:rsidRPr="00717460">
          <w:rPr>
            <w:rStyle w:val="Hyperlink"/>
            <w:spacing w:val="-2"/>
            <w:sz w:val="18"/>
            <w:szCs w:val="18"/>
          </w:rPr>
          <w:t>https://www.aph.gov.au/Parliamentary_Business/Committees/Senate/Regulations_and_Ordinances</w:t>
        </w:r>
      </w:hyperlink>
      <w:r w:rsidR="006F2958" w:rsidRPr="006F2958">
        <w:rPr>
          <w:rStyle w:val="Hyperlink"/>
          <w:color w:val="auto"/>
          <w:sz w:val="18"/>
          <w:szCs w:val="18"/>
        </w:rPr>
        <w:t>.</w:t>
      </w:r>
    </w:p>
  </w:footnote>
  <w:footnote w:id="20">
    <w:p w14:paraId="53086C28" w14:textId="5165CA16" w:rsidR="00F02267" w:rsidRPr="00DE1224" w:rsidRDefault="00F02267" w:rsidP="00432F4C">
      <w:pPr>
        <w:pStyle w:val="FootnoteText"/>
        <w:rPr>
          <w:sz w:val="18"/>
          <w:szCs w:val="18"/>
        </w:rPr>
      </w:pPr>
      <w:r w:rsidRPr="00DE1224">
        <w:rPr>
          <w:rStyle w:val="FootnoteReference"/>
          <w:sz w:val="18"/>
          <w:szCs w:val="18"/>
        </w:rPr>
        <w:footnoteRef/>
      </w:r>
      <w:r w:rsidRPr="00DE1224">
        <w:rPr>
          <w:sz w:val="18"/>
          <w:szCs w:val="18"/>
        </w:rPr>
        <w:t xml:space="preserve"> See </w:t>
      </w:r>
      <w:hyperlink r:id="rId21" w:history="1">
        <w:r w:rsidRPr="00DE1224">
          <w:rPr>
            <w:rStyle w:val="Hyperlink"/>
            <w:sz w:val="18"/>
            <w:szCs w:val="18"/>
          </w:rPr>
          <w:t>https://oia.pmc.gov.au/resources/forms-and-templates/australian-government-impact-analysis-preliminary-assessment-form</w:t>
        </w:r>
      </w:hyperlink>
      <w:r w:rsidR="006F2958" w:rsidRPr="006F2958">
        <w:rPr>
          <w:rStyle w:val="Hyperlink"/>
          <w:color w:val="auto"/>
          <w:sz w:val="18"/>
          <w:szCs w:val="18"/>
        </w:rPr>
        <w:t>.</w:t>
      </w:r>
    </w:p>
  </w:footnote>
  <w:footnote w:id="21">
    <w:p w14:paraId="79876EA8" w14:textId="4906843C" w:rsidR="00F02267" w:rsidRPr="00DE1224" w:rsidRDefault="00F02267" w:rsidP="000065FB">
      <w:pPr>
        <w:pStyle w:val="FootnoteText"/>
        <w:rPr>
          <w:sz w:val="18"/>
          <w:szCs w:val="18"/>
        </w:rPr>
      </w:pPr>
      <w:r w:rsidRPr="00DE1224">
        <w:rPr>
          <w:rStyle w:val="FootnoteReference"/>
          <w:sz w:val="18"/>
          <w:szCs w:val="18"/>
        </w:rPr>
        <w:footnoteRef/>
      </w:r>
      <w:r w:rsidRPr="00DE1224">
        <w:rPr>
          <w:sz w:val="18"/>
          <w:szCs w:val="18"/>
        </w:rPr>
        <w:t xml:space="preserve"> </w:t>
      </w:r>
      <w:r w:rsidRPr="00717460">
        <w:rPr>
          <w:sz w:val="18"/>
          <w:szCs w:val="18"/>
        </w:rPr>
        <w:t xml:space="preserve">See </w:t>
      </w:r>
      <w:hyperlink r:id="rId22" w:history="1">
        <w:r w:rsidRPr="00717460">
          <w:rPr>
            <w:rStyle w:val="Hyperlink"/>
            <w:sz w:val="18"/>
            <w:szCs w:val="18"/>
          </w:rPr>
          <w:t>https://oia.pmc.gov.au/resources/guidance-impact-analysis/australian-government-guide-policy-impact-analysis</w:t>
        </w:r>
      </w:hyperlink>
      <w:r w:rsidR="006F2958" w:rsidRPr="006F2958">
        <w:rPr>
          <w:rStyle w:val="Hyperlink"/>
          <w:color w:val="auto"/>
          <w:sz w:val="18"/>
          <w:szCs w:val="18"/>
        </w:rPr>
        <w:t>.</w:t>
      </w:r>
    </w:p>
  </w:footnote>
  <w:footnote w:id="22">
    <w:p w14:paraId="3BBDC266" w14:textId="1A0BCE43" w:rsidR="00F02267" w:rsidRPr="00DE1224" w:rsidRDefault="00F02267" w:rsidP="000065FB">
      <w:pPr>
        <w:pStyle w:val="FootnoteText"/>
        <w:rPr>
          <w:sz w:val="18"/>
          <w:szCs w:val="18"/>
        </w:rPr>
      </w:pPr>
      <w:r w:rsidRPr="00DE1224">
        <w:rPr>
          <w:rStyle w:val="FootnoteReference"/>
          <w:sz w:val="18"/>
          <w:szCs w:val="18"/>
        </w:rPr>
        <w:footnoteRef/>
      </w:r>
      <w:r w:rsidRPr="00DE1224">
        <w:rPr>
          <w:sz w:val="18"/>
          <w:szCs w:val="18"/>
        </w:rPr>
        <w:t xml:space="preserve"> </w:t>
      </w:r>
      <w:r w:rsidRPr="00717460">
        <w:rPr>
          <w:sz w:val="18"/>
          <w:szCs w:val="18"/>
        </w:rPr>
        <w:t xml:space="preserve">See Table 1: Impact Analysis requirements for a sunsetting instrument, </w:t>
      </w:r>
      <w:hyperlink r:id="rId23" w:history="1">
        <w:r w:rsidRPr="00717460">
          <w:rPr>
            <w:rStyle w:val="Hyperlink"/>
            <w:sz w:val="18"/>
            <w:szCs w:val="18"/>
          </w:rPr>
          <w:t>https://oia.pmc.gov.au/resources/guidance-oia-procedures/sunsetting-legislative-instruments</w:t>
        </w:r>
      </w:hyperlink>
      <w:r w:rsidR="006F2958" w:rsidRPr="006F2958">
        <w:rPr>
          <w:rStyle w:val="Hyperlink"/>
          <w:color w:val="auto"/>
          <w:sz w:val="18"/>
          <w:szCs w:val="18"/>
        </w:rPr>
        <w:t>.</w:t>
      </w:r>
    </w:p>
  </w:footnote>
  <w:footnote w:id="23">
    <w:p w14:paraId="67C21880" w14:textId="51F4995C" w:rsidR="00F02267" w:rsidRPr="00DE1224" w:rsidRDefault="00F02267" w:rsidP="000065FB">
      <w:pPr>
        <w:pStyle w:val="FootnoteText"/>
        <w:rPr>
          <w:sz w:val="18"/>
          <w:szCs w:val="18"/>
        </w:rPr>
      </w:pPr>
      <w:r w:rsidRPr="00DE1224">
        <w:rPr>
          <w:rStyle w:val="FootnoteReference"/>
          <w:sz w:val="18"/>
          <w:szCs w:val="18"/>
        </w:rPr>
        <w:footnoteRef/>
      </w:r>
      <w:r w:rsidRPr="00DE1224">
        <w:rPr>
          <w:sz w:val="18"/>
          <w:szCs w:val="18"/>
        </w:rPr>
        <w:t xml:space="preserve"> </w:t>
      </w:r>
      <w:r w:rsidRPr="00717460">
        <w:rPr>
          <w:sz w:val="18"/>
          <w:szCs w:val="18"/>
        </w:rPr>
        <w:t xml:space="preserve">See </w:t>
      </w:r>
      <w:hyperlink r:id="rId24" w:history="1">
        <w:r w:rsidRPr="00717460">
          <w:rPr>
            <w:rStyle w:val="Hyperlink"/>
            <w:sz w:val="18"/>
            <w:szCs w:val="18"/>
          </w:rPr>
          <w:t>https://oia.pmc.gov.au/resources/guidance-impact-analysis/australian-government-guide-policy-impact-analysis</w:t>
        </w:r>
      </w:hyperlink>
      <w:r w:rsidR="006F2958" w:rsidRPr="006F2958">
        <w:rPr>
          <w:rStyle w:val="Hyperlink"/>
          <w:color w:val="auto"/>
          <w:sz w:val="18"/>
          <w:szCs w:val="18"/>
        </w:rPr>
        <w:t>.</w:t>
      </w:r>
    </w:p>
  </w:footnote>
  <w:footnote w:id="24">
    <w:p w14:paraId="6B134455" w14:textId="2FAC4107" w:rsidR="00F02267" w:rsidRPr="00DE1224" w:rsidRDefault="00F02267" w:rsidP="000065FB">
      <w:pPr>
        <w:pStyle w:val="FootnoteText"/>
        <w:rPr>
          <w:sz w:val="18"/>
          <w:szCs w:val="18"/>
        </w:rPr>
      </w:pPr>
      <w:r w:rsidRPr="00DE1224">
        <w:rPr>
          <w:rStyle w:val="FootnoteReference"/>
          <w:sz w:val="18"/>
          <w:szCs w:val="18"/>
        </w:rPr>
        <w:footnoteRef/>
      </w:r>
      <w:r w:rsidRPr="00DE1224">
        <w:rPr>
          <w:sz w:val="18"/>
          <w:szCs w:val="18"/>
        </w:rPr>
        <w:t xml:space="preserve"> </w:t>
      </w:r>
      <w:r w:rsidRPr="00717460">
        <w:rPr>
          <w:sz w:val="18"/>
          <w:szCs w:val="18"/>
        </w:rPr>
        <w:t xml:space="preserve">See </w:t>
      </w:r>
      <w:hyperlink r:id="rId25" w:history="1">
        <w:r w:rsidRPr="00717460">
          <w:rPr>
            <w:rStyle w:val="Hyperlink"/>
            <w:sz w:val="18"/>
            <w:szCs w:val="18"/>
          </w:rPr>
          <w:t>https://oia.pmc.gov.au/</w:t>
        </w:r>
      </w:hyperlink>
      <w:r w:rsidR="006F2958" w:rsidRPr="006F2958">
        <w:rPr>
          <w:rStyle w:val="Hyperlink"/>
          <w:color w:val="auto"/>
          <w:sz w:val="18"/>
          <w:szCs w:val="18"/>
        </w:rPr>
        <w:t>.</w:t>
      </w:r>
    </w:p>
  </w:footnote>
  <w:footnote w:id="25">
    <w:p w14:paraId="341015F8" w14:textId="7E4784E1"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26" w:history="1">
        <w:r w:rsidRPr="00DE1224">
          <w:rPr>
            <w:rStyle w:val="Hyperlink"/>
            <w:sz w:val="18"/>
            <w:szCs w:val="18"/>
          </w:rPr>
          <w:t>https://www.pmc.gov.au/publications/guidance-caretaker-conventions</w:t>
        </w:r>
      </w:hyperlink>
      <w:r w:rsidR="006F2958" w:rsidRPr="006F2958">
        <w:rPr>
          <w:rStyle w:val="Hyperlink"/>
          <w:color w:val="auto"/>
          <w:sz w:val="18"/>
          <w:szCs w:val="18"/>
        </w:rPr>
        <w:t>.</w:t>
      </w:r>
    </w:p>
  </w:footnote>
  <w:footnote w:id="26">
    <w:p w14:paraId="682788FB" w14:textId="18C195B1" w:rsidR="00F02267" w:rsidRPr="00717460" w:rsidRDefault="00F02267" w:rsidP="00A83991">
      <w:pPr>
        <w:pStyle w:val="FootnoteText"/>
        <w:rPr>
          <w:spacing w:val="-2"/>
          <w:sz w:val="18"/>
          <w:szCs w:val="18"/>
          <w:lang w:val="en-AU"/>
        </w:rPr>
      </w:pPr>
      <w:r w:rsidRPr="00717460">
        <w:rPr>
          <w:rStyle w:val="FootnoteReference"/>
          <w:sz w:val="18"/>
          <w:szCs w:val="18"/>
        </w:rPr>
        <w:footnoteRef/>
      </w:r>
      <w:r w:rsidRPr="00717460">
        <w:rPr>
          <w:sz w:val="18"/>
          <w:szCs w:val="18"/>
        </w:rPr>
        <w:t xml:space="preserve"> </w:t>
      </w:r>
      <w:r w:rsidRPr="00717460">
        <w:rPr>
          <w:spacing w:val="-2"/>
          <w:sz w:val="18"/>
          <w:szCs w:val="18"/>
          <w:lang w:val="en-AU"/>
        </w:rPr>
        <w:t xml:space="preserve">See </w:t>
      </w:r>
      <w:hyperlink r:id="rId27" w:history="1">
        <w:r w:rsidRPr="00DE1224">
          <w:rPr>
            <w:rStyle w:val="Hyperlink"/>
            <w:sz w:val="18"/>
            <w:szCs w:val="18"/>
          </w:rPr>
          <w:t>https://www.pmc.gov.au/resources/federal-executive-council-handbook-2021</w:t>
        </w:r>
      </w:hyperlink>
      <w:r w:rsidR="006F2958" w:rsidRPr="006F2958">
        <w:rPr>
          <w:rStyle w:val="Hyperlink"/>
          <w:color w:val="auto"/>
          <w:sz w:val="18"/>
          <w:szCs w:val="18"/>
        </w:rPr>
        <w:t>.</w:t>
      </w:r>
    </w:p>
  </w:footnote>
  <w:footnote w:id="27">
    <w:p w14:paraId="4FBF06BC" w14:textId="4FF9604F"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28" w:history="1">
        <w:r w:rsidRPr="00DE1224">
          <w:rPr>
            <w:rStyle w:val="Hyperlink"/>
            <w:sz w:val="18"/>
            <w:szCs w:val="18"/>
          </w:rPr>
          <w:t>https://www.ag.gov.au/rights-and-protections/human-rights-and-anti-discrimination/human-rights-scrutiny</w:t>
        </w:r>
      </w:hyperlink>
      <w:r w:rsidR="006F2958" w:rsidRPr="006F2958">
        <w:rPr>
          <w:rStyle w:val="Hyperlink"/>
          <w:color w:val="auto"/>
          <w:sz w:val="18"/>
          <w:szCs w:val="18"/>
        </w:rPr>
        <w:t>.</w:t>
      </w:r>
    </w:p>
  </w:footnote>
  <w:footnote w:id="28">
    <w:p w14:paraId="7039BFB6" w14:textId="34C5CFAC" w:rsidR="00F02267" w:rsidRPr="00DE1224" w:rsidRDefault="00F02267" w:rsidP="0014733A">
      <w:pPr>
        <w:pStyle w:val="FootnoteText"/>
        <w:rPr>
          <w:sz w:val="18"/>
          <w:szCs w:val="18"/>
        </w:rPr>
      </w:pPr>
      <w:r w:rsidRPr="00DE1224">
        <w:rPr>
          <w:rStyle w:val="FootnoteReference"/>
          <w:sz w:val="18"/>
          <w:szCs w:val="18"/>
        </w:rPr>
        <w:footnoteRef/>
      </w:r>
      <w:r w:rsidRPr="00DE1224">
        <w:rPr>
          <w:sz w:val="18"/>
          <w:szCs w:val="18"/>
        </w:rPr>
        <w:t xml:space="preserve"> </w:t>
      </w:r>
      <w:r w:rsidRPr="00717460">
        <w:rPr>
          <w:sz w:val="18"/>
          <w:szCs w:val="18"/>
        </w:rPr>
        <w:t xml:space="preserve">See </w:t>
      </w:r>
      <w:hyperlink r:id="rId29" w:history="1">
        <w:r w:rsidR="006F2958" w:rsidRPr="005C310C">
          <w:rPr>
            <w:rStyle w:val="Hyperlink"/>
            <w:sz w:val="18"/>
            <w:szCs w:val="18"/>
          </w:rPr>
          <w:t>https://oia.pmc.gov.au/resources/guidance-impact-analysis/australian-government-guide-policy-impact-analysis</w:t>
        </w:r>
      </w:hyperlink>
      <w:r w:rsidR="006F2958" w:rsidRPr="006F2958">
        <w:rPr>
          <w:rStyle w:val="Hyperlink"/>
          <w:color w:val="auto"/>
          <w:sz w:val="18"/>
          <w:szCs w:val="18"/>
        </w:rPr>
        <w:t>.</w:t>
      </w:r>
    </w:p>
  </w:footnote>
  <w:footnote w:id="29">
    <w:p w14:paraId="6E72364E" w14:textId="23BCC889"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0" w:history="1">
        <w:r>
          <w:rPr>
            <w:rStyle w:val="Hyperlink"/>
            <w:sz w:val="18"/>
            <w:szCs w:val="18"/>
          </w:rPr>
          <w:t>https://www.ag.gov.au/legal-system/publications/what-decisions-should-be-subject-merit-review-1999</w:t>
        </w:r>
      </w:hyperlink>
      <w:r w:rsidR="006F2958" w:rsidRPr="006F2958">
        <w:rPr>
          <w:rStyle w:val="Hyperlink"/>
          <w:color w:val="auto"/>
          <w:sz w:val="18"/>
          <w:szCs w:val="18"/>
        </w:rPr>
        <w:t>.</w:t>
      </w:r>
    </w:p>
  </w:footnote>
  <w:footnote w:id="30">
    <w:p w14:paraId="2E9A50A3" w14:textId="1C65FB73"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1" w:history="1">
        <w:r w:rsidRPr="00DE1224">
          <w:rPr>
            <w:rStyle w:val="Hyperlink"/>
            <w:sz w:val="18"/>
            <w:szCs w:val="18"/>
          </w:rPr>
          <w:t>https://www.ag.gov.au/legal-system/publications/guide-framing-commonwealth-offences-infringement-notices-and-enforcement-powers</w:t>
        </w:r>
      </w:hyperlink>
      <w:r w:rsidR="006F2958" w:rsidRPr="006F2958">
        <w:rPr>
          <w:rStyle w:val="Hyperlink"/>
          <w:color w:val="auto"/>
          <w:sz w:val="18"/>
          <w:szCs w:val="18"/>
        </w:rPr>
        <w:t>.</w:t>
      </w:r>
    </w:p>
  </w:footnote>
  <w:footnote w:id="31">
    <w:p w14:paraId="71145241" w14:textId="44721706"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lang w:val="en-AU"/>
        </w:rPr>
        <w:t xml:space="preserve"> See </w:t>
      </w:r>
      <w:hyperlink r:id="rId32" w:history="1">
        <w:r w:rsidRPr="00DE1224">
          <w:rPr>
            <w:rStyle w:val="Hyperlink"/>
            <w:sz w:val="18"/>
            <w:szCs w:val="18"/>
            <w:lang w:val="en-AU"/>
          </w:rPr>
          <w:t>https://www.aph.gov.au/Parliamentary_Business/Committees/Senate/Regulations_and_Ordinances</w:t>
        </w:r>
      </w:hyperlink>
      <w:r w:rsidR="006F2958" w:rsidRPr="006F2958">
        <w:rPr>
          <w:rStyle w:val="Hyperlink"/>
          <w:color w:val="auto"/>
          <w:sz w:val="18"/>
          <w:szCs w:val="18"/>
        </w:rPr>
        <w:t>.</w:t>
      </w:r>
    </w:p>
  </w:footnote>
  <w:footnote w:id="32">
    <w:p w14:paraId="33A48E09" w14:textId="0F6C2FCA"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3" w:history="1">
        <w:r w:rsidRPr="00DE1224">
          <w:rPr>
            <w:rStyle w:val="Hyperlink"/>
            <w:sz w:val="18"/>
            <w:szCs w:val="18"/>
          </w:rPr>
          <w:t>https://www.ag.gov.au/rights-and-protections/human-rights-and-anti-discrimination/human-rights-scrutiny</w:t>
        </w:r>
      </w:hyperlink>
      <w:r w:rsidR="006F2958" w:rsidRPr="006F2958">
        <w:rPr>
          <w:rStyle w:val="Hyperlink"/>
          <w:color w:val="auto"/>
          <w:sz w:val="18"/>
          <w:szCs w:val="18"/>
        </w:rPr>
        <w:t>.</w:t>
      </w:r>
    </w:p>
  </w:footnote>
  <w:footnote w:id="33">
    <w:p w14:paraId="4AE9C403" w14:textId="67EA1552"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4" w:history="1">
        <w:r w:rsidRPr="00DE1224">
          <w:rPr>
            <w:rStyle w:val="Hyperlink"/>
            <w:sz w:val="18"/>
            <w:szCs w:val="18"/>
          </w:rPr>
          <w:t>https://www.aph.gov.au/Parliamentary_Business/Committees/Joint/Human_Rights</w:t>
        </w:r>
      </w:hyperlink>
      <w:r w:rsidR="006F2958" w:rsidRPr="006F2958">
        <w:rPr>
          <w:rStyle w:val="Hyperlink"/>
          <w:color w:val="auto"/>
          <w:sz w:val="18"/>
          <w:szCs w:val="18"/>
        </w:rPr>
        <w:t>.</w:t>
      </w:r>
    </w:p>
  </w:footnote>
  <w:footnote w:id="34">
    <w:p w14:paraId="051191A4" w14:textId="71AA3D60"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5" w:history="1">
        <w:r w:rsidRPr="00717460">
          <w:rPr>
            <w:rStyle w:val="Hyperlink"/>
            <w:sz w:val="18"/>
            <w:szCs w:val="18"/>
            <w:lang w:val="en-AU"/>
          </w:rPr>
          <w:t xml:space="preserve">2008 Review of the </w:t>
        </w:r>
        <w:r w:rsidRPr="00717460">
          <w:rPr>
            <w:rStyle w:val="Hyperlink"/>
            <w:i/>
            <w:sz w:val="18"/>
            <w:szCs w:val="18"/>
            <w:lang w:val="en-AU"/>
          </w:rPr>
          <w:t>Legislation Act 2003</w:t>
        </w:r>
      </w:hyperlink>
      <w:r w:rsidRPr="00717460">
        <w:rPr>
          <w:sz w:val="18"/>
          <w:szCs w:val="18"/>
          <w:lang w:val="en-AU"/>
        </w:rPr>
        <w:t>, chapter 8.3.</w:t>
      </w:r>
    </w:p>
  </w:footnote>
  <w:footnote w:id="35">
    <w:p w14:paraId="0E0CFF4C" w14:textId="1A40EA52"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6" w:history="1">
        <w:r w:rsidRPr="00DE1224">
          <w:rPr>
            <w:rStyle w:val="Hyperlink"/>
            <w:sz w:val="18"/>
            <w:szCs w:val="18"/>
          </w:rPr>
          <w:t>https://www.aph.gov.au/Parliamentary_Business/Chamber_documents/Senate_chamber_documents/Journals_of_the_Senate</w:t>
        </w:r>
      </w:hyperlink>
      <w:r w:rsidR="006F2958" w:rsidRPr="006F2958">
        <w:rPr>
          <w:rStyle w:val="Hyperlink"/>
          <w:color w:val="auto"/>
          <w:sz w:val="18"/>
          <w:szCs w:val="18"/>
        </w:rPr>
        <w:t>.</w:t>
      </w:r>
    </w:p>
  </w:footnote>
  <w:footnote w:id="36">
    <w:p w14:paraId="23AABB5C" w14:textId="476A051C"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7" w:history="1">
        <w:r w:rsidRPr="00DE1224">
          <w:rPr>
            <w:rStyle w:val="Hyperlink"/>
            <w:sz w:val="18"/>
            <w:szCs w:val="18"/>
          </w:rPr>
          <w:t>https://www.aph.gov.au/Parliamentary_Business/Chamber_documents/HoR/Votes_and_Proceedings</w:t>
        </w:r>
      </w:hyperlink>
      <w:r w:rsidR="006F2958" w:rsidRPr="006F2958">
        <w:rPr>
          <w:rStyle w:val="Hyperlink"/>
          <w:color w:val="auto"/>
          <w:sz w:val="18"/>
          <w:szCs w:val="18"/>
        </w:rPr>
        <w:t>.</w:t>
      </w:r>
    </w:p>
  </w:footnote>
  <w:footnote w:id="37">
    <w:p w14:paraId="67E28D77" w14:textId="4952DB4A"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8" w:history="1">
        <w:r w:rsidRPr="00DE1224">
          <w:rPr>
            <w:rStyle w:val="Hyperlink"/>
            <w:sz w:val="18"/>
            <w:szCs w:val="18"/>
            <w:lang w:val="en-AU"/>
          </w:rPr>
          <w:t>https://www.pmc.gov.au/resources/tabling-guidelines</w:t>
        </w:r>
      </w:hyperlink>
      <w:r w:rsidR="006F2958" w:rsidRPr="006F2958">
        <w:rPr>
          <w:rStyle w:val="Hyperlink"/>
          <w:color w:val="auto"/>
          <w:sz w:val="18"/>
          <w:szCs w:val="18"/>
        </w:rPr>
        <w:t>.</w:t>
      </w:r>
    </w:p>
  </w:footnote>
  <w:footnote w:id="38">
    <w:p w14:paraId="7959EE49" w14:textId="0AB370BD"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39" w:history="1">
        <w:r w:rsidRPr="00DE1224">
          <w:rPr>
            <w:rStyle w:val="Hyperlink"/>
            <w:sz w:val="18"/>
            <w:szCs w:val="18"/>
            <w:lang w:val="en-AU"/>
          </w:rPr>
          <w:t>https://www.aph.gov.au/Parliamentary_Business/Bills_Legislation/Disallowance_Alert</w:t>
        </w:r>
      </w:hyperlink>
      <w:r w:rsidR="006F2958" w:rsidRPr="006F2958">
        <w:rPr>
          <w:rStyle w:val="Hyperlink"/>
          <w:color w:val="auto"/>
          <w:sz w:val="18"/>
          <w:szCs w:val="18"/>
        </w:rPr>
        <w:t>.</w:t>
      </w:r>
    </w:p>
  </w:footnote>
  <w:footnote w:id="39">
    <w:p w14:paraId="0A17617B" w14:textId="20F8C7BF"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0" w:history="1">
        <w:r w:rsidRPr="00717460">
          <w:rPr>
            <w:rStyle w:val="Hyperlink"/>
            <w:i/>
            <w:sz w:val="18"/>
            <w:szCs w:val="18"/>
            <w:lang w:val="en-AU"/>
          </w:rPr>
          <w:t>Victorian Chamber of Manufactures v Commonwealth (Women’s Employment Regulations)</w:t>
        </w:r>
        <w:r w:rsidRPr="00717460">
          <w:rPr>
            <w:rStyle w:val="Hyperlink"/>
            <w:sz w:val="18"/>
            <w:szCs w:val="18"/>
            <w:lang w:val="en-AU"/>
          </w:rPr>
          <w:t xml:space="preserve"> [1943] HCA 21; (1943) 67 CLR 347 (13 August 1943)</w:t>
        </w:r>
      </w:hyperlink>
      <w:r w:rsidRPr="00717460">
        <w:rPr>
          <w:sz w:val="18"/>
          <w:szCs w:val="18"/>
          <w:lang w:val="en-AU"/>
        </w:rPr>
        <w:t xml:space="preserve">, and </w:t>
      </w:r>
      <w:hyperlink r:id="rId41" w:history="1">
        <w:r w:rsidRPr="00717460">
          <w:rPr>
            <w:rStyle w:val="Hyperlink"/>
            <w:i/>
            <w:sz w:val="18"/>
            <w:szCs w:val="18"/>
            <w:lang w:val="en-AU"/>
          </w:rPr>
          <w:t>Perrett v Attorney-General of the Commonwealth of Australia</w:t>
        </w:r>
        <w:r w:rsidRPr="00717460">
          <w:rPr>
            <w:rStyle w:val="Hyperlink"/>
            <w:sz w:val="18"/>
            <w:szCs w:val="18"/>
            <w:lang w:val="en-AU"/>
          </w:rPr>
          <w:t xml:space="preserve"> [2015] FCA 834</w:t>
        </w:r>
      </w:hyperlink>
      <w:r w:rsidR="006F2958" w:rsidRPr="006F2958">
        <w:rPr>
          <w:rStyle w:val="Hyperlink"/>
          <w:color w:val="auto"/>
          <w:sz w:val="18"/>
          <w:szCs w:val="18"/>
        </w:rPr>
        <w:t>.</w:t>
      </w:r>
    </w:p>
  </w:footnote>
  <w:footnote w:id="40">
    <w:p w14:paraId="3E036202" w14:textId="0313B000"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2" w:history="1">
        <w:r w:rsidRPr="00DE1224">
          <w:rPr>
            <w:rStyle w:val="Hyperlink"/>
            <w:sz w:val="18"/>
            <w:szCs w:val="18"/>
          </w:rPr>
          <w:t>https://www.ag.gov.au/legal-system/administrative-law/legislation-act-2003</w:t>
        </w:r>
      </w:hyperlink>
      <w:r w:rsidR="006F2958" w:rsidRPr="006F2958">
        <w:rPr>
          <w:rStyle w:val="Hyperlink"/>
          <w:color w:val="auto"/>
          <w:sz w:val="18"/>
          <w:szCs w:val="18"/>
        </w:rPr>
        <w:t>.</w:t>
      </w:r>
    </w:p>
  </w:footnote>
  <w:footnote w:id="41">
    <w:p w14:paraId="22D3B4A7" w14:textId="255399A9"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3" w:history="1">
        <w:r w:rsidRPr="00DE1224">
          <w:rPr>
            <w:rStyle w:val="Hyperlink"/>
            <w:sz w:val="18"/>
            <w:szCs w:val="18"/>
          </w:rPr>
          <w:t>https://www.ag.gov.au/legal-system/administrative-law/legislation-act-2003</w:t>
        </w:r>
      </w:hyperlink>
      <w:r w:rsidR="006F2958" w:rsidRPr="006F2958">
        <w:rPr>
          <w:rStyle w:val="Hyperlink"/>
          <w:color w:val="auto"/>
          <w:sz w:val="18"/>
          <w:szCs w:val="18"/>
        </w:rPr>
        <w:t>.</w:t>
      </w:r>
    </w:p>
  </w:footnote>
  <w:footnote w:id="42">
    <w:p w14:paraId="2EC640E9" w14:textId="133AC1F0"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4" w:history="1">
        <w:r w:rsidRPr="00717460">
          <w:rPr>
            <w:rStyle w:val="Hyperlink"/>
            <w:sz w:val="18"/>
            <w:szCs w:val="18"/>
            <w:lang w:val="en-AU"/>
          </w:rPr>
          <w:t>https://www.legislation.gov.au/help-and-resources/understanding-legislation/sunsetting-lists</w:t>
        </w:r>
      </w:hyperlink>
      <w:r w:rsidR="006F2958" w:rsidRPr="006F2958">
        <w:rPr>
          <w:rStyle w:val="Hyperlink"/>
          <w:color w:val="auto"/>
          <w:sz w:val="18"/>
          <w:szCs w:val="18"/>
        </w:rPr>
        <w:t>.</w:t>
      </w:r>
    </w:p>
  </w:footnote>
  <w:footnote w:id="43">
    <w:p w14:paraId="06B5071C" w14:textId="317A2AB8"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5" w:history="1">
        <w:r w:rsidRPr="00DE1224">
          <w:rPr>
            <w:rStyle w:val="Hyperlink"/>
            <w:sz w:val="18"/>
            <w:szCs w:val="18"/>
            <w:lang w:val="en-AU"/>
          </w:rPr>
          <w:t>https://www.pmc.gov.au/resources/tabling-guidelines</w:t>
        </w:r>
      </w:hyperlink>
      <w:r w:rsidR="006F2958" w:rsidRPr="006F2958">
        <w:rPr>
          <w:rStyle w:val="Hyperlink"/>
          <w:color w:val="auto"/>
          <w:sz w:val="18"/>
          <w:szCs w:val="18"/>
        </w:rPr>
        <w:t>.</w:t>
      </w:r>
    </w:p>
  </w:footnote>
  <w:footnote w:id="44">
    <w:p w14:paraId="69DE7631" w14:textId="502EE0FD"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6" w:history="1">
        <w:r w:rsidRPr="00717460">
          <w:rPr>
            <w:rStyle w:val="Hyperlink"/>
            <w:sz w:val="18"/>
            <w:szCs w:val="18"/>
          </w:rPr>
          <w:t>https://www.legislation.gov.au/legislative-instruments/sunsetting</w:t>
        </w:r>
      </w:hyperlink>
      <w:r w:rsidR="006F2958" w:rsidRPr="006F2958">
        <w:rPr>
          <w:rStyle w:val="Hyperlink"/>
          <w:color w:val="auto"/>
          <w:sz w:val="18"/>
          <w:szCs w:val="18"/>
        </w:rPr>
        <w:t>.</w:t>
      </w:r>
    </w:p>
  </w:footnote>
  <w:footnote w:id="45">
    <w:p w14:paraId="16691869" w14:textId="36C5A265"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7" w:history="1">
        <w:r w:rsidRPr="00DE1224">
          <w:rPr>
            <w:rStyle w:val="Hyperlink"/>
            <w:sz w:val="18"/>
            <w:szCs w:val="18"/>
          </w:rPr>
          <w:t>https://www.ag.gov.au/legal-system/administrative-law/legislation-act-2003</w:t>
        </w:r>
      </w:hyperlink>
      <w:r w:rsidR="006F2958" w:rsidRPr="006F2958">
        <w:rPr>
          <w:rStyle w:val="Hyperlink"/>
          <w:color w:val="auto"/>
          <w:sz w:val="18"/>
          <w:szCs w:val="18"/>
        </w:rPr>
        <w:t>.</w:t>
      </w:r>
    </w:p>
  </w:footnote>
  <w:footnote w:id="46">
    <w:p w14:paraId="58DA291E" w14:textId="56F3D674"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48" w:history="1">
        <w:hyperlink r:id="rId49" w:history="1">
          <w:r w:rsidRPr="00DE1224">
            <w:rPr>
              <w:rStyle w:val="Hyperlink"/>
              <w:sz w:val="18"/>
              <w:szCs w:val="18"/>
            </w:rPr>
            <w:t>https://www.ag.gov.au/legal-system/administrative-law/legislation-act-2003</w:t>
          </w:r>
        </w:hyperlink>
      </w:hyperlink>
      <w:r w:rsidR="006F2958" w:rsidRPr="006F2958">
        <w:rPr>
          <w:rStyle w:val="Hyperlink"/>
          <w:color w:val="auto"/>
          <w:sz w:val="18"/>
          <w:szCs w:val="18"/>
        </w:rPr>
        <w:t>.</w:t>
      </w:r>
    </w:p>
  </w:footnote>
  <w:footnote w:id="47">
    <w:p w14:paraId="44684DD9" w14:textId="63771135"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50" w:history="1">
        <w:hyperlink r:id="rId51" w:history="1">
          <w:r w:rsidRPr="00DE1224">
            <w:rPr>
              <w:rStyle w:val="Hyperlink"/>
              <w:sz w:val="18"/>
              <w:szCs w:val="18"/>
            </w:rPr>
            <w:t>https://www.ag.gov.au/legal-system/administrative-law/legislation-act-2003</w:t>
          </w:r>
        </w:hyperlink>
      </w:hyperlink>
      <w:r w:rsidR="006F2958" w:rsidRPr="006F2958">
        <w:rPr>
          <w:rStyle w:val="Hyperlink"/>
          <w:color w:val="auto"/>
          <w:sz w:val="18"/>
          <w:szCs w:val="18"/>
        </w:rPr>
        <w:t>.</w:t>
      </w:r>
    </w:p>
  </w:footnote>
  <w:footnote w:id="48">
    <w:p w14:paraId="707F5186" w14:textId="69DBFBC3"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52" w:history="1">
        <w:hyperlink r:id="rId53" w:history="1">
          <w:r w:rsidRPr="00DE1224">
            <w:rPr>
              <w:rStyle w:val="Hyperlink"/>
              <w:sz w:val="18"/>
              <w:szCs w:val="18"/>
            </w:rPr>
            <w:t>https://www.ag.gov.au/legal-system/administrative-law/legislation-act-2003</w:t>
          </w:r>
        </w:hyperlink>
      </w:hyperlink>
      <w:r w:rsidR="006F2958" w:rsidRPr="006F2958">
        <w:rPr>
          <w:rStyle w:val="Hyperlink"/>
          <w:color w:val="auto"/>
          <w:sz w:val="18"/>
          <w:szCs w:val="18"/>
        </w:rPr>
        <w:t>.</w:t>
      </w:r>
    </w:p>
  </w:footnote>
  <w:footnote w:id="49">
    <w:p w14:paraId="5F677DC2" w14:textId="37565C0E"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54" w:history="1">
        <w:hyperlink r:id="rId55" w:history="1">
          <w:r w:rsidRPr="00DE1224">
            <w:rPr>
              <w:rStyle w:val="Hyperlink"/>
              <w:sz w:val="18"/>
              <w:szCs w:val="18"/>
              <w:lang w:val="en-AU"/>
            </w:rPr>
            <w:t>https://www.pmc.gov.au/resources/tabling-guidelines</w:t>
          </w:r>
        </w:hyperlink>
      </w:hyperlink>
      <w:r w:rsidR="006F2958" w:rsidRPr="006F2958">
        <w:rPr>
          <w:rStyle w:val="Hyperlink"/>
          <w:color w:val="auto"/>
          <w:sz w:val="18"/>
          <w:szCs w:val="18"/>
        </w:rPr>
        <w:t>.</w:t>
      </w:r>
    </w:p>
  </w:footnote>
  <w:footnote w:id="50">
    <w:p w14:paraId="6CF3CEB4" w14:textId="4CF263EC" w:rsidR="00F02267" w:rsidRPr="00717460" w:rsidRDefault="00F02267" w:rsidP="00A732E3">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56" w:history="1">
        <w:r w:rsidRPr="00DE1224">
          <w:rPr>
            <w:rStyle w:val="Hyperlink"/>
            <w:sz w:val="18"/>
            <w:szCs w:val="18"/>
          </w:rPr>
          <w:t>OPC’s Instrument Drafting Guidance Note No. 1.4 Timeframes for the development of instruments</w:t>
        </w:r>
      </w:hyperlink>
      <w:r w:rsidRPr="00DE1224">
        <w:rPr>
          <w:sz w:val="18"/>
          <w:szCs w:val="18"/>
          <w:lang w:val="en-AU"/>
        </w:rPr>
        <w:t>.</w:t>
      </w:r>
    </w:p>
  </w:footnote>
  <w:footnote w:id="51">
    <w:p w14:paraId="205073E3" w14:textId="0716545D" w:rsidR="00F02267" w:rsidRPr="00717460" w:rsidRDefault="00F02267" w:rsidP="00A83991">
      <w:pPr>
        <w:pStyle w:val="FootnoteText"/>
        <w:rPr>
          <w:sz w:val="18"/>
          <w:szCs w:val="18"/>
          <w:lang w:val="en-AU"/>
        </w:rPr>
      </w:pPr>
      <w:r w:rsidRPr="00717460">
        <w:rPr>
          <w:rStyle w:val="FootnoteReference"/>
          <w:sz w:val="18"/>
          <w:szCs w:val="18"/>
        </w:rPr>
        <w:footnoteRef/>
      </w:r>
      <w:r w:rsidRPr="00717460">
        <w:rPr>
          <w:sz w:val="18"/>
          <w:szCs w:val="18"/>
        </w:rPr>
        <w:t xml:space="preserve"> </w:t>
      </w:r>
      <w:r w:rsidRPr="00717460">
        <w:rPr>
          <w:sz w:val="18"/>
          <w:szCs w:val="18"/>
          <w:lang w:val="en-AU"/>
        </w:rPr>
        <w:t xml:space="preserve">See </w:t>
      </w:r>
      <w:hyperlink r:id="rId57" w:history="1">
        <w:hyperlink r:id="rId58" w:history="1">
          <w:r w:rsidRPr="00DE1224">
            <w:rPr>
              <w:rStyle w:val="Hyperlink"/>
              <w:sz w:val="18"/>
              <w:szCs w:val="18"/>
            </w:rPr>
            <w:t>https://www.pmc.gov.au/resources/legislation-handbook</w:t>
          </w:r>
        </w:hyperlink>
      </w:hyperlink>
      <w:r w:rsidR="006F2958" w:rsidRPr="006F2958">
        <w:rPr>
          <w:rStyle w:val="Hyperlink"/>
          <w:color w:val="au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6C33" w14:textId="77777777" w:rsidR="00833171" w:rsidRDefault="008331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06907" w14:textId="6CA0458D" w:rsidR="00F02267" w:rsidRDefault="00F02267" w:rsidP="009F37AF">
    <w:pPr>
      <w:pStyle w:val="Header"/>
      <w:spacing w:before="60" w:after="60"/>
      <w:rPr>
        <w:sz w:val="20"/>
      </w:rPr>
    </w:pPr>
    <w:r w:rsidRPr="00A22B61">
      <w:rPr>
        <w:b/>
        <w:sz w:val="20"/>
      </w:rPr>
      <w:t xml:space="preserve">Part </w:t>
    </w:r>
    <w:r>
      <w:rPr>
        <w:b/>
        <w:sz w:val="20"/>
      </w:rPr>
      <w:t>2</w:t>
    </w:r>
    <w:r>
      <w:rPr>
        <w:sz w:val="20"/>
      </w:rPr>
      <w:t xml:space="preserve">  Matters specific to legislative instruments</w:t>
    </w:r>
  </w:p>
  <w:p w14:paraId="67CA0B01" w14:textId="77777777" w:rsidR="00F02267" w:rsidRDefault="00F02267" w:rsidP="009F37AF">
    <w:pPr>
      <w:pStyle w:val="Header"/>
      <w:spacing w:before="60" w:after="60"/>
      <w:rPr>
        <w:sz w:val="20"/>
      </w:rPr>
    </w:pPr>
    <w:r>
      <w:rPr>
        <w:sz w:val="20"/>
      </w:rPr>
      <w:t xml:space="preserve">  </w:t>
    </w:r>
  </w:p>
  <w:p w14:paraId="4D1520EB" w14:textId="01EE3F26" w:rsidR="00F02267" w:rsidRPr="00F22156" w:rsidRDefault="00F02267" w:rsidP="00F22156">
    <w:pPr>
      <w:pBdr>
        <w:bottom w:val="single" w:sz="6" w:space="1" w:color="auto"/>
      </w:pBdr>
      <w:spacing w:after="280"/>
    </w:pPr>
    <w:r w:rsidRPr="00A22B61">
      <w:rPr>
        <w:b/>
        <w:sz w:val="20"/>
      </w:rPr>
      <w:t xml:space="preserve">Chapter </w:t>
    </w:r>
    <w:r>
      <w:rPr>
        <w:b/>
        <w:sz w:val="20"/>
      </w:rPr>
      <w:t>7</w:t>
    </w:r>
    <w:r>
      <w:rPr>
        <w:sz w:val="20"/>
      </w:rPr>
      <w:t xml:space="preserve">  Before making a legislative instrument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3620" w14:textId="77777777" w:rsidR="00F02267" w:rsidRDefault="00F02267" w:rsidP="009F37AF">
    <w:pPr>
      <w:pStyle w:val="Header"/>
      <w:spacing w:before="60" w:after="60"/>
      <w:rPr>
        <w:sz w:val="20"/>
      </w:rPr>
    </w:pPr>
    <w:r w:rsidRPr="00A22B61">
      <w:rPr>
        <w:b/>
        <w:sz w:val="20"/>
      </w:rPr>
      <w:t xml:space="preserve">Part </w:t>
    </w:r>
    <w:r>
      <w:rPr>
        <w:b/>
        <w:sz w:val="20"/>
      </w:rPr>
      <w:t>2</w:t>
    </w:r>
    <w:r>
      <w:rPr>
        <w:sz w:val="20"/>
      </w:rPr>
      <w:t xml:space="preserve">  Matters specific to legislative instruments</w:t>
    </w:r>
  </w:p>
  <w:p w14:paraId="69C941BD" w14:textId="77777777" w:rsidR="00F02267" w:rsidRDefault="00F02267" w:rsidP="009F37AF">
    <w:pPr>
      <w:pStyle w:val="Header"/>
      <w:spacing w:before="60" w:after="60"/>
      <w:rPr>
        <w:sz w:val="20"/>
      </w:rPr>
    </w:pPr>
    <w:r>
      <w:rPr>
        <w:sz w:val="20"/>
      </w:rPr>
      <w:t xml:space="preserve">  </w:t>
    </w:r>
  </w:p>
  <w:p w14:paraId="68EBE0E0" w14:textId="1698B559" w:rsidR="00F02267" w:rsidRPr="00F22156" w:rsidRDefault="00F02267" w:rsidP="00F22156">
    <w:pPr>
      <w:pBdr>
        <w:bottom w:val="single" w:sz="6" w:space="1" w:color="auto"/>
      </w:pBdr>
      <w:spacing w:after="280"/>
    </w:pPr>
    <w:r w:rsidRPr="00A22B61">
      <w:rPr>
        <w:b/>
        <w:sz w:val="20"/>
      </w:rPr>
      <w:t xml:space="preserve">Chapter </w:t>
    </w:r>
    <w:r>
      <w:rPr>
        <w:b/>
        <w:sz w:val="20"/>
      </w:rPr>
      <w:t>8</w:t>
    </w:r>
    <w:r>
      <w:rPr>
        <w:sz w:val="20"/>
      </w:rPr>
      <w:t xml:space="preserve">  Explanatory statements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93DD" w14:textId="77777777" w:rsidR="00F02267" w:rsidRDefault="00F02267" w:rsidP="009F37AF">
    <w:pPr>
      <w:pStyle w:val="Header"/>
      <w:spacing w:before="60" w:after="60"/>
      <w:rPr>
        <w:sz w:val="20"/>
      </w:rPr>
    </w:pPr>
    <w:r w:rsidRPr="00A22B61">
      <w:rPr>
        <w:b/>
        <w:sz w:val="20"/>
      </w:rPr>
      <w:t xml:space="preserve">Part </w:t>
    </w:r>
    <w:r>
      <w:rPr>
        <w:b/>
        <w:sz w:val="20"/>
      </w:rPr>
      <w:t>2</w:t>
    </w:r>
    <w:r>
      <w:rPr>
        <w:sz w:val="20"/>
      </w:rPr>
      <w:t xml:space="preserve">  Matters specific to legislative instruments</w:t>
    </w:r>
  </w:p>
  <w:p w14:paraId="1B358916" w14:textId="77777777" w:rsidR="00F02267" w:rsidRDefault="00F02267" w:rsidP="009F37AF">
    <w:pPr>
      <w:pStyle w:val="Header"/>
      <w:spacing w:before="60" w:after="60"/>
      <w:rPr>
        <w:sz w:val="20"/>
      </w:rPr>
    </w:pPr>
    <w:r>
      <w:rPr>
        <w:sz w:val="20"/>
      </w:rPr>
      <w:t xml:space="preserve">  </w:t>
    </w:r>
  </w:p>
  <w:p w14:paraId="6FD8D7F2" w14:textId="5AB17403" w:rsidR="00F02267" w:rsidRPr="00F22156" w:rsidRDefault="00F02267" w:rsidP="00F22156">
    <w:pPr>
      <w:pBdr>
        <w:bottom w:val="single" w:sz="6" w:space="1" w:color="auto"/>
      </w:pBdr>
      <w:spacing w:after="280"/>
    </w:pPr>
    <w:r w:rsidRPr="00A22B61">
      <w:rPr>
        <w:b/>
        <w:sz w:val="20"/>
      </w:rPr>
      <w:t xml:space="preserve">Chapter </w:t>
    </w:r>
    <w:r>
      <w:rPr>
        <w:b/>
        <w:sz w:val="20"/>
      </w:rPr>
      <w:t>9</w:t>
    </w:r>
    <w:r>
      <w:rPr>
        <w:sz w:val="20"/>
      </w:rPr>
      <w:t xml:space="preserve">  Parliamentary scrutiny (disallowance) processes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8A3F" w14:textId="77777777" w:rsidR="00F02267" w:rsidRDefault="00F02267" w:rsidP="00AD6EAA">
    <w:pPr>
      <w:pStyle w:val="Header"/>
      <w:spacing w:before="60" w:after="60"/>
      <w:rPr>
        <w:sz w:val="20"/>
      </w:rPr>
    </w:pPr>
    <w:r w:rsidRPr="00A22B61">
      <w:rPr>
        <w:b/>
        <w:sz w:val="20"/>
      </w:rPr>
      <w:t xml:space="preserve">Part </w:t>
    </w:r>
    <w:r>
      <w:rPr>
        <w:b/>
        <w:sz w:val="20"/>
      </w:rPr>
      <w:t>2</w:t>
    </w:r>
    <w:r>
      <w:rPr>
        <w:sz w:val="20"/>
      </w:rPr>
      <w:t xml:space="preserve">  Matters specific to legislative instruments</w:t>
    </w:r>
  </w:p>
  <w:p w14:paraId="3ED55B91" w14:textId="77777777" w:rsidR="00F02267" w:rsidRDefault="00F02267" w:rsidP="00AD6EAA">
    <w:pPr>
      <w:pStyle w:val="Header"/>
      <w:spacing w:before="60" w:after="60"/>
      <w:rPr>
        <w:sz w:val="20"/>
      </w:rPr>
    </w:pPr>
    <w:r>
      <w:rPr>
        <w:sz w:val="20"/>
      </w:rPr>
      <w:t xml:space="preserve">  </w:t>
    </w:r>
  </w:p>
  <w:p w14:paraId="1A26AADC" w14:textId="2E6D134E" w:rsidR="00F02267" w:rsidRPr="00F22156" w:rsidRDefault="00F02267" w:rsidP="00F22156">
    <w:pPr>
      <w:pBdr>
        <w:bottom w:val="single" w:sz="6" w:space="1" w:color="auto"/>
      </w:pBdr>
      <w:spacing w:after="280"/>
    </w:pPr>
    <w:r w:rsidRPr="00A22B61">
      <w:rPr>
        <w:b/>
        <w:sz w:val="20"/>
      </w:rPr>
      <w:t xml:space="preserve">Chapter </w:t>
    </w:r>
    <w:r>
      <w:rPr>
        <w:b/>
        <w:sz w:val="20"/>
      </w:rPr>
      <w:t>10</w:t>
    </w:r>
    <w:r>
      <w:rPr>
        <w:sz w:val="20"/>
      </w:rPr>
      <w:t xml:space="preserve">  Sunsetting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252C" w14:textId="315E69F5" w:rsidR="00F02267" w:rsidRDefault="00F02267" w:rsidP="00AD6EAA">
    <w:pPr>
      <w:pStyle w:val="Header"/>
      <w:spacing w:before="60" w:after="60"/>
      <w:rPr>
        <w:sz w:val="20"/>
      </w:rPr>
    </w:pPr>
    <w:r>
      <w:rPr>
        <w:b/>
        <w:sz w:val="20"/>
      </w:rPr>
      <w:t>Appendix A</w:t>
    </w:r>
    <w:r>
      <w:rPr>
        <w:sz w:val="20"/>
      </w:rPr>
      <w:t xml:space="preserve">  Sunsetting Checklist</w:t>
    </w:r>
  </w:p>
  <w:p w14:paraId="42788882" w14:textId="1505B620" w:rsidR="00F02267" w:rsidRPr="0063421B" w:rsidRDefault="00F02267" w:rsidP="009349CD">
    <w:pPr>
      <w:pBdr>
        <w:bottom w:val="single" w:sz="6" w:space="1" w:color="auto"/>
      </w:pBdr>
      <w:spacing w:after="280"/>
      <w:rPr>
        <w:sz w:val="20"/>
      </w:rPr>
    </w:pPr>
    <w:r>
      <w:rPr>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EF5F" w14:textId="77777777" w:rsidR="00F02267" w:rsidRDefault="00F02267" w:rsidP="00AD6EAA">
    <w:pPr>
      <w:pStyle w:val="Header"/>
      <w:spacing w:before="60" w:after="60"/>
      <w:rPr>
        <w:sz w:val="20"/>
      </w:rPr>
    </w:pPr>
    <w:r>
      <w:rPr>
        <w:b/>
        <w:sz w:val="20"/>
      </w:rPr>
      <w:t>Further reading</w:t>
    </w:r>
  </w:p>
  <w:p w14:paraId="4EDDC875" w14:textId="7F357760" w:rsidR="00F02267" w:rsidRPr="0063421B" w:rsidRDefault="00F02267" w:rsidP="00F22156">
    <w:pPr>
      <w:pBdr>
        <w:bottom w:val="single" w:sz="6" w:space="1" w:color="auto"/>
      </w:pBdr>
      <w:spacing w:after="280"/>
      <w:rPr>
        <w:sz w:val="20"/>
      </w:rPr>
    </w:pPr>
    <w:r>
      <w:rPr>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80B7" w14:textId="0D494015" w:rsidR="00F02267" w:rsidRDefault="00F02267" w:rsidP="00AD6EAA">
    <w:pPr>
      <w:pStyle w:val="Header"/>
      <w:spacing w:before="60" w:after="60"/>
      <w:rPr>
        <w:sz w:val="20"/>
      </w:rPr>
    </w:pPr>
    <w:r>
      <w:rPr>
        <w:b/>
        <w:sz w:val="20"/>
      </w:rPr>
      <w:t>Useful contacts</w:t>
    </w:r>
  </w:p>
  <w:p w14:paraId="1FF9F647" w14:textId="2243D329" w:rsidR="00F02267" w:rsidRPr="0063421B" w:rsidRDefault="00F02267" w:rsidP="00F22156">
    <w:pPr>
      <w:pBdr>
        <w:bottom w:val="single" w:sz="6" w:space="1" w:color="auto"/>
      </w:pBdr>
      <w:spacing w:after="280"/>
      <w:rPr>
        <w:sz w:val="20"/>
      </w:rPr>
    </w:pPr>
    <w:r>
      <w:rPr>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D595" w14:textId="77777777" w:rsidR="00F02267" w:rsidRDefault="00F02267" w:rsidP="00D9016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5825" w14:textId="0740D285" w:rsidR="00F02267" w:rsidRDefault="00F02267" w:rsidP="00AD6EAA">
    <w:pPr>
      <w:pStyle w:val="Header"/>
      <w:spacing w:before="60" w:after="60"/>
      <w:rPr>
        <w:sz w:val="20"/>
      </w:rPr>
    </w:pPr>
    <w:r>
      <w:rPr>
        <w:b/>
        <w:sz w:val="20"/>
      </w:rPr>
      <w:t>Document history</w:t>
    </w:r>
  </w:p>
  <w:p w14:paraId="77D28271" w14:textId="4A53C409" w:rsidR="00F02267" w:rsidRPr="0063421B" w:rsidRDefault="00F02267" w:rsidP="00F22156">
    <w:pPr>
      <w:pBdr>
        <w:bottom w:val="single" w:sz="6" w:space="1" w:color="auto"/>
      </w:pBdr>
      <w:spacing w:after="280"/>
      <w:rPr>
        <w:sz w:val="20"/>
      </w:rP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5036" w14:textId="77777777" w:rsidR="00833171" w:rsidRDefault="00833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F032" w14:textId="77777777" w:rsidR="00833171" w:rsidRDefault="00833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C6FB" w14:textId="0799BE2F" w:rsidR="00F02267" w:rsidRDefault="00F02267" w:rsidP="00954645">
    <w:pPr>
      <w:pStyle w:val="Header"/>
      <w:spacing w:before="60" w:after="60"/>
      <w:rPr>
        <w:sz w:val="20"/>
      </w:rPr>
    </w:pPr>
    <w:r w:rsidRPr="00A22B61">
      <w:rPr>
        <w:b/>
        <w:sz w:val="20"/>
      </w:rPr>
      <w:t>Part 1</w:t>
    </w:r>
    <w:r>
      <w:rPr>
        <w:sz w:val="20"/>
      </w:rPr>
      <w:t xml:space="preserve">  Matters relevant to all instruments</w:t>
    </w:r>
  </w:p>
  <w:p w14:paraId="7295848D" w14:textId="4D9940D4" w:rsidR="00F02267" w:rsidRDefault="00F02267" w:rsidP="00954645">
    <w:pPr>
      <w:pStyle w:val="Header"/>
      <w:spacing w:before="60" w:after="60"/>
      <w:rPr>
        <w:sz w:val="20"/>
      </w:rPr>
    </w:pPr>
    <w:r>
      <w:rPr>
        <w:sz w:val="20"/>
      </w:rPr>
      <w:t xml:space="preserve">  </w:t>
    </w:r>
  </w:p>
  <w:p w14:paraId="0B58E1DB" w14:textId="1CCDE271" w:rsidR="00F02267" w:rsidRPr="0063421B" w:rsidRDefault="00F02267" w:rsidP="00746EB4">
    <w:pPr>
      <w:pBdr>
        <w:bottom w:val="single" w:sz="6" w:space="1" w:color="auto"/>
      </w:pBdr>
      <w:spacing w:after="280"/>
      <w:rPr>
        <w:sz w:val="20"/>
      </w:rPr>
    </w:pPr>
    <w:r w:rsidRPr="00A22B61">
      <w:rPr>
        <w:b/>
        <w:sz w:val="20"/>
      </w:rPr>
      <w:t>Chapter 1</w:t>
    </w:r>
    <w:r>
      <w:rPr>
        <w:sz w:val="20"/>
      </w:rPr>
      <w:t xml:space="preserve">  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2837" w14:textId="77777777" w:rsidR="00F02267" w:rsidRDefault="00F02267" w:rsidP="00954645">
    <w:pPr>
      <w:pStyle w:val="Header"/>
      <w:spacing w:before="60" w:after="60"/>
      <w:rPr>
        <w:sz w:val="20"/>
      </w:rPr>
    </w:pPr>
    <w:r w:rsidRPr="00A22B61">
      <w:rPr>
        <w:b/>
        <w:sz w:val="20"/>
      </w:rPr>
      <w:t>Part 1</w:t>
    </w:r>
    <w:r>
      <w:rPr>
        <w:sz w:val="20"/>
      </w:rPr>
      <w:t xml:space="preserve">  Matters relevant to all instruments</w:t>
    </w:r>
  </w:p>
  <w:p w14:paraId="5C2C964D" w14:textId="77777777" w:rsidR="00F02267" w:rsidRDefault="00F02267" w:rsidP="00954645">
    <w:pPr>
      <w:pStyle w:val="Header"/>
      <w:spacing w:before="60" w:after="60"/>
      <w:rPr>
        <w:sz w:val="20"/>
      </w:rPr>
    </w:pPr>
    <w:r>
      <w:rPr>
        <w:sz w:val="20"/>
      </w:rPr>
      <w:t xml:space="preserve">  </w:t>
    </w:r>
  </w:p>
  <w:p w14:paraId="358EFD63" w14:textId="0F25C923" w:rsidR="00F02267" w:rsidRPr="0063421B" w:rsidRDefault="00F02267" w:rsidP="00746EB4">
    <w:pPr>
      <w:pBdr>
        <w:bottom w:val="single" w:sz="6" w:space="1" w:color="auto"/>
      </w:pBdr>
      <w:spacing w:after="280"/>
      <w:rPr>
        <w:sz w:val="20"/>
      </w:rPr>
    </w:pPr>
    <w:r w:rsidRPr="00A22B61">
      <w:rPr>
        <w:b/>
        <w:sz w:val="20"/>
      </w:rPr>
      <w:t xml:space="preserve">Chapter </w:t>
    </w:r>
    <w:r>
      <w:rPr>
        <w:b/>
        <w:sz w:val="20"/>
      </w:rPr>
      <w:t>2</w:t>
    </w:r>
    <w:r>
      <w:rPr>
        <w:sz w:val="20"/>
      </w:rPr>
      <w:t xml:space="preserve">  Key concepts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2372" w14:textId="77777777" w:rsidR="00F02267" w:rsidRDefault="00F02267" w:rsidP="00110834">
    <w:pPr>
      <w:pStyle w:val="Header"/>
      <w:spacing w:before="60" w:after="60"/>
      <w:rPr>
        <w:sz w:val="20"/>
      </w:rPr>
    </w:pPr>
    <w:r w:rsidRPr="00A22B61">
      <w:rPr>
        <w:b/>
        <w:sz w:val="20"/>
      </w:rPr>
      <w:t>Part 1</w:t>
    </w:r>
    <w:r>
      <w:rPr>
        <w:sz w:val="20"/>
      </w:rPr>
      <w:t xml:space="preserve">  Matters relevant to all instruments</w:t>
    </w:r>
  </w:p>
  <w:p w14:paraId="72FAB35D" w14:textId="77777777" w:rsidR="00F02267" w:rsidRDefault="00F02267" w:rsidP="00110834">
    <w:pPr>
      <w:pStyle w:val="Header"/>
      <w:spacing w:before="60" w:after="60"/>
      <w:rPr>
        <w:sz w:val="20"/>
      </w:rPr>
    </w:pPr>
    <w:r>
      <w:rPr>
        <w:sz w:val="20"/>
      </w:rPr>
      <w:t xml:space="preserve">  </w:t>
    </w:r>
  </w:p>
  <w:p w14:paraId="16BFE6CE" w14:textId="7FD6B4C6" w:rsidR="00F02267" w:rsidRPr="0063421B" w:rsidRDefault="00F02267" w:rsidP="006B01B4">
    <w:pPr>
      <w:pBdr>
        <w:bottom w:val="single" w:sz="6" w:space="1" w:color="auto"/>
      </w:pBdr>
      <w:spacing w:after="280"/>
      <w:rPr>
        <w:sz w:val="20"/>
      </w:rPr>
    </w:pPr>
    <w:r w:rsidRPr="00A22B61">
      <w:rPr>
        <w:b/>
        <w:sz w:val="20"/>
      </w:rPr>
      <w:t xml:space="preserve">Chapter </w:t>
    </w:r>
    <w:r>
      <w:rPr>
        <w:b/>
        <w:sz w:val="20"/>
      </w:rPr>
      <w:t>3</w:t>
    </w:r>
    <w:r>
      <w:rPr>
        <w:sz w:val="20"/>
      </w:rPr>
      <w:t xml:space="preserve">  Drafting and interpretation of instruments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C16C" w14:textId="77777777" w:rsidR="00F02267" w:rsidRDefault="00F02267" w:rsidP="00D82E2F">
    <w:pPr>
      <w:pStyle w:val="Header"/>
      <w:spacing w:before="60" w:after="60"/>
      <w:rPr>
        <w:sz w:val="20"/>
      </w:rPr>
    </w:pPr>
    <w:r w:rsidRPr="00A22B61">
      <w:rPr>
        <w:b/>
        <w:sz w:val="20"/>
      </w:rPr>
      <w:t>Part 1</w:t>
    </w:r>
    <w:r>
      <w:rPr>
        <w:sz w:val="20"/>
      </w:rPr>
      <w:t xml:space="preserve">  Matters relevant to all instruments</w:t>
    </w:r>
  </w:p>
  <w:p w14:paraId="5DB80421" w14:textId="77777777" w:rsidR="00F02267" w:rsidRDefault="00F02267" w:rsidP="00D82E2F">
    <w:pPr>
      <w:pStyle w:val="Header"/>
      <w:spacing w:before="60" w:after="60"/>
      <w:rPr>
        <w:sz w:val="20"/>
      </w:rPr>
    </w:pPr>
    <w:r>
      <w:rPr>
        <w:sz w:val="20"/>
      </w:rPr>
      <w:t xml:space="preserve">  </w:t>
    </w:r>
  </w:p>
  <w:p w14:paraId="2A039767" w14:textId="77777777" w:rsidR="00F02267" w:rsidRPr="00AE03D3" w:rsidRDefault="00F02267" w:rsidP="003A3A09">
    <w:pPr>
      <w:pBdr>
        <w:bottom w:val="single" w:sz="6" w:space="1" w:color="auto"/>
      </w:pBdr>
      <w:spacing w:after="120"/>
      <w:rPr>
        <w:sz w:val="20"/>
      </w:rPr>
    </w:pPr>
    <w:r w:rsidRPr="00A22B61">
      <w:rPr>
        <w:b/>
        <w:sz w:val="20"/>
      </w:rPr>
      <w:t xml:space="preserve">Chapter </w:t>
    </w:r>
    <w:r>
      <w:rPr>
        <w:b/>
        <w:sz w:val="20"/>
      </w:rPr>
      <w:t>4</w:t>
    </w:r>
    <w:r>
      <w:rPr>
        <w:sz w:val="20"/>
      </w:rPr>
      <w:t xml:space="preserve">  Lodgement and registration of instruments</w:t>
    </w:r>
  </w:p>
  <w:p w14:paraId="77835328" w14:textId="6451FFE8" w:rsidR="00F02267" w:rsidRPr="0063421B" w:rsidRDefault="00F02267" w:rsidP="00D82E2F">
    <w:pPr>
      <w:pStyle w:val="Header"/>
      <w:spacing w:before="60" w:after="6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83DA" w14:textId="77777777" w:rsidR="00F02267" w:rsidRDefault="00F02267" w:rsidP="00D82E2F">
    <w:pPr>
      <w:pStyle w:val="Header"/>
      <w:spacing w:before="60" w:after="60"/>
      <w:rPr>
        <w:sz w:val="20"/>
      </w:rPr>
    </w:pPr>
    <w:r w:rsidRPr="00A22B61">
      <w:rPr>
        <w:b/>
        <w:sz w:val="20"/>
      </w:rPr>
      <w:t>Part 1</w:t>
    </w:r>
    <w:r>
      <w:rPr>
        <w:sz w:val="20"/>
      </w:rPr>
      <w:t xml:space="preserve">  Matters relevant to all instruments</w:t>
    </w:r>
  </w:p>
  <w:p w14:paraId="19EFEBB5" w14:textId="77777777" w:rsidR="00F02267" w:rsidRDefault="00F02267" w:rsidP="00D82E2F">
    <w:pPr>
      <w:pStyle w:val="Header"/>
      <w:spacing w:before="60" w:after="60"/>
      <w:rPr>
        <w:sz w:val="20"/>
      </w:rPr>
    </w:pPr>
    <w:r>
      <w:rPr>
        <w:sz w:val="20"/>
      </w:rPr>
      <w:t xml:space="preserve">  </w:t>
    </w:r>
  </w:p>
  <w:p w14:paraId="24324A5C" w14:textId="453DECA1" w:rsidR="00F02267" w:rsidRPr="0063421B" w:rsidRDefault="00F02267" w:rsidP="00F22156">
    <w:pPr>
      <w:pBdr>
        <w:bottom w:val="single" w:sz="6" w:space="1" w:color="auto"/>
      </w:pBdr>
      <w:spacing w:after="280"/>
    </w:pPr>
    <w:r w:rsidRPr="00A22B61">
      <w:rPr>
        <w:b/>
        <w:sz w:val="20"/>
      </w:rPr>
      <w:t xml:space="preserve">Chapter </w:t>
    </w:r>
    <w:r>
      <w:rPr>
        <w:b/>
        <w:sz w:val="20"/>
      </w:rPr>
      <w:t>5</w:t>
    </w:r>
    <w:r>
      <w:rPr>
        <w:sz w:val="20"/>
      </w:rPr>
      <w:t xml:space="preserve">  Compilations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2D3D" w14:textId="77777777" w:rsidR="00F02267" w:rsidRDefault="00F02267" w:rsidP="00D82E2F">
    <w:pPr>
      <w:pStyle w:val="Header"/>
      <w:spacing w:before="60" w:after="60"/>
      <w:rPr>
        <w:sz w:val="20"/>
      </w:rPr>
    </w:pPr>
    <w:r w:rsidRPr="00A22B61">
      <w:rPr>
        <w:b/>
        <w:sz w:val="20"/>
      </w:rPr>
      <w:t>Part 1</w:t>
    </w:r>
    <w:r>
      <w:rPr>
        <w:sz w:val="20"/>
      </w:rPr>
      <w:t xml:space="preserve">  Matters relevant to all instruments</w:t>
    </w:r>
  </w:p>
  <w:p w14:paraId="61405CC4" w14:textId="77777777" w:rsidR="00F02267" w:rsidRDefault="00F02267" w:rsidP="00D82E2F">
    <w:pPr>
      <w:pStyle w:val="Header"/>
      <w:spacing w:before="60" w:after="60"/>
      <w:rPr>
        <w:sz w:val="20"/>
      </w:rPr>
    </w:pPr>
    <w:r>
      <w:rPr>
        <w:sz w:val="20"/>
      </w:rPr>
      <w:t xml:space="preserve">  </w:t>
    </w:r>
  </w:p>
  <w:p w14:paraId="7D33C2B6" w14:textId="5A405F6B" w:rsidR="00F02267" w:rsidRPr="00F22156" w:rsidRDefault="00F02267" w:rsidP="00F22156">
    <w:pPr>
      <w:pBdr>
        <w:bottom w:val="single" w:sz="6" w:space="1" w:color="auto"/>
      </w:pBdr>
      <w:spacing w:after="280"/>
    </w:pPr>
    <w:r w:rsidRPr="00A22B61">
      <w:rPr>
        <w:b/>
        <w:sz w:val="20"/>
      </w:rPr>
      <w:t xml:space="preserve">Chapter </w:t>
    </w:r>
    <w:r>
      <w:rPr>
        <w:b/>
        <w:sz w:val="20"/>
      </w:rPr>
      <w:t>6</w:t>
    </w:r>
    <w:r>
      <w:rPr>
        <w:sz w:val="20"/>
      </w:rPr>
      <w:t xml:space="preserve">  Keeping the Register up-to-date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0CF9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D2F8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78F2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B69A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81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005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C4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46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CE2158"/>
    <w:lvl w:ilvl="0">
      <w:start w:val="1"/>
      <w:numFmt w:val="decimal"/>
      <w:lvlText w:val="%1."/>
      <w:lvlJc w:val="left"/>
      <w:pPr>
        <w:tabs>
          <w:tab w:val="num" w:pos="360"/>
        </w:tabs>
        <w:ind w:left="360" w:hanging="360"/>
      </w:pPr>
    </w:lvl>
  </w:abstractNum>
  <w:abstractNum w:abstractNumId="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717C3C"/>
    <w:multiLevelType w:val="hybridMultilevel"/>
    <w:tmpl w:val="7604EBD4"/>
    <w:lvl w:ilvl="0" w:tplc="48368CC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F4F4ED9"/>
    <w:multiLevelType w:val="hybridMultilevel"/>
    <w:tmpl w:val="12409252"/>
    <w:name w:val="hd6"/>
    <w:lvl w:ilvl="0" w:tplc="5A143636">
      <w:start w:val="1"/>
      <w:numFmt w:val="bullet"/>
      <w:lvlText w:val=""/>
      <w:lvlJc w:val="left"/>
      <w:pPr>
        <w:tabs>
          <w:tab w:val="num" w:pos="1440"/>
        </w:tabs>
        <w:ind w:left="1440" w:hanging="360"/>
      </w:pPr>
      <w:rPr>
        <w:rFonts w:ascii="Wingdings" w:hAnsi="Wingdings" w:hint="default"/>
        <w:b w:val="0"/>
        <w:i w:val="0"/>
        <w:sz w:val="24"/>
        <w:szCs w:val="24"/>
      </w:rPr>
    </w:lvl>
    <w:lvl w:ilvl="1" w:tplc="DD9A1C86">
      <w:start w:val="1"/>
      <w:numFmt w:val="bullet"/>
      <w:lvlText w:val=""/>
      <w:lvlJc w:val="left"/>
      <w:pPr>
        <w:tabs>
          <w:tab w:val="num" w:pos="796"/>
        </w:tabs>
        <w:ind w:left="1647" w:hanging="567"/>
      </w:pPr>
      <w:rPr>
        <w:rFonts w:ascii="Symbol" w:hAnsi="Symbol" w:hint="default"/>
        <w:b w:val="0"/>
        <w:i w:val="0"/>
        <w:sz w:val="20"/>
        <w:szCs w:val="20"/>
      </w:rPr>
    </w:lvl>
    <w:lvl w:ilvl="2" w:tplc="0C09000F">
      <w:start w:val="1"/>
      <w:numFmt w:val="decimal"/>
      <w:lvlText w:val="%3."/>
      <w:lvlJc w:val="left"/>
      <w:pPr>
        <w:tabs>
          <w:tab w:val="num" w:pos="2340"/>
        </w:tabs>
        <w:ind w:left="2340" w:hanging="360"/>
      </w:pPr>
      <w:rPr>
        <w:b w:val="0"/>
        <w:i w:val="0"/>
        <w:sz w:val="24"/>
        <w:szCs w:val="24"/>
      </w:rPr>
    </w:lvl>
    <w:lvl w:ilvl="3" w:tplc="D9B462FE">
      <w:start w:val="1"/>
      <w:numFmt w:val="decimal"/>
      <w:lvlText w:val="%4."/>
      <w:lvlJc w:val="left"/>
      <w:pPr>
        <w:tabs>
          <w:tab w:val="num" w:pos="2880"/>
        </w:tabs>
        <w:ind w:left="2880" w:hanging="360"/>
      </w:pPr>
      <w:rPr>
        <w:b w:val="0"/>
        <w:i w:val="0"/>
        <w:sz w:val="24"/>
        <w:szCs w:val="24"/>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26AB1872"/>
    <w:multiLevelType w:val="hybridMultilevel"/>
    <w:tmpl w:val="0A9080CE"/>
    <w:name w:val="hd62"/>
    <w:lvl w:ilvl="0" w:tplc="C924F840">
      <w:numFmt w:val="bullet"/>
      <w:lvlText w:val=""/>
      <w:lvlJc w:val="left"/>
      <w:pPr>
        <w:tabs>
          <w:tab w:val="num" w:pos="567"/>
        </w:tabs>
        <w:ind w:left="1418" w:hanging="567"/>
      </w:pPr>
      <w:rPr>
        <w:rFonts w:ascii="Symbol" w:hAnsi="Symbol" w:hint="default"/>
        <w:b w:val="0"/>
        <w:i w:val="0"/>
        <w:sz w:val="20"/>
      </w:rPr>
    </w:lvl>
    <w:lvl w:ilvl="1" w:tplc="985C9240">
      <w:start w:val="1"/>
      <w:numFmt w:val="bullet"/>
      <w:lvlText w:val=""/>
      <w:lvlJc w:val="left"/>
      <w:pPr>
        <w:tabs>
          <w:tab w:val="num" w:pos="1364"/>
        </w:tabs>
        <w:ind w:left="1364" w:hanging="284"/>
      </w:pPr>
      <w:rPr>
        <w:rFonts w:ascii="Symbol" w:hAnsi="Symbol" w:hint="default"/>
        <w:b w:val="0"/>
        <w:i w:val="0"/>
        <w:color w:val="auto"/>
        <w:sz w:val="20"/>
      </w:rPr>
    </w:lvl>
    <w:lvl w:ilvl="2" w:tplc="0C090005">
      <w:start w:val="1"/>
      <w:numFmt w:val="bullet"/>
      <w:lvlText w:val=""/>
      <w:lvlJc w:val="left"/>
      <w:pPr>
        <w:tabs>
          <w:tab w:val="num" w:pos="2160"/>
        </w:tabs>
        <w:ind w:left="2160" w:hanging="360"/>
      </w:pPr>
      <w:rPr>
        <w:rFonts w:ascii="Wingdings" w:hAnsi="Wingdings" w:hint="default"/>
      </w:rPr>
    </w:lvl>
    <w:lvl w:ilvl="3" w:tplc="99C0ED82">
      <w:start w:val="3"/>
      <w:numFmt w:val="bullet"/>
      <w:lvlText w:val="-"/>
      <w:lvlJc w:val="left"/>
      <w:pPr>
        <w:tabs>
          <w:tab w:val="num" w:pos="2880"/>
        </w:tabs>
        <w:ind w:left="2880" w:hanging="360"/>
      </w:pPr>
      <w:rPr>
        <w:rFonts w:ascii="Tahoma" w:eastAsia="Times New Roman" w:hAnsi="Tahoma" w:cs="Tahoma"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9130171"/>
    <w:multiLevelType w:val="multilevel"/>
    <w:tmpl w:val="A71A2C3A"/>
    <w:lvl w:ilvl="0">
      <w:start w:val="1"/>
      <w:numFmt w:val="bullet"/>
      <w:lvlText w:val=""/>
      <w:lvlJc w:val="left"/>
      <w:pPr>
        <w:tabs>
          <w:tab w:val="num" w:pos="720"/>
        </w:tabs>
        <w:ind w:left="0" w:firstLine="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83187E"/>
    <w:multiLevelType w:val="hybridMultilevel"/>
    <w:tmpl w:val="FE5A4F48"/>
    <w:lvl w:ilvl="0" w:tplc="E5E8917A">
      <w:start w:val="1"/>
      <w:numFmt w:val="bullet"/>
      <w:lvlText w:val=""/>
      <w:lvlJc w:val="left"/>
      <w:pPr>
        <w:ind w:left="720" w:hanging="360"/>
      </w:pPr>
      <w:rPr>
        <w:rFonts w:ascii="Wingdings" w:hAnsi="Wingdings" w:hint="default"/>
        <w:b w:val="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459791">
    <w:abstractNumId w:val="13"/>
  </w:num>
  <w:num w:numId="2" w16cid:durableId="50464270">
    <w:abstractNumId w:val="9"/>
  </w:num>
  <w:num w:numId="3" w16cid:durableId="1941913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68889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338207">
    <w:abstractNumId w:val="14"/>
  </w:num>
  <w:num w:numId="6" w16cid:durableId="1145857163">
    <w:abstractNumId w:val="15"/>
  </w:num>
  <w:num w:numId="7" w16cid:durableId="2127113187">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655699">
    <w:abstractNumId w:val="9"/>
  </w:num>
  <w:num w:numId="9" w16cid:durableId="997340805">
    <w:abstractNumId w:val="9"/>
  </w:num>
  <w:num w:numId="10" w16cid:durableId="903295191">
    <w:abstractNumId w:val="9"/>
  </w:num>
  <w:num w:numId="11" w16cid:durableId="585378516">
    <w:abstractNumId w:val="7"/>
  </w:num>
  <w:num w:numId="12" w16cid:durableId="473370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0709588">
    <w:abstractNumId w:val="6"/>
  </w:num>
  <w:num w:numId="14" w16cid:durableId="84301978">
    <w:abstractNumId w:val="5"/>
  </w:num>
  <w:num w:numId="15" w16cid:durableId="1210410309">
    <w:abstractNumId w:val="4"/>
  </w:num>
  <w:num w:numId="16" w16cid:durableId="1873224188">
    <w:abstractNumId w:val="8"/>
  </w:num>
  <w:num w:numId="17" w16cid:durableId="808597080">
    <w:abstractNumId w:val="3"/>
  </w:num>
  <w:num w:numId="18" w16cid:durableId="1240559691">
    <w:abstractNumId w:val="2"/>
  </w:num>
  <w:num w:numId="19" w16cid:durableId="1040399809">
    <w:abstractNumId w:val="1"/>
  </w:num>
  <w:num w:numId="20" w16cid:durableId="1295863773">
    <w:abstractNumId w:val="0"/>
  </w:num>
  <w:num w:numId="21" w16cid:durableId="22943319">
    <w:abstractNumId w:val="9"/>
  </w:num>
  <w:num w:numId="22" w16cid:durableId="1871643135">
    <w:abstractNumId w:val="12"/>
  </w:num>
  <w:num w:numId="23" w16cid:durableId="1358896529">
    <w:abstractNumId w:val="10"/>
  </w:num>
  <w:num w:numId="24" w16cid:durableId="79517307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9CBAE3F-2DFF-417E-961D-EC5EE8039BDF}"/>
    <w:docVar w:name="dgnword-eventsink" w:val="74290408"/>
  </w:docVars>
  <w:rsids>
    <w:rsidRoot w:val="00E10F41"/>
    <w:rsid w:val="00000846"/>
    <w:rsid w:val="00000A2E"/>
    <w:rsid w:val="0000110D"/>
    <w:rsid w:val="000013FC"/>
    <w:rsid w:val="000017C0"/>
    <w:rsid w:val="0000182F"/>
    <w:rsid w:val="00002BBC"/>
    <w:rsid w:val="00002D3F"/>
    <w:rsid w:val="000065FB"/>
    <w:rsid w:val="00007AB2"/>
    <w:rsid w:val="00007C97"/>
    <w:rsid w:val="0001103A"/>
    <w:rsid w:val="000116BE"/>
    <w:rsid w:val="00011D03"/>
    <w:rsid w:val="00012F1B"/>
    <w:rsid w:val="000136AF"/>
    <w:rsid w:val="00013845"/>
    <w:rsid w:val="00013F97"/>
    <w:rsid w:val="00014EBE"/>
    <w:rsid w:val="0001517A"/>
    <w:rsid w:val="00015F27"/>
    <w:rsid w:val="00016AB6"/>
    <w:rsid w:val="00016B3A"/>
    <w:rsid w:val="00017258"/>
    <w:rsid w:val="00020490"/>
    <w:rsid w:val="00021D4E"/>
    <w:rsid w:val="000228BF"/>
    <w:rsid w:val="00023181"/>
    <w:rsid w:val="0002429B"/>
    <w:rsid w:val="0002463A"/>
    <w:rsid w:val="00024C3A"/>
    <w:rsid w:val="00024CB7"/>
    <w:rsid w:val="00025A58"/>
    <w:rsid w:val="00030BB3"/>
    <w:rsid w:val="00030E02"/>
    <w:rsid w:val="0003125D"/>
    <w:rsid w:val="000312DD"/>
    <w:rsid w:val="00031E4C"/>
    <w:rsid w:val="000324C7"/>
    <w:rsid w:val="00032F5A"/>
    <w:rsid w:val="000336F6"/>
    <w:rsid w:val="000349D2"/>
    <w:rsid w:val="000372D1"/>
    <w:rsid w:val="00041596"/>
    <w:rsid w:val="00041A27"/>
    <w:rsid w:val="00041E2A"/>
    <w:rsid w:val="000428F1"/>
    <w:rsid w:val="000437C3"/>
    <w:rsid w:val="000449B1"/>
    <w:rsid w:val="00044E04"/>
    <w:rsid w:val="00045767"/>
    <w:rsid w:val="000463B6"/>
    <w:rsid w:val="00046700"/>
    <w:rsid w:val="00050004"/>
    <w:rsid w:val="00051517"/>
    <w:rsid w:val="00051755"/>
    <w:rsid w:val="00052CF3"/>
    <w:rsid w:val="00053043"/>
    <w:rsid w:val="00053531"/>
    <w:rsid w:val="000537B1"/>
    <w:rsid w:val="0005396B"/>
    <w:rsid w:val="00055911"/>
    <w:rsid w:val="000559AF"/>
    <w:rsid w:val="00055FE4"/>
    <w:rsid w:val="00056743"/>
    <w:rsid w:val="00057E55"/>
    <w:rsid w:val="00060939"/>
    <w:rsid w:val="00060F83"/>
    <w:rsid w:val="00061000"/>
    <w:rsid w:val="00061427"/>
    <w:rsid w:val="000614BF"/>
    <w:rsid w:val="000617A0"/>
    <w:rsid w:val="000624BF"/>
    <w:rsid w:val="00062753"/>
    <w:rsid w:val="00062B2E"/>
    <w:rsid w:val="00064404"/>
    <w:rsid w:val="000645E5"/>
    <w:rsid w:val="00065FE0"/>
    <w:rsid w:val="00066801"/>
    <w:rsid w:val="00066F17"/>
    <w:rsid w:val="000707EC"/>
    <w:rsid w:val="000709A0"/>
    <w:rsid w:val="000716AD"/>
    <w:rsid w:val="00071B22"/>
    <w:rsid w:val="00071B80"/>
    <w:rsid w:val="00072789"/>
    <w:rsid w:val="000735A6"/>
    <w:rsid w:val="000738C6"/>
    <w:rsid w:val="00074538"/>
    <w:rsid w:val="00075195"/>
    <w:rsid w:val="000758A9"/>
    <w:rsid w:val="00077A3C"/>
    <w:rsid w:val="00077A94"/>
    <w:rsid w:val="0008193D"/>
    <w:rsid w:val="00083024"/>
    <w:rsid w:val="00083133"/>
    <w:rsid w:val="00083654"/>
    <w:rsid w:val="00083E44"/>
    <w:rsid w:val="000849F7"/>
    <w:rsid w:val="000878CB"/>
    <w:rsid w:val="00090F15"/>
    <w:rsid w:val="000920EC"/>
    <w:rsid w:val="000927B3"/>
    <w:rsid w:val="0009463D"/>
    <w:rsid w:val="00094A40"/>
    <w:rsid w:val="000962E7"/>
    <w:rsid w:val="000979F6"/>
    <w:rsid w:val="00097B59"/>
    <w:rsid w:val="00097ECE"/>
    <w:rsid w:val="000A10B7"/>
    <w:rsid w:val="000A11FA"/>
    <w:rsid w:val="000A1296"/>
    <w:rsid w:val="000A2841"/>
    <w:rsid w:val="000A2C0C"/>
    <w:rsid w:val="000A2D2D"/>
    <w:rsid w:val="000A398A"/>
    <w:rsid w:val="000A6637"/>
    <w:rsid w:val="000A752D"/>
    <w:rsid w:val="000A7624"/>
    <w:rsid w:val="000A7964"/>
    <w:rsid w:val="000A7EEE"/>
    <w:rsid w:val="000B039C"/>
    <w:rsid w:val="000B0D6B"/>
    <w:rsid w:val="000B1307"/>
    <w:rsid w:val="000B3456"/>
    <w:rsid w:val="000B6263"/>
    <w:rsid w:val="000B639A"/>
    <w:rsid w:val="000B64E3"/>
    <w:rsid w:val="000B68C0"/>
    <w:rsid w:val="000B73E8"/>
    <w:rsid w:val="000C130E"/>
    <w:rsid w:val="000C3122"/>
    <w:rsid w:val="000C6431"/>
    <w:rsid w:val="000C65E2"/>
    <w:rsid w:val="000C6669"/>
    <w:rsid w:val="000C6703"/>
    <w:rsid w:val="000C68CB"/>
    <w:rsid w:val="000C6A65"/>
    <w:rsid w:val="000C6BC2"/>
    <w:rsid w:val="000C6C43"/>
    <w:rsid w:val="000C6DCC"/>
    <w:rsid w:val="000C700B"/>
    <w:rsid w:val="000C7D27"/>
    <w:rsid w:val="000D0103"/>
    <w:rsid w:val="000D05EF"/>
    <w:rsid w:val="000D0C5E"/>
    <w:rsid w:val="000D0DF3"/>
    <w:rsid w:val="000D0F84"/>
    <w:rsid w:val="000D242B"/>
    <w:rsid w:val="000D2500"/>
    <w:rsid w:val="000D3185"/>
    <w:rsid w:val="000D41C4"/>
    <w:rsid w:val="000D4CFA"/>
    <w:rsid w:val="000D5995"/>
    <w:rsid w:val="000D5DE1"/>
    <w:rsid w:val="000D63D1"/>
    <w:rsid w:val="000E20DF"/>
    <w:rsid w:val="000E215F"/>
    <w:rsid w:val="000E24E5"/>
    <w:rsid w:val="000E2733"/>
    <w:rsid w:val="000E41BB"/>
    <w:rsid w:val="000E4D9D"/>
    <w:rsid w:val="000E603C"/>
    <w:rsid w:val="000E6115"/>
    <w:rsid w:val="000E621E"/>
    <w:rsid w:val="000E7FF9"/>
    <w:rsid w:val="000F2F90"/>
    <w:rsid w:val="000F3859"/>
    <w:rsid w:val="000F41A7"/>
    <w:rsid w:val="000F4ECA"/>
    <w:rsid w:val="000F5E7F"/>
    <w:rsid w:val="000F6075"/>
    <w:rsid w:val="000F60BD"/>
    <w:rsid w:val="000F638C"/>
    <w:rsid w:val="000F746A"/>
    <w:rsid w:val="000F7A1A"/>
    <w:rsid w:val="000F7CE5"/>
    <w:rsid w:val="0010106F"/>
    <w:rsid w:val="001018D9"/>
    <w:rsid w:val="00101EB1"/>
    <w:rsid w:val="00102718"/>
    <w:rsid w:val="0010422B"/>
    <w:rsid w:val="0010571F"/>
    <w:rsid w:val="00105BD0"/>
    <w:rsid w:val="00105C9B"/>
    <w:rsid w:val="00106B06"/>
    <w:rsid w:val="00106B94"/>
    <w:rsid w:val="001071F6"/>
    <w:rsid w:val="0010745C"/>
    <w:rsid w:val="00110834"/>
    <w:rsid w:val="001109E4"/>
    <w:rsid w:val="00110B77"/>
    <w:rsid w:val="001123C8"/>
    <w:rsid w:val="00112693"/>
    <w:rsid w:val="001131B3"/>
    <w:rsid w:val="00113E26"/>
    <w:rsid w:val="00114622"/>
    <w:rsid w:val="00115101"/>
    <w:rsid w:val="00117C58"/>
    <w:rsid w:val="00120615"/>
    <w:rsid w:val="00120D87"/>
    <w:rsid w:val="001212DB"/>
    <w:rsid w:val="0012172F"/>
    <w:rsid w:val="00121FF6"/>
    <w:rsid w:val="00122647"/>
    <w:rsid w:val="001232AC"/>
    <w:rsid w:val="001233B4"/>
    <w:rsid w:val="00123745"/>
    <w:rsid w:val="00123930"/>
    <w:rsid w:val="00124F91"/>
    <w:rsid w:val="0012581B"/>
    <w:rsid w:val="001304C8"/>
    <w:rsid w:val="0013097A"/>
    <w:rsid w:val="00130E47"/>
    <w:rsid w:val="00131587"/>
    <w:rsid w:val="00131590"/>
    <w:rsid w:val="001325AB"/>
    <w:rsid w:val="001329F0"/>
    <w:rsid w:val="001339CB"/>
    <w:rsid w:val="00134037"/>
    <w:rsid w:val="00134960"/>
    <w:rsid w:val="00134A72"/>
    <w:rsid w:val="00134B5E"/>
    <w:rsid w:val="00134C62"/>
    <w:rsid w:val="0013517B"/>
    <w:rsid w:val="0013568A"/>
    <w:rsid w:val="00135AC2"/>
    <w:rsid w:val="00135BA0"/>
    <w:rsid w:val="00136C94"/>
    <w:rsid w:val="00140424"/>
    <w:rsid w:val="00140961"/>
    <w:rsid w:val="001412E2"/>
    <w:rsid w:val="001414D9"/>
    <w:rsid w:val="00143843"/>
    <w:rsid w:val="001445D3"/>
    <w:rsid w:val="0014479F"/>
    <w:rsid w:val="00146587"/>
    <w:rsid w:val="0014665C"/>
    <w:rsid w:val="0014733A"/>
    <w:rsid w:val="00150CEC"/>
    <w:rsid w:val="00150D8D"/>
    <w:rsid w:val="0015100D"/>
    <w:rsid w:val="001514C6"/>
    <w:rsid w:val="00151B6E"/>
    <w:rsid w:val="00152326"/>
    <w:rsid w:val="001524E7"/>
    <w:rsid w:val="00152F09"/>
    <w:rsid w:val="00153951"/>
    <w:rsid w:val="00153B4E"/>
    <w:rsid w:val="00154660"/>
    <w:rsid w:val="00154849"/>
    <w:rsid w:val="001548B8"/>
    <w:rsid w:val="00155E4A"/>
    <w:rsid w:val="0015635F"/>
    <w:rsid w:val="00160636"/>
    <w:rsid w:val="00160CB3"/>
    <w:rsid w:val="001619A8"/>
    <w:rsid w:val="00161E76"/>
    <w:rsid w:val="00162651"/>
    <w:rsid w:val="00162672"/>
    <w:rsid w:val="00163A19"/>
    <w:rsid w:val="00166377"/>
    <w:rsid w:val="00166BBC"/>
    <w:rsid w:val="00166C2F"/>
    <w:rsid w:val="001673F0"/>
    <w:rsid w:val="001679B3"/>
    <w:rsid w:val="00167C1F"/>
    <w:rsid w:val="00167DC0"/>
    <w:rsid w:val="001708A3"/>
    <w:rsid w:val="00170B66"/>
    <w:rsid w:val="001716B5"/>
    <w:rsid w:val="00171AD9"/>
    <w:rsid w:val="00172516"/>
    <w:rsid w:val="00172600"/>
    <w:rsid w:val="00172745"/>
    <w:rsid w:val="001729EC"/>
    <w:rsid w:val="00174167"/>
    <w:rsid w:val="00174A11"/>
    <w:rsid w:val="001765A4"/>
    <w:rsid w:val="00176C93"/>
    <w:rsid w:val="00177771"/>
    <w:rsid w:val="001777C9"/>
    <w:rsid w:val="00177F8C"/>
    <w:rsid w:val="00180A24"/>
    <w:rsid w:val="00180BA2"/>
    <w:rsid w:val="00182FFB"/>
    <w:rsid w:val="00183673"/>
    <w:rsid w:val="00183A06"/>
    <w:rsid w:val="00183BE0"/>
    <w:rsid w:val="001847DA"/>
    <w:rsid w:val="001861AE"/>
    <w:rsid w:val="001864E9"/>
    <w:rsid w:val="001870EF"/>
    <w:rsid w:val="0018739D"/>
    <w:rsid w:val="001905DD"/>
    <w:rsid w:val="001912E1"/>
    <w:rsid w:val="00191E26"/>
    <w:rsid w:val="0019206B"/>
    <w:rsid w:val="0019243A"/>
    <w:rsid w:val="00192FEA"/>
    <w:rsid w:val="00193412"/>
    <w:rsid w:val="001939E1"/>
    <w:rsid w:val="00194060"/>
    <w:rsid w:val="00194263"/>
    <w:rsid w:val="001944E2"/>
    <w:rsid w:val="0019473D"/>
    <w:rsid w:val="00195060"/>
    <w:rsid w:val="00195382"/>
    <w:rsid w:val="001954C0"/>
    <w:rsid w:val="00195F47"/>
    <w:rsid w:val="00196529"/>
    <w:rsid w:val="00197826"/>
    <w:rsid w:val="001A1684"/>
    <w:rsid w:val="001A238E"/>
    <w:rsid w:val="001A2DE9"/>
    <w:rsid w:val="001A3601"/>
    <w:rsid w:val="001A43B0"/>
    <w:rsid w:val="001A4E0D"/>
    <w:rsid w:val="001A59E0"/>
    <w:rsid w:val="001A5F20"/>
    <w:rsid w:val="001A66A3"/>
    <w:rsid w:val="001A6A62"/>
    <w:rsid w:val="001A7931"/>
    <w:rsid w:val="001A7D49"/>
    <w:rsid w:val="001B02F4"/>
    <w:rsid w:val="001B14DA"/>
    <w:rsid w:val="001B34EB"/>
    <w:rsid w:val="001B427E"/>
    <w:rsid w:val="001C06CA"/>
    <w:rsid w:val="001C16FE"/>
    <w:rsid w:val="001C4A78"/>
    <w:rsid w:val="001C621E"/>
    <w:rsid w:val="001C63D8"/>
    <w:rsid w:val="001C6638"/>
    <w:rsid w:val="001C69C4"/>
    <w:rsid w:val="001C7E66"/>
    <w:rsid w:val="001D0716"/>
    <w:rsid w:val="001D0768"/>
    <w:rsid w:val="001D0E7F"/>
    <w:rsid w:val="001D2822"/>
    <w:rsid w:val="001D2B5F"/>
    <w:rsid w:val="001D3542"/>
    <w:rsid w:val="001D3931"/>
    <w:rsid w:val="001D47C3"/>
    <w:rsid w:val="001D4CC3"/>
    <w:rsid w:val="001E06CE"/>
    <w:rsid w:val="001E1408"/>
    <w:rsid w:val="001E2A69"/>
    <w:rsid w:val="001E2F20"/>
    <w:rsid w:val="001E349A"/>
    <w:rsid w:val="001E3590"/>
    <w:rsid w:val="001E456D"/>
    <w:rsid w:val="001E480D"/>
    <w:rsid w:val="001E5204"/>
    <w:rsid w:val="001E5C10"/>
    <w:rsid w:val="001E6308"/>
    <w:rsid w:val="001E7407"/>
    <w:rsid w:val="001E7FC9"/>
    <w:rsid w:val="001F1262"/>
    <w:rsid w:val="001F2679"/>
    <w:rsid w:val="001F59A5"/>
    <w:rsid w:val="001F5A17"/>
    <w:rsid w:val="001F5AF9"/>
    <w:rsid w:val="001F6888"/>
    <w:rsid w:val="001F72F4"/>
    <w:rsid w:val="001F7CC7"/>
    <w:rsid w:val="002015AC"/>
    <w:rsid w:val="00201FFB"/>
    <w:rsid w:val="00202588"/>
    <w:rsid w:val="0020288D"/>
    <w:rsid w:val="00202980"/>
    <w:rsid w:val="00202E8C"/>
    <w:rsid w:val="0020527B"/>
    <w:rsid w:val="002054B3"/>
    <w:rsid w:val="00205E75"/>
    <w:rsid w:val="002071BB"/>
    <w:rsid w:val="0020724A"/>
    <w:rsid w:val="002074AA"/>
    <w:rsid w:val="00207594"/>
    <w:rsid w:val="00207614"/>
    <w:rsid w:val="002100E6"/>
    <w:rsid w:val="00210297"/>
    <w:rsid w:val="00210BAB"/>
    <w:rsid w:val="00210BC1"/>
    <w:rsid w:val="00211F56"/>
    <w:rsid w:val="00212C6A"/>
    <w:rsid w:val="00213160"/>
    <w:rsid w:val="00213296"/>
    <w:rsid w:val="00213E20"/>
    <w:rsid w:val="00214770"/>
    <w:rsid w:val="00215934"/>
    <w:rsid w:val="00216B07"/>
    <w:rsid w:val="00217891"/>
    <w:rsid w:val="00222067"/>
    <w:rsid w:val="0022253F"/>
    <w:rsid w:val="0022416D"/>
    <w:rsid w:val="00224371"/>
    <w:rsid w:val="00224AF5"/>
    <w:rsid w:val="00226332"/>
    <w:rsid w:val="00230ABB"/>
    <w:rsid w:val="00230ECB"/>
    <w:rsid w:val="0023124E"/>
    <w:rsid w:val="00231872"/>
    <w:rsid w:val="00232C66"/>
    <w:rsid w:val="002333B5"/>
    <w:rsid w:val="00234262"/>
    <w:rsid w:val="00234412"/>
    <w:rsid w:val="00234CB2"/>
    <w:rsid w:val="00234E6D"/>
    <w:rsid w:val="00234F92"/>
    <w:rsid w:val="002353F1"/>
    <w:rsid w:val="002356F5"/>
    <w:rsid w:val="00235C52"/>
    <w:rsid w:val="00236535"/>
    <w:rsid w:val="002366E2"/>
    <w:rsid w:val="0024295D"/>
    <w:rsid w:val="00242B00"/>
    <w:rsid w:val="00242D1D"/>
    <w:rsid w:val="00242E13"/>
    <w:rsid w:val="00242EF5"/>
    <w:rsid w:val="00243DA2"/>
    <w:rsid w:val="002440CB"/>
    <w:rsid w:val="002440FD"/>
    <w:rsid w:val="00244301"/>
    <w:rsid w:val="00244910"/>
    <w:rsid w:val="00244D42"/>
    <w:rsid w:val="00245CFA"/>
    <w:rsid w:val="0024751B"/>
    <w:rsid w:val="00247899"/>
    <w:rsid w:val="00250E31"/>
    <w:rsid w:val="00250EE0"/>
    <w:rsid w:val="00251B06"/>
    <w:rsid w:val="00251CCC"/>
    <w:rsid w:val="002526E1"/>
    <w:rsid w:val="00253360"/>
    <w:rsid w:val="00253D1B"/>
    <w:rsid w:val="00253ECE"/>
    <w:rsid w:val="002543E1"/>
    <w:rsid w:val="002553E6"/>
    <w:rsid w:val="002554B6"/>
    <w:rsid w:val="00255691"/>
    <w:rsid w:val="0025597E"/>
    <w:rsid w:val="00256E22"/>
    <w:rsid w:val="00257663"/>
    <w:rsid w:val="002577A6"/>
    <w:rsid w:val="002600D1"/>
    <w:rsid w:val="00260AC6"/>
    <w:rsid w:val="002619DE"/>
    <w:rsid w:val="00262E1D"/>
    <w:rsid w:val="00263B0F"/>
    <w:rsid w:val="00264448"/>
    <w:rsid w:val="00270D00"/>
    <w:rsid w:val="00273A6E"/>
    <w:rsid w:val="0027430B"/>
    <w:rsid w:val="00274A68"/>
    <w:rsid w:val="002756C1"/>
    <w:rsid w:val="002763E0"/>
    <w:rsid w:val="00276E45"/>
    <w:rsid w:val="0027721E"/>
    <w:rsid w:val="002772F5"/>
    <w:rsid w:val="00277385"/>
    <w:rsid w:val="00277499"/>
    <w:rsid w:val="0028008A"/>
    <w:rsid w:val="00280618"/>
    <w:rsid w:val="0028091B"/>
    <w:rsid w:val="00281F7E"/>
    <w:rsid w:val="00282DB6"/>
    <w:rsid w:val="00285B00"/>
    <w:rsid w:val="00286DC2"/>
    <w:rsid w:val="0028739D"/>
    <w:rsid w:val="002879D8"/>
    <w:rsid w:val="00291B20"/>
    <w:rsid w:val="00293225"/>
    <w:rsid w:val="002955C5"/>
    <w:rsid w:val="002956DD"/>
    <w:rsid w:val="00295A2F"/>
    <w:rsid w:val="00295FBA"/>
    <w:rsid w:val="002970D7"/>
    <w:rsid w:val="00297797"/>
    <w:rsid w:val="002978A1"/>
    <w:rsid w:val="00297ECB"/>
    <w:rsid w:val="002A1A43"/>
    <w:rsid w:val="002A3BB7"/>
    <w:rsid w:val="002A4D4C"/>
    <w:rsid w:val="002A7D4B"/>
    <w:rsid w:val="002B08B6"/>
    <w:rsid w:val="002B0BEC"/>
    <w:rsid w:val="002B0E90"/>
    <w:rsid w:val="002B1444"/>
    <w:rsid w:val="002B2320"/>
    <w:rsid w:val="002B303B"/>
    <w:rsid w:val="002B3431"/>
    <w:rsid w:val="002B43A0"/>
    <w:rsid w:val="002B530F"/>
    <w:rsid w:val="002B5C7E"/>
    <w:rsid w:val="002B7461"/>
    <w:rsid w:val="002B78E4"/>
    <w:rsid w:val="002B7BF7"/>
    <w:rsid w:val="002C018F"/>
    <w:rsid w:val="002C07A7"/>
    <w:rsid w:val="002C0EA8"/>
    <w:rsid w:val="002C0EF2"/>
    <w:rsid w:val="002C146F"/>
    <w:rsid w:val="002C150F"/>
    <w:rsid w:val="002C15BA"/>
    <w:rsid w:val="002C201A"/>
    <w:rsid w:val="002C29CB"/>
    <w:rsid w:val="002C2A36"/>
    <w:rsid w:val="002C3087"/>
    <w:rsid w:val="002C35F6"/>
    <w:rsid w:val="002C4CEF"/>
    <w:rsid w:val="002C5317"/>
    <w:rsid w:val="002C56F0"/>
    <w:rsid w:val="002C74F6"/>
    <w:rsid w:val="002C78B3"/>
    <w:rsid w:val="002D043A"/>
    <w:rsid w:val="002D29E1"/>
    <w:rsid w:val="002D376A"/>
    <w:rsid w:val="002D3ECC"/>
    <w:rsid w:val="002D3EDF"/>
    <w:rsid w:val="002D3FB6"/>
    <w:rsid w:val="002D530F"/>
    <w:rsid w:val="002D5D71"/>
    <w:rsid w:val="002D5DF5"/>
    <w:rsid w:val="002D66E4"/>
    <w:rsid w:val="002D6F11"/>
    <w:rsid w:val="002D7310"/>
    <w:rsid w:val="002D74A6"/>
    <w:rsid w:val="002D786D"/>
    <w:rsid w:val="002E0CC9"/>
    <w:rsid w:val="002E0E77"/>
    <w:rsid w:val="002E2D02"/>
    <w:rsid w:val="002E30E1"/>
    <w:rsid w:val="002E3AFF"/>
    <w:rsid w:val="002E3F8C"/>
    <w:rsid w:val="002E4682"/>
    <w:rsid w:val="002E4F94"/>
    <w:rsid w:val="002E652E"/>
    <w:rsid w:val="002E7C73"/>
    <w:rsid w:val="002F071C"/>
    <w:rsid w:val="002F0D3D"/>
    <w:rsid w:val="002F14DE"/>
    <w:rsid w:val="002F1637"/>
    <w:rsid w:val="002F1D1D"/>
    <w:rsid w:val="002F24B0"/>
    <w:rsid w:val="002F27B2"/>
    <w:rsid w:val="002F2C08"/>
    <w:rsid w:val="002F328F"/>
    <w:rsid w:val="002F347F"/>
    <w:rsid w:val="002F382A"/>
    <w:rsid w:val="002F3911"/>
    <w:rsid w:val="002F5ACF"/>
    <w:rsid w:val="00300739"/>
    <w:rsid w:val="00300BA3"/>
    <w:rsid w:val="00301995"/>
    <w:rsid w:val="00301AFB"/>
    <w:rsid w:val="00301F96"/>
    <w:rsid w:val="00302E78"/>
    <w:rsid w:val="00303980"/>
    <w:rsid w:val="00304832"/>
    <w:rsid w:val="00305D34"/>
    <w:rsid w:val="00306B5E"/>
    <w:rsid w:val="00307D80"/>
    <w:rsid w:val="00307FAD"/>
    <w:rsid w:val="0031199D"/>
    <w:rsid w:val="00311ED1"/>
    <w:rsid w:val="00312A26"/>
    <w:rsid w:val="003132C1"/>
    <w:rsid w:val="003137D3"/>
    <w:rsid w:val="00314A0B"/>
    <w:rsid w:val="00314C8F"/>
    <w:rsid w:val="00316167"/>
    <w:rsid w:val="00317A33"/>
    <w:rsid w:val="00317B28"/>
    <w:rsid w:val="00321640"/>
    <w:rsid w:val="00321924"/>
    <w:rsid w:val="00322090"/>
    <w:rsid w:val="0032307F"/>
    <w:rsid w:val="003232B3"/>
    <w:rsid w:val="0032355E"/>
    <w:rsid w:val="00323F81"/>
    <w:rsid w:val="00326613"/>
    <w:rsid w:val="00326770"/>
    <w:rsid w:val="003311FB"/>
    <w:rsid w:val="00331285"/>
    <w:rsid w:val="00331ABC"/>
    <w:rsid w:val="00331E4A"/>
    <w:rsid w:val="0033228A"/>
    <w:rsid w:val="0033291B"/>
    <w:rsid w:val="003332CE"/>
    <w:rsid w:val="003338E0"/>
    <w:rsid w:val="003339A8"/>
    <w:rsid w:val="003339B3"/>
    <w:rsid w:val="00333E36"/>
    <w:rsid w:val="003350F6"/>
    <w:rsid w:val="0033584B"/>
    <w:rsid w:val="00335D9A"/>
    <w:rsid w:val="00335F97"/>
    <w:rsid w:val="00336CA3"/>
    <w:rsid w:val="003376ED"/>
    <w:rsid w:val="0034007E"/>
    <w:rsid w:val="00342ECB"/>
    <w:rsid w:val="00343481"/>
    <w:rsid w:val="00346687"/>
    <w:rsid w:val="00346DC8"/>
    <w:rsid w:val="0035023F"/>
    <w:rsid w:val="00351D36"/>
    <w:rsid w:val="00351DD3"/>
    <w:rsid w:val="00352766"/>
    <w:rsid w:val="00352B0F"/>
    <w:rsid w:val="00352D8A"/>
    <w:rsid w:val="00353191"/>
    <w:rsid w:val="00354A1C"/>
    <w:rsid w:val="0035500E"/>
    <w:rsid w:val="00355C1C"/>
    <w:rsid w:val="00356ED5"/>
    <w:rsid w:val="00357B56"/>
    <w:rsid w:val="00357CC0"/>
    <w:rsid w:val="00360D0F"/>
    <w:rsid w:val="00360E1B"/>
    <w:rsid w:val="00360FB0"/>
    <w:rsid w:val="00363585"/>
    <w:rsid w:val="00364B2A"/>
    <w:rsid w:val="00365E38"/>
    <w:rsid w:val="00366115"/>
    <w:rsid w:val="00366BF5"/>
    <w:rsid w:val="00367041"/>
    <w:rsid w:val="00367A25"/>
    <w:rsid w:val="00367F3A"/>
    <w:rsid w:val="00370A7B"/>
    <w:rsid w:val="00371C61"/>
    <w:rsid w:val="00371CFF"/>
    <w:rsid w:val="00372DCB"/>
    <w:rsid w:val="00373430"/>
    <w:rsid w:val="003737F6"/>
    <w:rsid w:val="00373E4D"/>
    <w:rsid w:val="00373E90"/>
    <w:rsid w:val="0037400B"/>
    <w:rsid w:val="00375659"/>
    <w:rsid w:val="00375779"/>
    <w:rsid w:val="0037654B"/>
    <w:rsid w:val="003800DF"/>
    <w:rsid w:val="00380C8D"/>
    <w:rsid w:val="00380DEA"/>
    <w:rsid w:val="00383CA1"/>
    <w:rsid w:val="0038425A"/>
    <w:rsid w:val="00385CB6"/>
    <w:rsid w:val="00390F6E"/>
    <w:rsid w:val="00392147"/>
    <w:rsid w:val="00392E1D"/>
    <w:rsid w:val="00393A23"/>
    <w:rsid w:val="00393EB1"/>
    <w:rsid w:val="00396F89"/>
    <w:rsid w:val="0039737A"/>
    <w:rsid w:val="003A1103"/>
    <w:rsid w:val="003A2D04"/>
    <w:rsid w:val="003A3A09"/>
    <w:rsid w:val="003A3A5D"/>
    <w:rsid w:val="003A45F7"/>
    <w:rsid w:val="003A484E"/>
    <w:rsid w:val="003A5F5F"/>
    <w:rsid w:val="003A701E"/>
    <w:rsid w:val="003A7A27"/>
    <w:rsid w:val="003B0691"/>
    <w:rsid w:val="003B177B"/>
    <w:rsid w:val="003B1A77"/>
    <w:rsid w:val="003B304D"/>
    <w:rsid w:val="003B393E"/>
    <w:rsid w:val="003B3BE7"/>
    <w:rsid w:val="003B4BB6"/>
    <w:rsid w:val="003B5735"/>
    <w:rsid w:val="003B5CCE"/>
    <w:rsid w:val="003B6911"/>
    <w:rsid w:val="003B772F"/>
    <w:rsid w:val="003C0061"/>
    <w:rsid w:val="003C18DE"/>
    <w:rsid w:val="003C1EC6"/>
    <w:rsid w:val="003C21D3"/>
    <w:rsid w:val="003C2C59"/>
    <w:rsid w:val="003C40CC"/>
    <w:rsid w:val="003C4A78"/>
    <w:rsid w:val="003C659E"/>
    <w:rsid w:val="003C666D"/>
    <w:rsid w:val="003C673C"/>
    <w:rsid w:val="003C6FA4"/>
    <w:rsid w:val="003D0560"/>
    <w:rsid w:val="003D0BFE"/>
    <w:rsid w:val="003D21DF"/>
    <w:rsid w:val="003D26E6"/>
    <w:rsid w:val="003D2F5D"/>
    <w:rsid w:val="003D4F42"/>
    <w:rsid w:val="003D4FEF"/>
    <w:rsid w:val="003D56FC"/>
    <w:rsid w:val="003D5700"/>
    <w:rsid w:val="003D65F8"/>
    <w:rsid w:val="003D6A0D"/>
    <w:rsid w:val="003D6A25"/>
    <w:rsid w:val="003D72D2"/>
    <w:rsid w:val="003D7B9E"/>
    <w:rsid w:val="003D7DCE"/>
    <w:rsid w:val="003E0DD6"/>
    <w:rsid w:val="003E10F6"/>
    <w:rsid w:val="003E1AA0"/>
    <w:rsid w:val="003E1B43"/>
    <w:rsid w:val="003E24C0"/>
    <w:rsid w:val="003E34EE"/>
    <w:rsid w:val="003E3585"/>
    <w:rsid w:val="003E3BD9"/>
    <w:rsid w:val="003E52B0"/>
    <w:rsid w:val="003E5C54"/>
    <w:rsid w:val="003E5DB7"/>
    <w:rsid w:val="003E6994"/>
    <w:rsid w:val="003E69AE"/>
    <w:rsid w:val="003E6A2D"/>
    <w:rsid w:val="003E7ADA"/>
    <w:rsid w:val="003F0D7A"/>
    <w:rsid w:val="003F0F69"/>
    <w:rsid w:val="003F10D0"/>
    <w:rsid w:val="003F11F2"/>
    <w:rsid w:val="003F196E"/>
    <w:rsid w:val="003F219A"/>
    <w:rsid w:val="003F4070"/>
    <w:rsid w:val="003F4443"/>
    <w:rsid w:val="003F5180"/>
    <w:rsid w:val="003F64E0"/>
    <w:rsid w:val="003F66C5"/>
    <w:rsid w:val="003F689E"/>
    <w:rsid w:val="003F6AC1"/>
    <w:rsid w:val="003F76BE"/>
    <w:rsid w:val="003F799B"/>
    <w:rsid w:val="004006BF"/>
    <w:rsid w:val="0040091F"/>
    <w:rsid w:val="00400C14"/>
    <w:rsid w:val="004026CF"/>
    <w:rsid w:val="00405567"/>
    <w:rsid w:val="0040559E"/>
    <w:rsid w:val="00406FA2"/>
    <w:rsid w:val="004076ED"/>
    <w:rsid w:val="0041008E"/>
    <w:rsid w:val="00411168"/>
    <w:rsid w:val="004116CD"/>
    <w:rsid w:val="00411B2F"/>
    <w:rsid w:val="00413939"/>
    <w:rsid w:val="00413C3F"/>
    <w:rsid w:val="00414F6F"/>
    <w:rsid w:val="00415524"/>
    <w:rsid w:val="004155B5"/>
    <w:rsid w:val="00415A02"/>
    <w:rsid w:val="00416462"/>
    <w:rsid w:val="0041733F"/>
    <w:rsid w:val="004175CE"/>
    <w:rsid w:val="004177BB"/>
    <w:rsid w:val="00420ACC"/>
    <w:rsid w:val="00421206"/>
    <w:rsid w:val="00422264"/>
    <w:rsid w:val="00422EDF"/>
    <w:rsid w:val="00424CA9"/>
    <w:rsid w:val="0042589A"/>
    <w:rsid w:val="004258FC"/>
    <w:rsid w:val="0042635A"/>
    <w:rsid w:val="00430560"/>
    <w:rsid w:val="004306FB"/>
    <w:rsid w:val="00430C30"/>
    <w:rsid w:val="00432767"/>
    <w:rsid w:val="00432F4C"/>
    <w:rsid w:val="00433C0A"/>
    <w:rsid w:val="00434F5B"/>
    <w:rsid w:val="00435770"/>
    <w:rsid w:val="00435C8E"/>
    <w:rsid w:val="0043618B"/>
    <w:rsid w:val="004376A6"/>
    <w:rsid w:val="0043776C"/>
    <w:rsid w:val="004400D2"/>
    <w:rsid w:val="00440A4D"/>
    <w:rsid w:val="004412EE"/>
    <w:rsid w:val="00441592"/>
    <w:rsid w:val="004417A9"/>
    <w:rsid w:val="00441B22"/>
    <w:rsid w:val="0044291A"/>
    <w:rsid w:val="00445382"/>
    <w:rsid w:val="00446EF0"/>
    <w:rsid w:val="00447D9C"/>
    <w:rsid w:val="00447F78"/>
    <w:rsid w:val="00450617"/>
    <w:rsid w:val="00451B20"/>
    <w:rsid w:val="004524AB"/>
    <w:rsid w:val="004532FE"/>
    <w:rsid w:val="0045589F"/>
    <w:rsid w:val="0045668E"/>
    <w:rsid w:val="004566FF"/>
    <w:rsid w:val="00456B1A"/>
    <w:rsid w:val="00456E48"/>
    <w:rsid w:val="00457A8A"/>
    <w:rsid w:val="00457C2D"/>
    <w:rsid w:val="00460C9A"/>
    <w:rsid w:val="00460F05"/>
    <w:rsid w:val="004613C2"/>
    <w:rsid w:val="00461DA7"/>
    <w:rsid w:val="0046287E"/>
    <w:rsid w:val="004653F8"/>
    <w:rsid w:val="004654D2"/>
    <w:rsid w:val="00465BBB"/>
    <w:rsid w:val="00466C26"/>
    <w:rsid w:val="004709B2"/>
    <w:rsid w:val="004709B9"/>
    <w:rsid w:val="00473017"/>
    <w:rsid w:val="004734E3"/>
    <w:rsid w:val="00473AFE"/>
    <w:rsid w:val="00474A59"/>
    <w:rsid w:val="00474C86"/>
    <w:rsid w:val="00474C8A"/>
    <w:rsid w:val="00474DA7"/>
    <w:rsid w:val="00475C28"/>
    <w:rsid w:val="00475C3E"/>
    <w:rsid w:val="0047607F"/>
    <w:rsid w:val="00477B7A"/>
    <w:rsid w:val="00477BDA"/>
    <w:rsid w:val="00481F36"/>
    <w:rsid w:val="0048361A"/>
    <w:rsid w:val="004849C6"/>
    <w:rsid w:val="00484BD6"/>
    <w:rsid w:val="00484FB8"/>
    <w:rsid w:val="004855B6"/>
    <w:rsid w:val="004862F6"/>
    <w:rsid w:val="004865A1"/>
    <w:rsid w:val="0049001B"/>
    <w:rsid w:val="004902D8"/>
    <w:rsid w:val="004907F0"/>
    <w:rsid w:val="0049119D"/>
    <w:rsid w:val="004917BC"/>
    <w:rsid w:val="00491AFC"/>
    <w:rsid w:val="00491DA1"/>
    <w:rsid w:val="00492805"/>
    <w:rsid w:val="004931D4"/>
    <w:rsid w:val="00493F30"/>
    <w:rsid w:val="0049446F"/>
    <w:rsid w:val="00494BD0"/>
    <w:rsid w:val="00495051"/>
    <w:rsid w:val="00495DA1"/>
    <w:rsid w:val="004968B4"/>
    <w:rsid w:val="00496C20"/>
    <w:rsid w:val="00496F97"/>
    <w:rsid w:val="0049700A"/>
    <w:rsid w:val="004A1A6F"/>
    <w:rsid w:val="004A1E07"/>
    <w:rsid w:val="004A1F68"/>
    <w:rsid w:val="004A2846"/>
    <w:rsid w:val="004A364F"/>
    <w:rsid w:val="004A4059"/>
    <w:rsid w:val="004A4953"/>
    <w:rsid w:val="004A5A91"/>
    <w:rsid w:val="004A60E3"/>
    <w:rsid w:val="004A701C"/>
    <w:rsid w:val="004A7454"/>
    <w:rsid w:val="004A7DCD"/>
    <w:rsid w:val="004A7E50"/>
    <w:rsid w:val="004B051C"/>
    <w:rsid w:val="004B0D68"/>
    <w:rsid w:val="004B337C"/>
    <w:rsid w:val="004B4A3C"/>
    <w:rsid w:val="004B501A"/>
    <w:rsid w:val="004B5959"/>
    <w:rsid w:val="004B6518"/>
    <w:rsid w:val="004B6DB1"/>
    <w:rsid w:val="004B6FF6"/>
    <w:rsid w:val="004B75B7"/>
    <w:rsid w:val="004B7905"/>
    <w:rsid w:val="004B7977"/>
    <w:rsid w:val="004C079D"/>
    <w:rsid w:val="004C14CC"/>
    <w:rsid w:val="004C224D"/>
    <w:rsid w:val="004C4F80"/>
    <w:rsid w:val="004C7EB0"/>
    <w:rsid w:val="004D22EA"/>
    <w:rsid w:val="004D2BAF"/>
    <w:rsid w:val="004D32A0"/>
    <w:rsid w:val="004D3D91"/>
    <w:rsid w:val="004D43D9"/>
    <w:rsid w:val="004D573A"/>
    <w:rsid w:val="004D5D6E"/>
    <w:rsid w:val="004D5E1F"/>
    <w:rsid w:val="004D5E36"/>
    <w:rsid w:val="004D660C"/>
    <w:rsid w:val="004D6736"/>
    <w:rsid w:val="004D68B7"/>
    <w:rsid w:val="004D6FFE"/>
    <w:rsid w:val="004D722B"/>
    <w:rsid w:val="004D7321"/>
    <w:rsid w:val="004E3270"/>
    <w:rsid w:val="004E72A3"/>
    <w:rsid w:val="004E7C15"/>
    <w:rsid w:val="004F10E6"/>
    <w:rsid w:val="004F138B"/>
    <w:rsid w:val="004F4260"/>
    <w:rsid w:val="004F4AD7"/>
    <w:rsid w:val="004F4F13"/>
    <w:rsid w:val="004F5048"/>
    <w:rsid w:val="004F5980"/>
    <w:rsid w:val="004F59AB"/>
    <w:rsid w:val="004F5D20"/>
    <w:rsid w:val="005009ED"/>
    <w:rsid w:val="00501BD5"/>
    <w:rsid w:val="00501E96"/>
    <w:rsid w:val="00501ED4"/>
    <w:rsid w:val="005023D4"/>
    <w:rsid w:val="00502747"/>
    <w:rsid w:val="005034D8"/>
    <w:rsid w:val="00506646"/>
    <w:rsid w:val="00506F71"/>
    <w:rsid w:val="005072C0"/>
    <w:rsid w:val="00507B09"/>
    <w:rsid w:val="005107A0"/>
    <w:rsid w:val="00510F78"/>
    <w:rsid w:val="00511EB6"/>
    <w:rsid w:val="0051216A"/>
    <w:rsid w:val="00512C4F"/>
    <w:rsid w:val="00514280"/>
    <w:rsid w:val="00515020"/>
    <w:rsid w:val="00515803"/>
    <w:rsid w:val="00516B8D"/>
    <w:rsid w:val="00516F1A"/>
    <w:rsid w:val="0052057C"/>
    <w:rsid w:val="00520AD7"/>
    <w:rsid w:val="00521AB3"/>
    <w:rsid w:val="00521C8E"/>
    <w:rsid w:val="005225EA"/>
    <w:rsid w:val="00522819"/>
    <w:rsid w:val="00523652"/>
    <w:rsid w:val="00523660"/>
    <w:rsid w:val="0052481E"/>
    <w:rsid w:val="00525338"/>
    <w:rsid w:val="005262F0"/>
    <w:rsid w:val="00526357"/>
    <w:rsid w:val="00526C3D"/>
    <w:rsid w:val="00526C65"/>
    <w:rsid w:val="00527F87"/>
    <w:rsid w:val="00530504"/>
    <w:rsid w:val="0053212C"/>
    <w:rsid w:val="00533178"/>
    <w:rsid w:val="005332BA"/>
    <w:rsid w:val="00533C6C"/>
    <w:rsid w:val="00533CE6"/>
    <w:rsid w:val="00534346"/>
    <w:rsid w:val="0053438B"/>
    <w:rsid w:val="005348D7"/>
    <w:rsid w:val="005356E8"/>
    <w:rsid w:val="00535DA8"/>
    <w:rsid w:val="00535FFC"/>
    <w:rsid w:val="00536377"/>
    <w:rsid w:val="0053727B"/>
    <w:rsid w:val="005373E8"/>
    <w:rsid w:val="00537794"/>
    <w:rsid w:val="00537F58"/>
    <w:rsid w:val="00537FBC"/>
    <w:rsid w:val="00540212"/>
    <w:rsid w:val="0054021B"/>
    <w:rsid w:val="005406F4"/>
    <w:rsid w:val="00540E25"/>
    <w:rsid w:val="005413DA"/>
    <w:rsid w:val="00541891"/>
    <w:rsid w:val="00542C8F"/>
    <w:rsid w:val="00542EF9"/>
    <w:rsid w:val="00542FC1"/>
    <w:rsid w:val="005432C1"/>
    <w:rsid w:val="00544BC3"/>
    <w:rsid w:val="00544E03"/>
    <w:rsid w:val="0054638E"/>
    <w:rsid w:val="00547D87"/>
    <w:rsid w:val="00553491"/>
    <w:rsid w:val="00553A4A"/>
    <w:rsid w:val="00553C04"/>
    <w:rsid w:val="00553F36"/>
    <w:rsid w:val="005547CD"/>
    <w:rsid w:val="00556649"/>
    <w:rsid w:val="005568F0"/>
    <w:rsid w:val="00556D72"/>
    <w:rsid w:val="00560B62"/>
    <w:rsid w:val="00560D7A"/>
    <w:rsid w:val="00560EDE"/>
    <w:rsid w:val="00561078"/>
    <w:rsid w:val="005616EB"/>
    <w:rsid w:val="00561853"/>
    <w:rsid w:val="005620B3"/>
    <w:rsid w:val="005629C8"/>
    <w:rsid w:val="005633BF"/>
    <w:rsid w:val="0056370F"/>
    <w:rsid w:val="0056628F"/>
    <w:rsid w:val="005668C8"/>
    <w:rsid w:val="005670B9"/>
    <w:rsid w:val="00570666"/>
    <w:rsid w:val="00570FD2"/>
    <w:rsid w:val="0057232B"/>
    <w:rsid w:val="00572614"/>
    <w:rsid w:val="005735D0"/>
    <w:rsid w:val="00573B38"/>
    <w:rsid w:val="00574CB5"/>
    <w:rsid w:val="0057693D"/>
    <w:rsid w:val="0057720C"/>
    <w:rsid w:val="005776FA"/>
    <w:rsid w:val="005778A9"/>
    <w:rsid w:val="00581C3E"/>
    <w:rsid w:val="005822D2"/>
    <w:rsid w:val="00583170"/>
    <w:rsid w:val="00583239"/>
    <w:rsid w:val="00583C05"/>
    <w:rsid w:val="00584337"/>
    <w:rsid w:val="00584811"/>
    <w:rsid w:val="00584ABD"/>
    <w:rsid w:val="00584C52"/>
    <w:rsid w:val="0058533F"/>
    <w:rsid w:val="0058659D"/>
    <w:rsid w:val="005866AE"/>
    <w:rsid w:val="00586A28"/>
    <w:rsid w:val="00590137"/>
    <w:rsid w:val="00590215"/>
    <w:rsid w:val="00590636"/>
    <w:rsid w:val="00590BCB"/>
    <w:rsid w:val="00590EB9"/>
    <w:rsid w:val="00590F3B"/>
    <w:rsid w:val="00591F25"/>
    <w:rsid w:val="0059231B"/>
    <w:rsid w:val="005927C4"/>
    <w:rsid w:val="0059379C"/>
    <w:rsid w:val="00593D05"/>
    <w:rsid w:val="00594161"/>
    <w:rsid w:val="00594749"/>
    <w:rsid w:val="00594AC1"/>
    <w:rsid w:val="00594D1B"/>
    <w:rsid w:val="00594F27"/>
    <w:rsid w:val="00595D07"/>
    <w:rsid w:val="00595FCC"/>
    <w:rsid w:val="005A1567"/>
    <w:rsid w:val="005A2961"/>
    <w:rsid w:val="005A4436"/>
    <w:rsid w:val="005A5DD7"/>
    <w:rsid w:val="005A7E70"/>
    <w:rsid w:val="005B0CC1"/>
    <w:rsid w:val="005B289E"/>
    <w:rsid w:val="005B3467"/>
    <w:rsid w:val="005B5BE5"/>
    <w:rsid w:val="005B6707"/>
    <w:rsid w:val="005B70D6"/>
    <w:rsid w:val="005B7512"/>
    <w:rsid w:val="005B7B00"/>
    <w:rsid w:val="005C1505"/>
    <w:rsid w:val="005C17A5"/>
    <w:rsid w:val="005C17B2"/>
    <w:rsid w:val="005C32AB"/>
    <w:rsid w:val="005C35FC"/>
    <w:rsid w:val="005C3B10"/>
    <w:rsid w:val="005C434C"/>
    <w:rsid w:val="005C479C"/>
    <w:rsid w:val="005C51F9"/>
    <w:rsid w:val="005C634F"/>
    <w:rsid w:val="005C704A"/>
    <w:rsid w:val="005C7380"/>
    <w:rsid w:val="005C76A8"/>
    <w:rsid w:val="005C7DD1"/>
    <w:rsid w:val="005D12FF"/>
    <w:rsid w:val="005D23D6"/>
    <w:rsid w:val="005D3FE1"/>
    <w:rsid w:val="005D462A"/>
    <w:rsid w:val="005D4FA1"/>
    <w:rsid w:val="005D53B9"/>
    <w:rsid w:val="005D53FB"/>
    <w:rsid w:val="005D5721"/>
    <w:rsid w:val="005D59AF"/>
    <w:rsid w:val="005D5C62"/>
    <w:rsid w:val="005D78F5"/>
    <w:rsid w:val="005E17A0"/>
    <w:rsid w:val="005E1836"/>
    <w:rsid w:val="005E18FF"/>
    <w:rsid w:val="005E23E3"/>
    <w:rsid w:val="005E3ED2"/>
    <w:rsid w:val="005E43D2"/>
    <w:rsid w:val="005E43E4"/>
    <w:rsid w:val="005E51E6"/>
    <w:rsid w:val="005E52D2"/>
    <w:rsid w:val="005E5B85"/>
    <w:rsid w:val="005E60CE"/>
    <w:rsid w:val="005F0B1C"/>
    <w:rsid w:val="005F1193"/>
    <w:rsid w:val="005F13C7"/>
    <w:rsid w:val="005F142B"/>
    <w:rsid w:val="005F1ED4"/>
    <w:rsid w:val="005F2A7F"/>
    <w:rsid w:val="005F3735"/>
    <w:rsid w:val="005F4137"/>
    <w:rsid w:val="005F6AB6"/>
    <w:rsid w:val="005F6CAB"/>
    <w:rsid w:val="005F6D40"/>
    <w:rsid w:val="005F6DDD"/>
    <w:rsid w:val="00600219"/>
    <w:rsid w:val="006014BA"/>
    <w:rsid w:val="00601D1D"/>
    <w:rsid w:val="006028D5"/>
    <w:rsid w:val="00606020"/>
    <w:rsid w:val="00610D12"/>
    <w:rsid w:val="00610DF6"/>
    <w:rsid w:val="0061121A"/>
    <w:rsid w:val="00611E3A"/>
    <w:rsid w:val="00612122"/>
    <w:rsid w:val="00612949"/>
    <w:rsid w:val="00613125"/>
    <w:rsid w:val="00613359"/>
    <w:rsid w:val="00613D04"/>
    <w:rsid w:val="006151E8"/>
    <w:rsid w:val="00616A32"/>
    <w:rsid w:val="006207A3"/>
    <w:rsid w:val="00620ACF"/>
    <w:rsid w:val="00621A70"/>
    <w:rsid w:val="0062271E"/>
    <w:rsid w:val="00622CC0"/>
    <w:rsid w:val="0062362E"/>
    <w:rsid w:val="00623BAD"/>
    <w:rsid w:val="006240EF"/>
    <w:rsid w:val="006243FE"/>
    <w:rsid w:val="00627036"/>
    <w:rsid w:val="006270E3"/>
    <w:rsid w:val="00627737"/>
    <w:rsid w:val="0063067D"/>
    <w:rsid w:val="006306BD"/>
    <w:rsid w:val="00633C14"/>
    <w:rsid w:val="0063421B"/>
    <w:rsid w:val="00634B6B"/>
    <w:rsid w:val="00636215"/>
    <w:rsid w:val="00637CF2"/>
    <w:rsid w:val="00642748"/>
    <w:rsid w:val="0064393A"/>
    <w:rsid w:val="00643B0E"/>
    <w:rsid w:val="00644DF1"/>
    <w:rsid w:val="00646149"/>
    <w:rsid w:val="006471C1"/>
    <w:rsid w:val="00651AB0"/>
    <w:rsid w:val="00651C41"/>
    <w:rsid w:val="006527F5"/>
    <w:rsid w:val="00653F31"/>
    <w:rsid w:val="00654035"/>
    <w:rsid w:val="00654111"/>
    <w:rsid w:val="006543F6"/>
    <w:rsid w:val="00655352"/>
    <w:rsid w:val="00655E01"/>
    <w:rsid w:val="006565D0"/>
    <w:rsid w:val="00656E9F"/>
    <w:rsid w:val="00656FE2"/>
    <w:rsid w:val="006571E6"/>
    <w:rsid w:val="00657ACF"/>
    <w:rsid w:val="00657C3D"/>
    <w:rsid w:val="00657CF9"/>
    <w:rsid w:val="0066047C"/>
    <w:rsid w:val="00661713"/>
    <w:rsid w:val="006617DC"/>
    <w:rsid w:val="006623ED"/>
    <w:rsid w:val="0066424A"/>
    <w:rsid w:val="006644F3"/>
    <w:rsid w:val="00664EEF"/>
    <w:rsid w:val="00666407"/>
    <w:rsid w:val="00666A2F"/>
    <w:rsid w:val="00667B5A"/>
    <w:rsid w:val="00667D98"/>
    <w:rsid w:val="00671909"/>
    <w:rsid w:val="006722C6"/>
    <w:rsid w:val="006734B9"/>
    <w:rsid w:val="0067432B"/>
    <w:rsid w:val="00674F2E"/>
    <w:rsid w:val="00676A1A"/>
    <w:rsid w:val="006772E1"/>
    <w:rsid w:val="0067768A"/>
    <w:rsid w:val="00677747"/>
    <w:rsid w:val="00677CC2"/>
    <w:rsid w:val="00680096"/>
    <w:rsid w:val="006801CB"/>
    <w:rsid w:val="006804BA"/>
    <w:rsid w:val="00680F77"/>
    <w:rsid w:val="006818D7"/>
    <w:rsid w:val="00681990"/>
    <w:rsid w:val="006841C2"/>
    <w:rsid w:val="0068547C"/>
    <w:rsid w:val="00685C10"/>
    <w:rsid w:val="00686473"/>
    <w:rsid w:val="006878FB"/>
    <w:rsid w:val="006879C8"/>
    <w:rsid w:val="00687C96"/>
    <w:rsid w:val="006903BF"/>
    <w:rsid w:val="00691938"/>
    <w:rsid w:val="0069207B"/>
    <w:rsid w:val="00694209"/>
    <w:rsid w:val="0069472E"/>
    <w:rsid w:val="00695538"/>
    <w:rsid w:val="0069595F"/>
    <w:rsid w:val="00695D7B"/>
    <w:rsid w:val="00696773"/>
    <w:rsid w:val="00696F43"/>
    <w:rsid w:val="0069735A"/>
    <w:rsid w:val="00697958"/>
    <w:rsid w:val="006979ED"/>
    <w:rsid w:val="006A0B21"/>
    <w:rsid w:val="006A174A"/>
    <w:rsid w:val="006A295F"/>
    <w:rsid w:val="006A297D"/>
    <w:rsid w:val="006A411F"/>
    <w:rsid w:val="006A41F1"/>
    <w:rsid w:val="006A47DC"/>
    <w:rsid w:val="006A5059"/>
    <w:rsid w:val="006A5AC5"/>
    <w:rsid w:val="006A643F"/>
    <w:rsid w:val="006A746E"/>
    <w:rsid w:val="006B01B4"/>
    <w:rsid w:val="006B02F8"/>
    <w:rsid w:val="006B075A"/>
    <w:rsid w:val="006B092E"/>
    <w:rsid w:val="006B148A"/>
    <w:rsid w:val="006B2369"/>
    <w:rsid w:val="006B25C6"/>
    <w:rsid w:val="006B2980"/>
    <w:rsid w:val="006B2FE8"/>
    <w:rsid w:val="006B390D"/>
    <w:rsid w:val="006B39E4"/>
    <w:rsid w:val="006B43C9"/>
    <w:rsid w:val="006B5664"/>
    <w:rsid w:val="006B5C06"/>
    <w:rsid w:val="006B7483"/>
    <w:rsid w:val="006B771B"/>
    <w:rsid w:val="006C1816"/>
    <w:rsid w:val="006C1DCB"/>
    <w:rsid w:val="006C33D9"/>
    <w:rsid w:val="006C3571"/>
    <w:rsid w:val="006C36A7"/>
    <w:rsid w:val="006C416A"/>
    <w:rsid w:val="006C574C"/>
    <w:rsid w:val="006C5816"/>
    <w:rsid w:val="006C5D41"/>
    <w:rsid w:val="006C65DC"/>
    <w:rsid w:val="006C679B"/>
    <w:rsid w:val="006C7F8C"/>
    <w:rsid w:val="006D0DCB"/>
    <w:rsid w:val="006D1E1A"/>
    <w:rsid w:val="006D2E7E"/>
    <w:rsid w:val="006D369A"/>
    <w:rsid w:val="006D6017"/>
    <w:rsid w:val="006D6058"/>
    <w:rsid w:val="006D66B5"/>
    <w:rsid w:val="006D6D32"/>
    <w:rsid w:val="006E02C4"/>
    <w:rsid w:val="006E0DEE"/>
    <w:rsid w:val="006E3AD4"/>
    <w:rsid w:val="006E4178"/>
    <w:rsid w:val="006E54E4"/>
    <w:rsid w:val="006E5AF4"/>
    <w:rsid w:val="006E6365"/>
    <w:rsid w:val="006E6E26"/>
    <w:rsid w:val="006F0E5E"/>
    <w:rsid w:val="006F1457"/>
    <w:rsid w:val="006F1547"/>
    <w:rsid w:val="006F182D"/>
    <w:rsid w:val="006F27AC"/>
    <w:rsid w:val="006F2958"/>
    <w:rsid w:val="006F3492"/>
    <w:rsid w:val="006F383F"/>
    <w:rsid w:val="006F45CA"/>
    <w:rsid w:val="006F5080"/>
    <w:rsid w:val="006F531A"/>
    <w:rsid w:val="006F5D28"/>
    <w:rsid w:val="006F667E"/>
    <w:rsid w:val="006F66BD"/>
    <w:rsid w:val="006F67CE"/>
    <w:rsid w:val="006F78A0"/>
    <w:rsid w:val="00701BF0"/>
    <w:rsid w:val="00704905"/>
    <w:rsid w:val="00705E35"/>
    <w:rsid w:val="0070663F"/>
    <w:rsid w:val="00707E89"/>
    <w:rsid w:val="00707F19"/>
    <w:rsid w:val="00711032"/>
    <w:rsid w:val="00711AC5"/>
    <w:rsid w:val="00712F89"/>
    <w:rsid w:val="007136C5"/>
    <w:rsid w:val="00714D90"/>
    <w:rsid w:val="0071512E"/>
    <w:rsid w:val="00715222"/>
    <w:rsid w:val="007158A5"/>
    <w:rsid w:val="00715EC3"/>
    <w:rsid w:val="007163A9"/>
    <w:rsid w:val="00716A4B"/>
    <w:rsid w:val="00716F51"/>
    <w:rsid w:val="00717460"/>
    <w:rsid w:val="007213CE"/>
    <w:rsid w:val="00721745"/>
    <w:rsid w:val="00723930"/>
    <w:rsid w:val="007240A2"/>
    <w:rsid w:val="00725DB6"/>
    <w:rsid w:val="0072680C"/>
    <w:rsid w:val="00726CD6"/>
    <w:rsid w:val="007276BC"/>
    <w:rsid w:val="00727ED5"/>
    <w:rsid w:val="00731E00"/>
    <w:rsid w:val="00732251"/>
    <w:rsid w:val="00732846"/>
    <w:rsid w:val="00732F07"/>
    <w:rsid w:val="00733990"/>
    <w:rsid w:val="00734688"/>
    <w:rsid w:val="00734835"/>
    <w:rsid w:val="00734AB2"/>
    <w:rsid w:val="00736102"/>
    <w:rsid w:val="00736436"/>
    <w:rsid w:val="00736E73"/>
    <w:rsid w:val="00740B60"/>
    <w:rsid w:val="00740FA1"/>
    <w:rsid w:val="00741192"/>
    <w:rsid w:val="00743BCD"/>
    <w:rsid w:val="00743D36"/>
    <w:rsid w:val="00743D3F"/>
    <w:rsid w:val="00743D59"/>
    <w:rsid w:val="00743F0A"/>
    <w:rsid w:val="007446F7"/>
    <w:rsid w:val="007447B8"/>
    <w:rsid w:val="00744D9B"/>
    <w:rsid w:val="00745466"/>
    <w:rsid w:val="00745581"/>
    <w:rsid w:val="00746A03"/>
    <w:rsid w:val="00746EB4"/>
    <w:rsid w:val="00747A0D"/>
    <w:rsid w:val="0075000D"/>
    <w:rsid w:val="00750553"/>
    <w:rsid w:val="007510E6"/>
    <w:rsid w:val="007512AF"/>
    <w:rsid w:val="00752C10"/>
    <w:rsid w:val="00752D2B"/>
    <w:rsid w:val="00753053"/>
    <w:rsid w:val="0075333F"/>
    <w:rsid w:val="0075519E"/>
    <w:rsid w:val="007552BB"/>
    <w:rsid w:val="00756824"/>
    <w:rsid w:val="00756A1D"/>
    <w:rsid w:val="007571BF"/>
    <w:rsid w:val="007576E9"/>
    <w:rsid w:val="00757A32"/>
    <w:rsid w:val="007608E8"/>
    <w:rsid w:val="0076128F"/>
    <w:rsid w:val="00761729"/>
    <w:rsid w:val="007634B3"/>
    <w:rsid w:val="00763D98"/>
    <w:rsid w:val="00763DBC"/>
    <w:rsid w:val="00763E50"/>
    <w:rsid w:val="007648A2"/>
    <w:rsid w:val="007658F1"/>
    <w:rsid w:val="00766583"/>
    <w:rsid w:val="0076692A"/>
    <w:rsid w:val="0076796E"/>
    <w:rsid w:val="007703F0"/>
    <w:rsid w:val="0077071A"/>
    <w:rsid w:val="00770C13"/>
    <w:rsid w:val="007711A6"/>
    <w:rsid w:val="007715C9"/>
    <w:rsid w:val="00774EDD"/>
    <w:rsid w:val="007757EC"/>
    <w:rsid w:val="00775BFB"/>
    <w:rsid w:val="00776484"/>
    <w:rsid w:val="007774D2"/>
    <w:rsid w:val="0077772E"/>
    <w:rsid w:val="00780039"/>
    <w:rsid w:val="00780267"/>
    <w:rsid w:val="007802C0"/>
    <w:rsid w:val="007809FB"/>
    <w:rsid w:val="00781164"/>
    <w:rsid w:val="00781271"/>
    <w:rsid w:val="00782976"/>
    <w:rsid w:val="00783AC0"/>
    <w:rsid w:val="00783E22"/>
    <w:rsid w:val="007841D1"/>
    <w:rsid w:val="007869D8"/>
    <w:rsid w:val="007873C4"/>
    <w:rsid w:val="007878F5"/>
    <w:rsid w:val="00790633"/>
    <w:rsid w:val="00790C20"/>
    <w:rsid w:val="00790E75"/>
    <w:rsid w:val="007918A6"/>
    <w:rsid w:val="00791CD4"/>
    <w:rsid w:val="00796E6B"/>
    <w:rsid w:val="00797390"/>
    <w:rsid w:val="00797AC1"/>
    <w:rsid w:val="00797E44"/>
    <w:rsid w:val="00797F00"/>
    <w:rsid w:val="007A0161"/>
    <w:rsid w:val="007A03DA"/>
    <w:rsid w:val="007A15A7"/>
    <w:rsid w:val="007A3092"/>
    <w:rsid w:val="007A3347"/>
    <w:rsid w:val="007A374F"/>
    <w:rsid w:val="007A4898"/>
    <w:rsid w:val="007A4D07"/>
    <w:rsid w:val="007A53CA"/>
    <w:rsid w:val="007A5D17"/>
    <w:rsid w:val="007A7264"/>
    <w:rsid w:val="007A7AC2"/>
    <w:rsid w:val="007B0AE3"/>
    <w:rsid w:val="007B1A77"/>
    <w:rsid w:val="007B1D3C"/>
    <w:rsid w:val="007B20C9"/>
    <w:rsid w:val="007B496F"/>
    <w:rsid w:val="007B59C6"/>
    <w:rsid w:val="007B5CA7"/>
    <w:rsid w:val="007B65A4"/>
    <w:rsid w:val="007B7E58"/>
    <w:rsid w:val="007C0F04"/>
    <w:rsid w:val="007C2422"/>
    <w:rsid w:val="007C2AC6"/>
    <w:rsid w:val="007C45FB"/>
    <w:rsid w:val="007C4F05"/>
    <w:rsid w:val="007C54F0"/>
    <w:rsid w:val="007C560F"/>
    <w:rsid w:val="007C7BA9"/>
    <w:rsid w:val="007D06F3"/>
    <w:rsid w:val="007D09F9"/>
    <w:rsid w:val="007D10B4"/>
    <w:rsid w:val="007D2AA2"/>
    <w:rsid w:val="007D44FE"/>
    <w:rsid w:val="007D54B9"/>
    <w:rsid w:val="007D6093"/>
    <w:rsid w:val="007D61BE"/>
    <w:rsid w:val="007D63BE"/>
    <w:rsid w:val="007D6404"/>
    <w:rsid w:val="007D748F"/>
    <w:rsid w:val="007D75E4"/>
    <w:rsid w:val="007D7DEF"/>
    <w:rsid w:val="007E11F9"/>
    <w:rsid w:val="007E13AF"/>
    <w:rsid w:val="007E1845"/>
    <w:rsid w:val="007E1D05"/>
    <w:rsid w:val="007E368F"/>
    <w:rsid w:val="007E3EEF"/>
    <w:rsid w:val="007E410E"/>
    <w:rsid w:val="007E4AB9"/>
    <w:rsid w:val="007E4C17"/>
    <w:rsid w:val="007E57B1"/>
    <w:rsid w:val="007E5A70"/>
    <w:rsid w:val="007F0A4E"/>
    <w:rsid w:val="007F21B5"/>
    <w:rsid w:val="007F23DD"/>
    <w:rsid w:val="007F38AE"/>
    <w:rsid w:val="007F4192"/>
    <w:rsid w:val="007F552D"/>
    <w:rsid w:val="007F5C32"/>
    <w:rsid w:val="007F6809"/>
    <w:rsid w:val="007F7848"/>
    <w:rsid w:val="0080076C"/>
    <w:rsid w:val="008008EF"/>
    <w:rsid w:val="00802508"/>
    <w:rsid w:val="00802D94"/>
    <w:rsid w:val="00803206"/>
    <w:rsid w:val="008039FC"/>
    <w:rsid w:val="00803BC1"/>
    <w:rsid w:val="00804A3B"/>
    <w:rsid w:val="00805802"/>
    <w:rsid w:val="00805ED3"/>
    <w:rsid w:val="008076B4"/>
    <w:rsid w:val="008103ED"/>
    <w:rsid w:val="00810525"/>
    <w:rsid w:val="008106E7"/>
    <w:rsid w:val="008112A2"/>
    <w:rsid w:val="008116C5"/>
    <w:rsid w:val="00811736"/>
    <w:rsid w:val="00814B7F"/>
    <w:rsid w:val="0081626B"/>
    <w:rsid w:val="00816EA0"/>
    <w:rsid w:val="00816F93"/>
    <w:rsid w:val="00820B26"/>
    <w:rsid w:val="0082126F"/>
    <w:rsid w:val="00822C5D"/>
    <w:rsid w:val="008230A8"/>
    <w:rsid w:val="008235D5"/>
    <w:rsid w:val="008240EB"/>
    <w:rsid w:val="00826103"/>
    <w:rsid w:val="008261DD"/>
    <w:rsid w:val="008262BB"/>
    <w:rsid w:val="00831095"/>
    <w:rsid w:val="008310E0"/>
    <w:rsid w:val="00831645"/>
    <w:rsid w:val="0083197E"/>
    <w:rsid w:val="00831E79"/>
    <w:rsid w:val="00831FF8"/>
    <w:rsid w:val="00832433"/>
    <w:rsid w:val="00832612"/>
    <w:rsid w:val="00832914"/>
    <w:rsid w:val="00832970"/>
    <w:rsid w:val="00833171"/>
    <w:rsid w:val="00835825"/>
    <w:rsid w:val="0083647F"/>
    <w:rsid w:val="008373F5"/>
    <w:rsid w:val="0084047D"/>
    <w:rsid w:val="008418CD"/>
    <w:rsid w:val="008419E3"/>
    <w:rsid w:val="00843692"/>
    <w:rsid w:val="00845F4C"/>
    <w:rsid w:val="00845FE6"/>
    <w:rsid w:val="00847D72"/>
    <w:rsid w:val="0085013C"/>
    <w:rsid w:val="0085051C"/>
    <w:rsid w:val="008505C7"/>
    <w:rsid w:val="00850BC0"/>
    <w:rsid w:val="00850D29"/>
    <w:rsid w:val="00851693"/>
    <w:rsid w:val="00851804"/>
    <w:rsid w:val="00851C76"/>
    <w:rsid w:val="00852B5C"/>
    <w:rsid w:val="00852D8B"/>
    <w:rsid w:val="00852F6E"/>
    <w:rsid w:val="00853D8C"/>
    <w:rsid w:val="00853F83"/>
    <w:rsid w:val="00856975"/>
    <w:rsid w:val="008569FD"/>
    <w:rsid w:val="00856A31"/>
    <w:rsid w:val="008576F7"/>
    <w:rsid w:val="008612E1"/>
    <w:rsid w:val="00861ADB"/>
    <w:rsid w:val="00863110"/>
    <w:rsid w:val="00863427"/>
    <w:rsid w:val="00863A78"/>
    <w:rsid w:val="00863F33"/>
    <w:rsid w:val="008652CF"/>
    <w:rsid w:val="00865F8E"/>
    <w:rsid w:val="008668BF"/>
    <w:rsid w:val="00867179"/>
    <w:rsid w:val="00867AF2"/>
    <w:rsid w:val="00867B4F"/>
    <w:rsid w:val="008710AE"/>
    <w:rsid w:val="00871674"/>
    <w:rsid w:val="00872286"/>
    <w:rsid w:val="0087229A"/>
    <w:rsid w:val="00872909"/>
    <w:rsid w:val="00873BA3"/>
    <w:rsid w:val="00873C43"/>
    <w:rsid w:val="008741F2"/>
    <w:rsid w:val="008754D0"/>
    <w:rsid w:val="008761D0"/>
    <w:rsid w:val="008773FF"/>
    <w:rsid w:val="00877B29"/>
    <w:rsid w:val="00880208"/>
    <w:rsid w:val="00880AFF"/>
    <w:rsid w:val="00880FD9"/>
    <w:rsid w:val="00881CD3"/>
    <w:rsid w:val="00881EB4"/>
    <w:rsid w:val="00884A7A"/>
    <w:rsid w:val="00884B99"/>
    <w:rsid w:val="00884C36"/>
    <w:rsid w:val="00884CB1"/>
    <w:rsid w:val="00885533"/>
    <w:rsid w:val="008873A3"/>
    <w:rsid w:val="0089237E"/>
    <w:rsid w:val="00892982"/>
    <w:rsid w:val="00892C35"/>
    <w:rsid w:val="00894CB8"/>
    <w:rsid w:val="00895072"/>
    <w:rsid w:val="00895F85"/>
    <w:rsid w:val="00896562"/>
    <w:rsid w:val="008A173E"/>
    <w:rsid w:val="008A2238"/>
    <w:rsid w:val="008A261E"/>
    <w:rsid w:val="008A2EB6"/>
    <w:rsid w:val="008A3813"/>
    <w:rsid w:val="008A39B4"/>
    <w:rsid w:val="008A4461"/>
    <w:rsid w:val="008A5006"/>
    <w:rsid w:val="008A6AFE"/>
    <w:rsid w:val="008A70D0"/>
    <w:rsid w:val="008B1560"/>
    <w:rsid w:val="008B20A5"/>
    <w:rsid w:val="008B34AC"/>
    <w:rsid w:val="008B3BB4"/>
    <w:rsid w:val="008B4F65"/>
    <w:rsid w:val="008B577E"/>
    <w:rsid w:val="008B5D8C"/>
    <w:rsid w:val="008B686B"/>
    <w:rsid w:val="008B6A06"/>
    <w:rsid w:val="008B6EAE"/>
    <w:rsid w:val="008C085B"/>
    <w:rsid w:val="008C17F7"/>
    <w:rsid w:val="008C2B40"/>
    <w:rsid w:val="008C2E05"/>
    <w:rsid w:val="008C32AD"/>
    <w:rsid w:val="008C3D05"/>
    <w:rsid w:val="008C3F1E"/>
    <w:rsid w:val="008C5194"/>
    <w:rsid w:val="008C5E45"/>
    <w:rsid w:val="008C6E75"/>
    <w:rsid w:val="008C6EE3"/>
    <w:rsid w:val="008C77DE"/>
    <w:rsid w:val="008D05AF"/>
    <w:rsid w:val="008D0BB6"/>
    <w:rsid w:val="008D162D"/>
    <w:rsid w:val="008D210C"/>
    <w:rsid w:val="008D21D5"/>
    <w:rsid w:val="008D2439"/>
    <w:rsid w:val="008D2D3C"/>
    <w:rsid w:val="008D2F5D"/>
    <w:rsid w:val="008D31EF"/>
    <w:rsid w:val="008D355B"/>
    <w:rsid w:val="008D3A1E"/>
    <w:rsid w:val="008D5376"/>
    <w:rsid w:val="008D5C83"/>
    <w:rsid w:val="008D68E4"/>
    <w:rsid w:val="008E0F53"/>
    <w:rsid w:val="008E2A85"/>
    <w:rsid w:val="008E3B8C"/>
    <w:rsid w:val="008E40D0"/>
    <w:rsid w:val="008E6599"/>
    <w:rsid w:val="008E6CF4"/>
    <w:rsid w:val="008E7108"/>
    <w:rsid w:val="008E7435"/>
    <w:rsid w:val="008E78A8"/>
    <w:rsid w:val="008F008B"/>
    <w:rsid w:val="008F0C93"/>
    <w:rsid w:val="008F116D"/>
    <w:rsid w:val="008F1989"/>
    <w:rsid w:val="008F1CF4"/>
    <w:rsid w:val="008F3016"/>
    <w:rsid w:val="008F3D72"/>
    <w:rsid w:val="008F41A5"/>
    <w:rsid w:val="008F4363"/>
    <w:rsid w:val="008F521C"/>
    <w:rsid w:val="008F57FC"/>
    <w:rsid w:val="008F5E81"/>
    <w:rsid w:val="008F7967"/>
    <w:rsid w:val="008F7CCD"/>
    <w:rsid w:val="009000D9"/>
    <w:rsid w:val="0090098B"/>
    <w:rsid w:val="00902D6C"/>
    <w:rsid w:val="00902D72"/>
    <w:rsid w:val="0090312D"/>
    <w:rsid w:val="0090323C"/>
    <w:rsid w:val="009032A2"/>
    <w:rsid w:val="009040BA"/>
    <w:rsid w:val="009052EB"/>
    <w:rsid w:val="0090677C"/>
    <w:rsid w:val="00906B5C"/>
    <w:rsid w:val="00906FA5"/>
    <w:rsid w:val="009112AA"/>
    <w:rsid w:val="00911A75"/>
    <w:rsid w:val="0091228E"/>
    <w:rsid w:val="00913A74"/>
    <w:rsid w:val="0091419B"/>
    <w:rsid w:val="00914698"/>
    <w:rsid w:val="00914F11"/>
    <w:rsid w:val="00915975"/>
    <w:rsid w:val="00915ADF"/>
    <w:rsid w:val="00916443"/>
    <w:rsid w:val="00916982"/>
    <w:rsid w:val="00916D88"/>
    <w:rsid w:val="00917C16"/>
    <w:rsid w:val="00923BD9"/>
    <w:rsid w:val="009243F7"/>
    <w:rsid w:val="009272AE"/>
    <w:rsid w:val="00927772"/>
    <w:rsid w:val="00927913"/>
    <w:rsid w:val="00927C4F"/>
    <w:rsid w:val="00927D6B"/>
    <w:rsid w:val="00931097"/>
    <w:rsid w:val="00931A6E"/>
    <w:rsid w:val="00931CD0"/>
    <w:rsid w:val="009343B0"/>
    <w:rsid w:val="009349CD"/>
    <w:rsid w:val="00935A9B"/>
    <w:rsid w:val="009366F6"/>
    <w:rsid w:val="00937C67"/>
    <w:rsid w:val="00941E8D"/>
    <w:rsid w:val="00942860"/>
    <w:rsid w:val="00942F8D"/>
    <w:rsid w:val="00943D56"/>
    <w:rsid w:val="0094427C"/>
    <w:rsid w:val="0094492C"/>
    <w:rsid w:val="00944E2A"/>
    <w:rsid w:val="0094622F"/>
    <w:rsid w:val="009467A6"/>
    <w:rsid w:val="009474BD"/>
    <w:rsid w:val="00947DAA"/>
    <w:rsid w:val="00947FCF"/>
    <w:rsid w:val="00950497"/>
    <w:rsid w:val="00951557"/>
    <w:rsid w:val="00952F0B"/>
    <w:rsid w:val="00954645"/>
    <w:rsid w:val="009550BC"/>
    <w:rsid w:val="0095557B"/>
    <w:rsid w:val="00956263"/>
    <w:rsid w:val="009574B4"/>
    <w:rsid w:val="009574E1"/>
    <w:rsid w:val="00960A34"/>
    <w:rsid w:val="00960AAD"/>
    <w:rsid w:val="009611B5"/>
    <w:rsid w:val="00961F7C"/>
    <w:rsid w:val="009632F8"/>
    <w:rsid w:val="00963574"/>
    <w:rsid w:val="00963B43"/>
    <w:rsid w:val="00963BAF"/>
    <w:rsid w:val="0096793B"/>
    <w:rsid w:val="00970333"/>
    <w:rsid w:val="0097224E"/>
    <w:rsid w:val="00972705"/>
    <w:rsid w:val="00972C95"/>
    <w:rsid w:val="00972D6B"/>
    <w:rsid w:val="009735CD"/>
    <w:rsid w:val="009748D3"/>
    <w:rsid w:val="009762C3"/>
    <w:rsid w:val="009762D2"/>
    <w:rsid w:val="00976623"/>
    <w:rsid w:val="00976BCD"/>
    <w:rsid w:val="00977814"/>
    <w:rsid w:val="00977DEB"/>
    <w:rsid w:val="009805B7"/>
    <w:rsid w:val="00980713"/>
    <w:rsid w:val="00980B37"/>
    <w:rsid w:val="00981D25"/>
    <w:rsid w:val="00984C13"/>
    <w:rsid w:val="00985845"/>
    <w:rsid w:val="00985A01"/>
    <w:rsid w:val="00985A03"/>
    <w:rsid w:val="009876C6"/>
    <w:rsid w:val="00990487"/>
    <w:rsid w:val="00991064"/>
    <w:rsid w:val="00991B74"/>
    <w:rsid w:val="00991E52"/>
    <w:rsid w:val="00993DCD"/>
    <w:rsid w:val="009941BD"/>
    <w:rsid w:val="009974D4"/>
    <w:rsid w:val="009A09F2"/>
    <w:rsid w:val="009A0DA3"/>
    <w:rsid w:val="009A15A0"/>
    <w:rsid w:val="009A20E7"/>
    <w:rsid w:val="009A24E4"/>
    <w:rsid w:val="009A4D26"/>
    <w:rsid w:val="009A4F94"/>
    <w:rsid w:val="009A647E"/>
    <w:rsid w:val="009A65A8"/>
    <w:rsid w:val="009A6D86"/>
    <w:rsid w:val="009B0BFC"/>
    <w:rsid w:val="009B0ECE"/>
    <w:rsid w:val="009B3721"/>
    <w:rsid w:val="009B5657"/>
    <w:rsid w:val="009B5976"/>
    <w:rsid w:val="009B5BC0"/>
    <w:rsid w:val="009B6E9A"/>
    <w:rsid w:val="009B7EAF"/>
    <w:rsid w:val="009C1286"/>
    <w:rsid w:val="009C1438"/>
    <w:rsid w:val="009C1F56"/>
    <w:rsid w:val="009C322C"/>
    <w:rsid w:val="009C4251"/>
    <w:rsid w:val="009C4A53"/>
    <w:rsid w:val="009C4E65"/>
    <w:rsid w:val="009C6D15"/>
    <w:rsid w:val="009C76A6"/>
    <w:rsid w:val="009C7C79"/>
    <w:rsid w:val="009C7E16"/>
    <w:rsid w:val="009D0DA3"/>
    <w:rsid w:val="009D3245"/>
    <w:rsid w:val="009D3DDD"/>
    <w:rsid w:val="009D531C"/>
    <w:rsid w:val="009D5533"/>
    <w:rsid w:val="009D5F7A"/>
    <w:rsid w:val="009D682C"/>
    <w:rsid w:val="009D68EC"/>
    <w:rsid w:val="009D76B7"/>
    <w:rsid w:val="009D776B"/>
    <w:rsid w:val="009D7E3E"/>
    <w:rsid w:val="009E01F1"/>
    <w:rsid w:val="009E0D9E"/>
    <w:rsid w:val="009E10D9"/>
    <w:rsid w:val="009E236E"/>
    <w:rsid w:val="009E35A6"/>
    <w:rsid w:val="009E3E97"/>
    <w:rsid w:val="009E45AF"/>
    <w:rsid w:val="009E58AA"/>
    <w:rsid w:val="009E66FD"/>
    <w:rsid w:val="009F0FEC"/>
    <w:rsid w:val="009F1292"/>
    <w:rsid w:val="009F1D0E"/>
    <w:rsid w:val="009F25EA"/>
    <w:rsid w:val="009F37AF"/>
    <w:rsid w:val="009F4488"/>
    <w:rsid w:val="009F4851"/>
    <w:rsid w:val="009F652F"/>
    <w:rsid w:val="009F68C1"/>
    <w:rsid w:val="00A001F1"/>
    <w:rsid w:val="00A01157"/>
    <w:rsid w:val="00A02B3B"/>
    <w:rsid w:val="00A030F6"/>
    <w:rsid w:val="00A03AD6"/>
    <w:rsid w:val="00A0489D"/>
    <w:rsid w:val="00A0626C"/>
    <w:rsid w:val="00A06DD4"/>
    <w:rsid w:val="00A0797D"/>
    <w:rsid w:val="00A07AF9"/>
    <w:rsid w:val="00A102BB"/>
    <w:rsid w:val="00A10378"/>
    <w:rsid w:val="00A10CAF"/>
    <w:rsid w:val="00A128EE"/>
    <w:rsid w:val="00A13F3A"/>
    <w:rsid w:val="00A14E83"/>
    <w:rsid w:val="00A15B35"/>
    <w:rsid w:val="00A15B9B"/>
    <w:rsid w:val="00A15DA3"/>
    <w:rsid w:val="00A16959"/>
    <w:rsid w:val="00A22B61"/>
    <w:rsid w:val="00A231E2"/>
    <w:rsid w:val="00A23285"/>
    <w:rsid w:val="00A23E09"/>
    <w:rsid w:val="00A252CA"/>
    <w:rsid w:val="00A2685F"/>
    <w:rsid w:val="00A276E2"/>
    <w:rsid w:val="00A27943"/>
    <w:rsid w:val="00A31410"/>
    <w:rsid w:val="00A31AAE"/>
    <w:rsid w:val="00A34456"/>
    <w:rsid w:val="00A35420"/>
    <w:rsid w:val="00A35ACF"/>
    <w:rsid w:val="00A37B0D"/>
    <w:rsid w:val="00A37EB1"/>
    <w:rsid w:val="00A4235F"/>
    <w:rsid w:val="00A43EC8"/>
    <w:rsid w:val="00A46113"/>
    <w:rsid w:val="00A46E7A"/>
    <w:rsid w:val="00A46FBA"/>
    <w:rsid w:val="00A47EB7"/>
    <w:rsid w:val="00A50BF2"/>
    <w:rsid w:val="00A5141D"/>
    <w:rsid w:val="00A53FEF"/>
    <w:rsid w:val="00A55793"/>
    <w:rsid w:val="00A55DFD"/>
    <w:rsid w:val="00A57119"/>
    <w:rsid w:val="00A61931"/>
    <w:rsid w:val="00A635CA"/>
    <w:rsid w:val="00A64912"/>
    <w:rsid w:val="00A67507"/>
    <w:rsid w:val="00A6753B"/>
    <w:rsid w:val="00A67BB8"/>
    <w:rsid w:val="00A67C86"/>
    <w:rsid w:val="00A70A74"/>
    <w:rsid w:val="00A70D40"/>
    <w:rsid w:val="00A7103C"/>
    <w:rsid w:val="00A71574"/>
    <w:rsid w:val="00A71740"/>
    <w:rsid w:val="00A71B7C"/>
    <w:rsid w:val="00A72D6A"/>
    <w:rsid w:val="00A73283"/>
    <w:rsid w:val="00A732E3"/>
    <w:rsid w:val="00A7334B"/>
    <w:rsid w:val="00A74755"/>
    <w:rsid w:val="00A75092"/>
    <w:rsid w:val="00A76975"/>
    <w:rsid w:val="00A81038"/>
    <w:rsid w:val="00A816B0"/>
    <w:rsid w:val="00A8208A"/>
    <w:rsid w:val="00A82657"/>
    <w:rsid w:val="00A82705"/>
    <w:rsid w:val="00A82ED8"/>
    <w:rsid w:val="00A837B6"/>
    <w:rsid w:val="00A83991"/>
    <w:rsid w:val="00A83DA9"/>
    <w:rsid w:val="00A8402A"/>
    <w:rsid w:val="00A848FC"/>
    <w:rsid w:val="00A85BA9"/>
    <w:rsid w:val="00A862A2"/>
    <w:rsid w:val="00A902B3"/>
    <w:rsid w:val="00A94188"/>
    <w:rsid w:val="00A94B31"/>
    <w:rsid w:val="00A95A31"/>
    <w:rsid w:val="00A96E8C"/>
    <w:rsid w:val="00AA0D50"/>
    <w:rsid w:val="00AA122A"/>
    <w:rsid w:val="00AA1C59"/>
    <w:rsid w:val="00AA22C1"/>
    <w:rsid w:val="00AA22E4"/>
    <w:rsid w:val="00AA291B"/>
    <w:rsid w:val="00AA330F"/>
    <w:rsid w:val="00AA380B"/>
    <w:rsid w:val="00AA4357"/>
    <w:rsid w:val="00AA4606"/>
    <w:rsid w:val="00AA4B6C"/>
    <w:rsid w:val="00AA53D3"/>
    <w:rsid w:val="00AA63FE"/>
    <w:rsid w:val="00AA6B42"/>
    <w:rsid w:val="00AA7555"/>
    <w:rsid w:val="00AB020F"/>
    <w:rsid w:val="00AB0FAC"/>
    <w:rsid w:val="00AB101B"/>
    <w:rsid w:val="00AB2106"/>
    <w:rsid w:val="00AB2784"/>
    <w:rsid w:val="00AB2AEE"/>
    <w:rsid w:val="00AB2F44"/>
    <w:rsid w:val="00AB54F1"/>
    <w:rsid w:val="00AB5880"/>
    <w:rsid w:val="00AB5E02"/>
    <w:rsid w:val="00AB600D"/>
    <w:rsid w:val="00AB61B3"/>
    <w:rsid w:val="00AB7DEA"/>
    <w:rsid w:val="00AC17FD"/>
    <w:rsid w:val="00AC1B42"/>
    <w:rsid w:val="00AC20E0"/>
    <w:rsid w:val="00AC2755"/>
    <w:rsid w:val="00AC2D6D"/>
    <w:rsid w:val="00AC2ECE"/>
    <w:rsid w:val="00AC3C54"/>
    <w:rsid w:val="00AC44E8"/>
    <w:rsid w:val="00AC4BC7"/>
    <w:rsid w:val="00AC7BD3"/>
    <w:rsid w:val="00AD249C"/>
    <w:rsid w:val="00AD2C78"/>
    <w:rsid w:val="00AD370D"/>
    <w:rsid w:val="00AD3ABF"/>
    <w:rsid w:val="00AD500F"/>
    <w:rsid w:val="00AD5063"/>
    <w:rsid w:val="00AD5556"/>
    <w:rsid w:val="00AD5641"/>
    <w:rsid w:val="00AD5C20"/>
    <w:rsid w:val="00AD6DEB"/>
    <w:rsid w:val="00AD6EAA"/>
    <w:rsid w:val="00AE0222"/>
    <w:rsid w:val="00AE02C5"/>
    <w:rsid w:val="00AE0598"/>
    <w:rsid w:val="00AE0A6D"/>
    <w:rsid w:val="00AE15E1"/>
    <w:rsid w:val="00AE1C58"/>
    <w:rsid w:val="00AE1FC6"/>
    <w:rsid w:val="00AE3510"/>
    <w:rsid w:val="00AE4D6E"/>
    <w:rsid w:val="00AE5773"/>
    <w:rsid w:val="00AE636D"/>
    <w:rsid w:val="00AE6C14"/>
    <w:rsid w:val="00AF024F"/>
    <w:rsid w:val="00AF0C16"/>
    <w:rsid w:val="00AF1FBA"/>
    <w:rsid w:val="00AF2DBB"/>
    <w:rsid w:val="00AF31C3"/>
    <w:rsid w:val="00AF34AA"/>
    <w:rsid w:val="00AF77C8"/>
    <w:rsid w:val="00AF7D7A"/>
    <w:rsid w:val="00B00005"/>
    <w:rsid w:val="00B00B38"/>
    <w:rsid w:val="00B00BB6"/>
    <w:rsid w:val="00B00EC6"/>
    <w:rsid w:val="00B03608"/>
    <w:rsid w:val="00B03BA0"/>
    <w:rsid w:val="00B06770"/>
    <w:rsid w:val="00B12E43"/>
    <w:rsid w:val="00B13AF7"/>
    <w:rsid w:val="00B13F4A"/>
    <w:rsid w:val="00B13FF5"/>
    <w:rsid w:val="00B142FE"/>
    <w:rsid w:val="00B14CA2"/>
    <w:rsid w:val="00B21226"/>
    <w:rsid w:val="00B2122D"/>
    <w:rsid w:val="00B237E8"/>
    <w:rsid w:val="00B25503"/>
    <w:rsid w:val="00B25E03"/>
    <w:rsid w:val="00B2631E"/>
    <w:rsid w:val="00B26735"/>
    <w:rsid w:val="00B30E8A"/>
    <w:rsid w:val="00B33B3C"/>
    <w:rsid w:val="00B33EC7"/>
    <w:rsid w:val="00B345EA"/>
    <w:rsid w:val="00B34858"/>
    <w:rsid w:val="00B36789"/>
    <w:rsid w:val="00B4127F"/>
    <w:rsid w:val="00B41CB0"/>
    <w:rsid w:val="00B429A4"/>
    <w:rsid w:val="00B44765"/>
    <w:rsid w:val="00B4479C"/>
    <w:rsid w:val="00B447F9"/>
    <w:rsid w:val="00B448E8"/>
    <w:rsid w:val="00B46ACE"/>
    <w:rsid w:val="00B46D35"/>
    <w:rsid w:val="00B46DE5"/>
    <w:rsid w:val="00B47209"/>
    <w:rsid w:val="00B47546"/>
    <w:rsid w:val="00B47614"/>
    <w:rsid w:val="00B50F3D"/>
    <w:rsid w:val="00B51826"/>
    <w:rsid w:val="00B51B7D"/>
    <w:rsid w:val="00B51DBB"/>
    <w:rsid w:val="00B53AAE"/>
    <w:rsid w:val="00B54537"/>
    <w:rsid w:val="00B55616"/>
    <w:rsid w:val="00B557F8"/>
    <w:rsid w:val="00B561DD"/>
    <w:rsid w:val="00B56EA7"/>
    <w:rsid w:val="00B56F20"/>
    <w:rsid w:val="00B606B0"/>
    <w:rsid w:val="00B608D4"/>
    <w:rsid w:val="00B60DF0"/>
    <w:rsid w:val="00B619A1"/>
    <w:rsid w:val="00B61B0D"/>
    <w:rsid w:val="00B6208E"/>
    <w:rsid w:val="00B62BDE"/>
    <w:rsid w:val="00B63546"/>
    <w:rsid w:val="00B639F6"/>
    <w:rsid w:val="00B65C77"/>
    <w:rsid w:val="00B67117"/>
    <w:rsid w:val="00B7097A"/>
    <w:rsid w:val="00B7286F"/>
    <w:rsid w:val="00B7443F"/>
    <w:rsid w:val="00B747BA"/>
    <w:rsid w:val="00B74849"/>
    <w:rsid w:val="00B74D21"/>
    <w:rsid w:val="00B74F72"/>
    <w:rsid w:val="00B760DC"/>
    <w:rsid w:val="00B76B55"/>
    <w:rsid w:val="00B77183"/>
    <w:rsid w:val="00B773B6"/>
    <w:rsid w:val="00B801F2"/>
    <w:rsid w:val="00B804C3"/>
    <w:rsid w:val="00B80F61"/>
    <w:rsid w:val="00B8260A"/>
    <w:rsid w:val="00B831D6"/>
    <w:rsid w:val="00B84779"/>
    <w:rsid w:val="00B84D3E"/>
    <w:rsid w:val="00B863BA"/>
    <w:rsid w:val="00B869DA"/>
    <w:rsid w:val="00B8736B"/>
    <w:rsid w:val="00B906B5"/>
    <w:rsid w:val="00B90AD4"/>
    <w:rsid w:val="00B9260A"/>
    <w:rsid w:val="00B93025"/>
    <w:rsid w:val="00B9391E"/>
    <w:rsid w:val="00B94F0C"/>
    <w:rsid w:val="00B95AC2"/>
    <w:rsid w:val="00B95D16"/>
    <w:rsid w:val="00B95E56"/>
    <w:rsid w:val="00B96441"/>
    <w:rsid w:val="00BA355A"/>
    <w:rsid w:val="00BA4CA0"/>
    <w:rsid w:val="00BA5561"/>
    <w:rsid w:val="00BA647E"/>
    <w:rsid w:val="00BA7611"/>
    <w:rsid w:val="00BB245B"/>
    <w:rsid w:val="00BB2EC3"/>
    <w:rsid w:val="00BB2FA1"/>
    <w:rsid w:val="00BB354B"/>
    <w:rsid w:val="00BB4992"/>
    <w:rsid w:val="00BB547F"/>
    <w:rsid w:val="00BB6F78"/>
    <w:rsid w:val="00BB7FD3"/>
    <w:rsid w:val="00BC14EC"/>
    <w:rsid w:val="00BC1EBE"/>
    <w:rsid w:val="00BC1F0D"/>
    <w:rsid w:val="00BC3117"/>
    <w:rsid w:val="00BC6374"/>
    <w:rsid w:val="00BC647B"/>
    <w:rsid w:val="00BC65E8"/>
    <w:rsid w:val="00BC6922"/>
    <w:rsid w:val="00BC71E1"/>
    <w:rsid w:val="00BC7C81"/>
    <w:rsid w:val="00BD006D"/>
    <w:rsid w:val="00BD027B"/>
    <w:rsid w:val="00BD2897"/>
    <w:rsid w:val="00BD413A"/>
    <w:rsid w:val="00BD480D"/>
    <w:rsid w:val="00BD4ED0"/>
    <w:rsid w:val="00BD62C7"/>
    <w:rsid w:val="00BD685B"/>
    <w:rsid w:val="00BD78C5"/>
    <w:rsid w:val="00BE0E7D"/>
    <w:rsid w:val="00BE102E"/>
    <w:rsid w:val="00BE1629"/>
    <w:rsid w:val="00BE1B77"/>
    <w:rsid w:val="00BE21D1"/>
    <w:rsid w:val="00BE45D0"/>
    <w:rsid w:val="00BE4AAA"/>
    <w:rsid w:val="00BE52DD"/>
    <w:rsid w:val="00BE5D6C"/>
    <w:rsid w:val="00BE6CF9"/>
    <w:rsid w:val="00BE6DB9"/>
    <w:rsid w:val="00BE6ED1"/>
    <w:rsid w:val="00BE719A"/>
    <w:rsid w:val="00BE720A"/>
    <w:rsid w:val="00BE7F6D"/>
    <w:rsid w:val="00BF06C5"/>
    <w:rsid w:val="00BF0A97"/>
    <w:rsid w:val="00BF0EA5"/>
    <w:rsid w:val="00BF1327"/>
    <w:rsid w:val="00BF1FB0"/>
    <w:rsid w:val="00BF2D94"/>
    <w:rsid w:val="00BF3019"/>
    <w:rsid w:val="00BF3B83"/>
    <w:rsid w:val="00BF3C6A"/>
    <w:rsid w:val="00BF4341"/>
    <w:rsid w:val="00BF5238"/>
    <w:rsid w:val="00BF60F7"/>
    <w:rsid w:val="00C025DF"/>
    <w:rsid w:val="00C033A1"/>
    <w:rsid w:val="00C04082"/>
    <w:rsid w:val="00C04838"/>
    <w:rsid w:val="00C0506C"/>
    <w:rsid w:val="00C0524D"/>
    <w:rsid w:val="00C0548B"/>
    <w:rsid w:val="00C07FFB"/>
    <w:rsid w:val="00C1051A"/>
    <w:rsid w:val="00C10EE1"/>
    <w:rsid w:val="00C11612"/>
    <w:rsid w:val="00C1161E"/>
    <w:rsid w:val="00C11C06"/>
    <w:rsid w:val="00C11C7D"/>
    <w:rsid w:val="00C1203F"/>
    <w:rsid w:val="00C15110"/>
    <w:rsid w:val="00C15392"/>
    <w:rsid w:val="00C15792"/>
    <w:rsid w:val="00C16808"/>
    <w:rsid w:val="00C1727C"/>
    <w:rsid w:val="00C200FD"/>
    <w:rsid w:val="00C2088A"/>
    <w:rsid w:val="00C20DAB"/>
    <w:rsid w:val="00C22F5F"/>
    <w:rsid w:val="00C24BDC"/>
    <w:rsid w:val="00C25107"/>
    <w:rsid w:val="00C25FE8"/>
    <w:rsid w:val="00C26363"/>
    <w:rsid w:val="00C26A6C"/>
    <w:rsid w:val="00C26B5A"/>
    <w:rsid w:val="00C27411"/>
    <w:rsid w:val="00C27467"/>
    <w:rsid w:val="00C27B60"/>
    <w:rsid w:val="00C301C4"/>
    <w:rsid w:val="00C30D99"/>
    <w:rsid w:val="00C315E6"/>
    <w:rsid w:val="00C3192A"/>
    <w:rsid w:val="00C3218F"/>
    <w:rsid w:val="00C329AA"/>
    <w:rsid w:val="00C32ACE"/>
    <w:rsid w:val="00C33B0F"/>
    <w:rsid w:val="00C33EB1"/>
    <w:rsid w:val="00C33F72"/>
    <w:rsid w:val="00C34215"/>
    <w:rsid w:val="00C342FA"/>
    <w:rsid w:val="00C3600A"/>
    <w:rsid w:val="00C3664A"/>
    <w:rsid w:val="00C41883"/>
    <w:rsid w:val="00C42BF8"/>
    <w:rsid w:val="00C42DCB"/>
    <w:rsid w:val="00C451E2"/>
    <w:rsid w:val="00C46CED"/>
    <w:rsid w:val="00C47CF7"/>
    <w:rsid w:val="00C50043"/>
    <w:rsid w:val="00C527EB"/>
    <w:rsid w:val="00C5292E"/>
    <w:rsid w:val="00C5399D"/>
    <w:rsid w:val="00C5486A"/>
    <w:rsid w:val="00C54DCA"/>
    <w:rsid w:val="00C55DA3"/>
    <w:rsid w:val="00C55FC9"/>
    <w:rsid w:val="00C56A1D"/>
    <w:rsid w:val="00C56C1A"/>
    <w:rsid w:val="00C5700F"/>
    <w:rsid w:val="00C570AC"/>
    <w:rsid w:val="00C575CE"/>
    <w:rsid w:val="00C60544"/>
    <w:rsid w:val="00C613D9"/>
    <w:rsid w:val="00C61B06"/>
    <w:rsid w:val="00C61CDD"/>
    <w:rsid w:val="00C62518"/>
    <w:rsid w:val="00C629A8"/>
    <w:rsid w:val="00C66D54"/>
    <w:rsid w:val="00C67830"/>
    <w:rsid w:val="00C70C21"/>
    <w:rsid w:val="00C71203"/>
    <w:rsid w:val="00C71939"/>
    <w:rsid w:val="00C71D87"/>
    <w:rsid w:val="00C740F3"/>
    <w:rsid w:val="00C743D8"/>
    <w:rsid w:val="00C745AC"/>
    <w:rsid w:val="00C7573B"/>
    <w:rsid w:val="00C80D5C"/>
    <w:rsid w:val="00C81672"/>
    <w:rsid w:val="00C81A4C"/>
    <w:rsid w:val="00C81CC7"/>
    <w:rsid w:val="00C825E2"/>
    <w:rsid w:val="00C83321"/>
    <w:rsid w:val="00C83987"/>
    <w:rsid w:val="00C8527B"/>
    <w:rsid w:val="00C856F3"/>
    <w:rsid w:val="00C85914"/>
    <w:rsid w:val="00C901B0"/>
    <w:rsid w:val="00C9192F"/>
    <w:rsid w:val="00C9314C"/>
    <w:rsid w:val="00C934F0"/>
    <w:rsid w:val="00C95250"/>
    <w:rsid w:val="00C95AD3"/>
    <w:rsid w:val="00C9666C"/>
    <w:rsid w:val="00C96B5E"/>
    <w:rsid w:val="00C97A6C"/>
    <w:rsid w:val="00CA13CC"/>
    <w:rsid w:val="00CA20FC"/>
    <w:rsid w:val="00CA2A17"/>
    <w:rsid w:val="00CA2E52"/>
    <w:rsid w:val="00CA302C"/>
    <w:rsid w:val="00CA3224"/>
    <w:rsid w:val="00CA3BEB"/>
    <w:rsid w:val="00CA52CF"/>
    <w:rsid w:val="00CA6F22"/>
    <w:rsid w:val="00CB00BA"/>
    <w:rsid w:val="00CB05CF"/>
    <w:rsid w:val="00CB0C4D"/>
    <w:rsid w:val="00CB126A"/>
    <w:rsid w:val="00CB1773"/>
    <w:rsid w:val="00CB1ED2"/>
    <w:rsid w:val="00CB23CE"/>
    <w:rsid w:val="00CB3321"/>
    <w:rsid w:val="00CB3520"/>
    <w:rsid w:val="00CB3549"/>
    <w:rsid w:val="00CB3B11"/>
    <w:rsid w:val="00CB3E18"/>
    <w:rsid w:val="00CB5883"/>
    <w:rsid w:val="00CB5D89"/>
    <w:rsid w:val="00CB6D92"/>
    <w:rsid w:val="00CC06B1"/>
    <w:rsid w:val="00CC14C4"/>
    <w:rsid w:val="00CC183F"/>
    <w:rsid w:val="00CC252C"/>
    <w:rsid w:val="00CC28AF"/>
    <w:rsid w:val="00CC3013"/>
    <w:rsid w:val="00CC41D2"/>
    <w:rsid w:val="00CC4EB1"/>
    <w:rsid w:val="00CC54E3"/>
    <w:rsid w:val="00CC715C"/>
    <w:rsid w:val="00CC7302"/>
    <w:rsid w:val="00CC76D9"/>
    <w:rsid w:val="00CD01F5"/>
    <w:rsid w:val="00CD04A5"/>
    <w:rsid w:val="00CD0A99"/>
    <w:rsid w:val="00CD3326"/>
    <w:rsid w:val="00CD3815"/>
    <w:rsid w:val="00CD3890"/>
    <w:rsid w:val="00CD4175"/>
    <w:rsid w:val="00CD5270"/>
    <w:rsid w:val="00CD5812"/>
    <w:rsid w:val="00CD58D4"/>
    <w:rsid w:val="00CD66C5"/>
    <w:rsid w:val="00CD6FA3"/>
    <w:rsid w:val="00CD7048"/>
    <w:rsid w:val="00CE0078"/>
    <w:rsid w:val="00CE05C2"/>
    <w:rsid w:val="00CE0B07"/>
    <w:rsid w:val="00CE18C4"/>
    <w:rsid w:val="00CE193C"/>
    <w:rsid w:val="00CE206C"/>
    <w:rsid w:val="00CE2573"/>
    <w:rsid w:val="00CE2723"/>
    <w:rsid w:val="00CE29B3"/>
    <w:rsid w:val="00CE41DB"/>
    <w:rsid w:val="00CE6A83"/>
    <w:rsid w:val="00CE6E8A"/>
    <w:rsid w:val="00CE7008"/>
    <w:rsid w:val="00CF0BB2"/>
    <w:rsid w:val="00CF1017"/>
    <w:rsid w:val="00CF15AF"/>
    <w:rsid w:val="00CF164C"/>
    <w:rsid w:val="00CF1FC1"/>
    <w:rsid w:val="00CF232F"/>
    <w:rsid w:val="00CF2B75"/>
    <w:rsid w:val="00CF4352"/>
    <w:rsid w:val="00CF596E"/>
    <w:rsid w:val="00CF5DB1"/>
    <w:rsid w:val="00CF67D9"/>
    <w:rsid w:val="00CF7332"/>
    <w:rsid w:val="00CF7967"/>
    <w:rsid w:val="00D02BDC"/>
    <w:rsid w:val="00D07384"/>
    <w:rsid w:val="00D07ECF"/>
    <w:rsid w:val="00D1020D"/>
    <w:rsid w:val="00D10CED"/>
    <w:rsid w:val="00D121D3"/>
    <w:rsid w:val="00D12368"/>
    <w:rsid w:val="00D13441"/>
    <w:rsid w:val="00D1354A"/>
    <w:rsid w:val="00D14256"/>
    <w:rsid w:val="00D14549"/>
    <w:rsid w:val="00D14FE1"/>
    <w:rsid w:val="00D15548"/>
    <w:rsid w:val="00D15844"/>
    <w:rsid w:val="00D15F08"/>
    <w:rsid w:val="00D16547"/>
    <w:rsid w:val="00D16C95"/>
    <w:rsid w:val="00D172CA"/>
    <w:rsid w:val="00D17B09"/>
    <w:rsid w:val="00D2034A"/>
    <w:rsid w:val="00D2063A"/>
    <w:rsid w:val="00D20742"/>
    <w:rsid w:val="00D21E11"/>
    <w:rsid w:val="00D222B6"/>
    <w:rsid w:val="00D2302D"/>
    <w:rsid w:val="00D23074"/>
    <w:rsid w:val="00D23A85"/>
    <w:rsid w:val="00D23A98"/>
    <w:rsid w:val="00D23BFA"/>
    <w:rsid w:val="00D24275"/>
    <w:rsid w:val="00D249F9"/>
    <w:rsid w:val="00D24A92"/>
    <w:rsid w:val="00D253D6"/>
    <w:rsid w:val="00D273D2"/>
    <w:rsid w:val="00D2767E"/>
    <w:rsid w:val="00D2773C"/>
    <w:rsid w:val="00D27935"/>
    <w:rsid w:val="00D3091A"/>
    <w:rsid w:val="00D30D0E"/>
    <w:rsid w:val="00D31469"/>
    <w:rsid w:val="00D324C1"/>
    <w:rsid w:val="00D332F3"/>
    <w:rsid w:val="00D341FE"/>
    <w:rsid w:val="00D345AD"/>
    <w:rsid w:val="00D345B3"/>
    <w:rsid w:val="00D34D4B"/>
    <w:rsid w:val="00D35347"/>
    <w:rsid w:val="00D353AB"/>
    <w:rsid w:val="00D36BA1"/>
    <w:rsid w:val="00D41316"/>
    <w:rsid w:val="00D41939"/>
    <w:rsid w:val="00D41E7B"/>
    <w:rsid w:val="00D42308"/>
    <w:rsid w:val="00D42B45"/>
    <w:rsid w:val="00D42F78"/>
    <w:rsid w:val="00D43761"/>
    <w:rsid w:val="00D452D3"/>
    <w:rsid w:val="00D4584A"/>
    <w:rsid w:val="00D465E5"/>
    <w:rsid w:val="00D4741C"/>
    <w:rsid w:val="00D476CB"/>
    <w:rsid w:val="00D479EA"/>
    <w:rsid w:val="00D5068F"/>
    <w:rsid w:val="00D50771"/>
    <w:rsid w:val="00D5131B"/>
    <w:rsid w:val="00D517EF"/>
    <w:rsid w:val="00D51C95"/>
    <w:rsid w:val="00D528C0"/>
    <w:rsid w:val="00D53143"/>
    <w:rsid w:val="00D54593"/>
    <w:rsid w:val="00D54936"/>
    <w:rsid w:val="00D54A98"/>
    <w:rsid w:val="00D553BF"/>
    <w:rsid w:val="00D5624E"/>
    <w:rsid w:val="00D56600"/>
    <w:rsid w:val="00D57751"/>
    <w:rsid w:val="00D5776D"/>
    <w:rsid w:val="00D57DE4"/>
    <w:rsid w:val="00D623C4"/>
    <w:rsid w:val="00D624EF"/>
    <w:rsid w:val="00D62C49"/>
    <w:rsid w:val="00D63723"/>
    <w:rsid w:val="00D639CB"/>
    <w:rsid w:val="00D63A8B"/>
    <w:rsid w:val="00D64D03"/>
    <w:rsid w:val="00D65987"/>
    <w:rsid w:val="00D65A04"/>
    <w:rsid w:val="00D65BA8"/>
    <w:rsid w:val="00D65BAF"/>
    <w:rsid w:val="00D65E0B"/>
    <w:rsid w:val="00D666C6"/>
    <w:rsid w:val="00D70677"/>
    <w:rsid w:val="00D70DFB"/>
    <w:rsid w:val="00D71504"/>
    <w:rsid w:val="00D729C8"/>
    <w:rsid w:val="00D72C8E"/>
    <w:rsid w:val="00D73737"/>
    <w:rsid w:val="00D7470E"/>
    <w:rsid w:val="00D74BC1"/>
    <w:rsid w:val="00D75639"/>
    <w:rsid w:val="00D75C0B"/>
    <w:rsid w:val="00D76150"/>
    <w:rsid w:val="00D761EF"/>
    <w:rsid w:val="00D766DF"/>
    <w:rsid w:val="00D76A26"/>
    <w:rsid w:val="00D803D2"/>
    <w:rsid w:val="00D81643"/>
    <w:rsid w:val="00D81D58"/>
    <w:rsid w:val="00D82A54"/>
    <w:rsid w:val="00D82E2F"/>
    <w:rsid w:val="00D83230"/>
    <w:rsid w:val="00D834CF"/>
    <w:rsid w:val="00D83512"/>
    <w:rsid w:val="00D83534"/>
    <w:rsid w:val="00D84623"/>
    <w:rsid w:val="00D84693"/>
    <w:rsid w:val="00D85A0E"/>
    <w:rsid w:val="00D863D2"/>
    <w:rsid w:val="00D869EC"/>
    <w:rsid w:val="00D86DC9"/>
    <w:rsid w:val="00D87253"/>
    <w:rsid w:val="00D90167"/>
    <w:rsid w:val="00D90E09"/>
    <w:rsid w:val="00D90FD0"/>
    <w:rsid w:val="00D91BDF"/>
    <w:rsid w:val="00D93CE0"/>
    <w:rsid w:val="00D95329"/>
    <w:rsid w:val="00D95E8D"/>
    <w:rsid w:val="00D965EA"/>
    <w:rsid w:val="00D96EF7"/>
    <w:rsid w:val="00DA01A0"/>
    <w:rsid w:val="00DA1B94"/>
    <w:rsid w:val="00DA278C"/>
    <w:rsid w:val="00DA2CF5"/>
    <w:rsid w:val="00DA3D31"/>
    <w:rsid w:val="00DA4130"/>
    <w:rsid w:val="00DA4D19"/>
    <w:rsid w:val="00DA592B"/>
    <w:rsid w:val="00DA6CC7"/>
    <w:rsid w:val="00DA7588"/>
    <w:rsid w:val="00DA7CE8"/>
    <w:rsid w:val="00DB0B4E"/>
    <w:rsid w:val="00DB1A6C"/>
    <w:rsid w:val="00DB26C9"/>
    <w:rsid w:val="00DB2C7A"/>
    <w:rsid w:val="00DB44D5"/>
    <w:rsid w:val="00DB4DB6"/>
    <w:rsid w:val="00DB55C8"/>
    <w:rsid w:val="00DB5ACD"/>
    <w:rsid w:val="00DB6026"/>
    <w:rsid w:val="00DB63DB"/>
    <w:rsid w:val="00DB6B52"/>
    <w:rsid w:val="00DB70F9"/>
    <w:rsid w:val="00DB7610"/>
    <w:rsid w:val="00DB7B1E"/>
    <w:rsid w:val="00DB7CBE"/>
    <w:rsid w:val="00DC09E3"/>
    <w:rsid w:val="00DC09E7"/>
    <w:rsid w:val="00DC10AB"/>
    <w:rsid w:val="00DC2A0A"/>
    <w:rsid w:val="00DC2AAA"/>
    <w:rsid w:val="00DC31FD"/>
    <w:rsid w:val="00DC51FA"/>
    <w:rsid w:val="00DC5364"/>
    <w:rsid w:val="00DC5A4F"/>
    <w:rsid w:val="00DC5A85"/>
    <w:rsid w:val="00DC6DED"/>
    <w:rsid w:val="00DC7765"/>
    <w:rsid w:val="00DD021D"/>
    <w:rsid w:val="00DD038E"/>
    <w:rsid w:val="00DD06BF"/>
    <w:rsid w:val="00DD06EE"/>
    <w:rsid w:val="00DD0CCB"/>
    <w:rsid w:val="00DD1ADC"/>
    <w:rsid w:val="00DD24FC"/>
    <w:rsid w:val="00DD2BBA"/>
    <w:rsid w:val="00DD2FD5"/>
    <w:rsid w:val="00DD303D"/>
    <w:rsid w:val="00DD39F8"/>
    <w:rsid w:val="00DD3AD7"/>
    <w:rsid w:val="00DD4656"/>
    <w:rsid w:val="00DD58F3"/>
    <w:rsid w:val="00DD5A0A"/>
    <w:rsid w:val="00DD6F9D"/>
    <w:rsid w:val="00DE097A"/>
    <w:rsid w:val="00DE1224"/>
    <w:rsid w:val="00DE21C4"/>
    <w:rsid w:val="00DE2791"/>
    <w:rsid w:val="00DE2DC2"/>
    <w:rsid w:val="00DE3286"/>
    <w:rsid w:val="00DE3D92"/>
    <w:rsid w:val="00DE5674"/>
    <w:rsid w:val="00DE6589"/>
    <w:rsid w:val="00DE65D7"/>
    <w:rsid w:val="00DE6A77"/>
    <w:rsid w:val="00DE766A"/>
    <w:rsid w:val="00DF0780"/>
    <w:rsid w:val="00DF0E7B"/>
    <w:rsid w:val="00DF12EF"/>
    <w:rsid w:val="00DF16BE"/>
    <w:rsid w:val="00DF19E3"/>
    <w:rsid w:val="00DF2CC5"/>
    <w:rsid w:val="00DF356F"/>
    <w:rsid w:val="00DF3599"/>
    <w:rsid w:val="00DF3734"/>
    <w:rsid w:val="00DF39BF"/>
    <w:rsid w:val="00DF4423"/>
    <w:rsid w:val="00DF51C4"/>
    <w:rsid w:val="00DF6481"/>
    <w:rsid w:val="00E00010"/>
    <w:rsid w:val="00E002C7"/>
    <w:rsid w:val="00E00E1A"/>
    <w:rsid w:val="00E01E63"/>
    <w:rsid w:val="00E0263E"/>
    <w:rsid w:val="00E02990"/>
    <w:rsid w:val="00E029C7"/>
    <w:rsid w:val="00E02BC1"/>
    <w:rsid w:val="00E03B84"/>
    <w:rsid w:val="00E0581B"/>
    <w:rsid w:val="00E062B9"/>
    <w:rsid w:val="00E067BD"/>
    <w:rsid w:val="00E06893"/>
    <w:rsid w:val="00E0773C"/>
    <w:rsid w:val="00E07833"/>
    <w:rsid w:val="00E07BAB"/>
    <w:rsid w:val="00E107AA"/>
    <w:rsid w:val="00E10ECD"/>
    <w:rsid w:val="00E10F41"/>
    <w:rsid w:val="00E123D0"/>
    <w:rsid w:val="00E12592"/>
    <w:rsid w:val="00E13404"/>
    <w:rsid w:val="00E139D3"/>
    <w:rsid w:val="00E1461B"/>
    <w:rsid w:val="00E14A65"/>
    <w:rsid w:val="00E15440"/>
    <w:rsid w:val="00E16490"/>
    <w:rsid w:val="00E16F8B"/>
    <w:rsid w:val="00E17302"/>
    <w:rsid w:val="00E20239"/>
    <w:rsid w:val="00E21206"/>
    <w:rsid w:val="00E215BD"/>
    <w:rsid w:val="00E21C69"/>
    <w:rsid w:val="00E21E71"/>
    <w:rsid w:val="00E23629"/>
    <w:rsid w:val="00E250E9"/>
    <w:rsid w:val="00E25493"/>
    <w:rsid w:val="00E262AE"/>
    <w:rsid w:val="00E271E4"/>
    <w:rsid w:val="00E277CA"/>
    <w:rsid w:val="00E30D59"/>
    <w:rsid w:val="00E31530"/>
    <w:rsid w:val="00E3205E"/>
    <w:rsid w:val="00E32FD9"/>
    <w:rsid w:val="00E33E94"/>
    <w:rsid w:val="00E34787"/>
    <w:rsid w:val="00E355BE"/>
    <w:rsid w:val="00E36C18"/>
    <w:rsid w:val="00E40EAB"/>
    <w:rsid w:val="00E41755"/>
    <w:rsid w:val="00E41865"/>
    <w:rsid w:val="00E43BB7"/>
    <w:rsid w:val="00E43EEE"/>
    <w:rsid w:val="00E440CE"/>
    <w:rsid w:val="00E468E4"/>
    <w:rsid w:val="00E47183"/>
    <w:rsid w:val="00E50844"/>
    <w:rsid w:val="00E51055"/>
    <w:rsid w:val="00E51F3B"/>
    <w:rsid w:val="00E527DB"/>
    <w:rsid w:val="00E52DE6"/>
    <w:rsid w:val="00E53B28"/>
    <w:rsid w:val="00E5490F"/>
    <w:rsid w:val="00E564DA"/>
    <w:rsid w:val="00E56617"/>
    <w:rsid w:val="00E61952"/>
    <w:rsid w:val="00E62A3C"/>
    <w:rsid w:val="00E62E34"/>
    <w:rsid w:val="00E641FD"/>
    <w:rsid w:val="00E64457"/>
    <w:rsid w:val="00E656B5"/>
    <w:rsid w:val="00E663AE"/>
    <w:rsid w:val="00E6705D"/>
    <w:rsid w:val="00E70D07"/>
    <w:rsid w:val="00E7156D"/>
    <w:rsid w:val="00E717C5"/>
    <w:rsid w:val="00E72291"/>
    <w:rsid w:val="00E73440"/>
    <w:rsid w:val="00E737E4"/>
    <w:rsid w:val="00E73AC7"/>
    <w:rsid w:val="00E7482D"/>
    <w:rsid w:val="00E74C4E"/>
    <w:rsid w:val="00E74DC7"/>
    <w:rsid w:val="00E75411"/>
    <w:rsid w:val="00E75DFA"/>
    <w:rsid w:val="00E8004A"/>
    <w:rsid w:val="00E805A0"/>
    <w:rsid w:val="00E80F84"/>
    <w:rsid w:val="00E81663"/>
    <w:rsid w:val="00E8267D"/>
    <w:rsid w:val="00E82E83"/>
    <w:rsid w:val="00E84228"/>
    <w:rsid w:val="00E844A0"/>
    <w:rsid w:val="00E8566F"/>
    <w:rsid w:val="00E86ABB"/>
    <w:rsid w:val="00E86BB6"/>
    <w:rsid w:val="00E90B40"/>
    <w:rsid w:val="00E9180A"/>
    <w:rsid w:val="00E91D89"/>
    <w:rsid w:val="00E9266F"/>
    <w:rsid w:val="00E92C08"/>
    <w:rsid w:val="00E94149"/>
    <w:rsid w:val="00E94A4C"/>
    <w:rsid w:val="00E94C94"/>
    <w:rsid w:val="00E954E7"/>
    <w:rsid w:val="00E970D8"/>
    <w:rsid w:val="00EA07D8"/>
    <w:rsid w:val="00EA0E04"/>
    <w:rsid w:val="00EA1165"/>
    <w:rsid w:val="00EA1216"/>
    <w:rsid w:val="00EA154F"/>
    <w:rsid w:val="00EA21BC"/>
    <w:rsid w:val="00EA22D2"/>
    <w:rsid w:val="00EA2A43"/>
    <w:rsid w:val="00EA3D29"/>
    <w:rsid w:val="00EA482A"/>
    <w:rsid w:val="00EA4AE6"/>
    <w:rsid w:val="00EA4D09"/>
    <w:rsid w:val="00EA6043"/>
    <w:rsid w:val="00EA7EDE"/>
    <w:rsid w:val="00EB11C3"/>
    <w:rsid w:val="00EB1638"/>
    <w:rsid w:val="00EB22C6"/>
    <w:rsid w:val="00EB306A"/>
    <w:rsid w:val="00EB4023"/>
    <w:rsid w:val="00EB4855"/>
    <w:rsid w:val="00EB5D1D"/>
    <w:rsid w:val="00EB7A66"/>
    <w:rsid w:val="00EC041A"/>
    <w:rsid w:val="00EC2729"/>
    <w:rsid w:val="00EC28EA"/>
    <w:rsid w:val="00EC7C33"/>
    <w:rsid w:val="00EC7E8A"/>
    <w:rsid w:val="00ED09BF"/>
    <w:rsid w:val="00ED121E"/>
    <w:rsid w:val="00ED12DB"/>
    <w:rsid w:val="00ED1D80"/>
    <w:rsid w:val="00ED28A5"/>
    <w:rsid w:val="00ED372A"/>
    <w:rsid w:val="00ED41BC"/>
    <w:rsid w:val="00ED449C"/>
    <w:rsid w:val="00ED54A9"/>
    <w:rsid w:val="00ED6D9F"/>
    <w:rsid w:val="00ED6E92"/>
    <w:rsid w:val="00ED6E9D"/>
    <w:rsid w:val="00ED7070"/>
    <w:rsid w:val="00ED7A5D"/>
    <w:rsid w:val="00EE05CE"/>
    <w:rsid w:val="00EE0E51"/>
    <w:rsid w:val="00EE0EE1"/>
    <w:rsid w:val="00EE2132"/>
    <w:rsid w:val="00EE279C"/>
    <w:rsid w:val="00EE446E"/>
    <w:rsid w:val="00EE7EF9"/>
    <w:rsid w:val="00EF1295"/>
    <w:rsid w:val="00EF2C6E"/>
    <w:rsid w:val="00EF2E3A"/>
    <w:rsid w:val="00EF3530"/>
    <w:rsid w:val="00EF3C18"/>
    <w:rsid w:val="00EF3DC1"/>
    <w:rsid w:val="00EF49B8"/>
    <w:rsid w:val="00EF7859"/>
    <w:rsid w:val="00F02110"/>
    <w:rsid w:val="00F02267"/>
    <w:rsid w:val="00F03256"/>
    <w:rsid w:val="00F03F92"/>
    <w:rsid w:val="00F04811"/>
    <w:rsid w:val="00F04FE7"/>
    <w:rsid w:val="00F05B03"/>
    <w:rsid w:val="00F068FE"/>
    <w:rsid w:val="00F071DA"/>
    <w:rsid w:val="00F0769C"/>
    <w:rsid w:val="00F078DC"/>
    <w:rsid w:val="00F07CBB"/>
    <w:rsid w:val="00F10336"/>
    <w:rsid w:val="00F10559"/>
    <w:rsid w:val="00F11A44"/>
    <w:rsid w:val="00F11E8B"/>
    <w:rsid w:val="00F13060"/>
    <w:rsid w:val="00F13406"/>
    <w:rsid w:val="00F1401E"/>
    <w:rsid w:val="00F14307"/>
    <w:rsid w:val="00F14570"/>
    <w:rsid w:val="00F1520D"/>
    <w:rsid w:val="00F15671"/>
    <w:rsid w:val="00F1574C"/>
    <w:rsid w:val="00F15953"/>
    <w:rsid w:val="00F16EE7"/>
    <w:rsid w:val="00F17F7F"/>
    <w:rsid w:val="00F21957"/>
    <w:rsid w:val="00F22156"/>
    <w:rsid w:val="00F23E5F"/>
    <w:rsid w:val="00F23FE8"/>
    <w:rsid w:val="00F240A8"/>
    <w:rsid w:val="00F24F4C"/>
    <w:rsid w:val="00F257B3"/>
    <w:rsid w:val="00F25AF1"/>
    <w:rsid w:val="00F2697E"/>
    <w:rsid w:val="00F27476"/>
    <w:rsid w:val="00F2777D"/>
    <w:rsid w:val="00F308D0"/>
    <w:rsid w:val="00F32BB7"/>
    <w:rsid w:val="00F32CA7"/>
    <w:rsid w:val="00F337A9"/>
    <w:rsid w:val="00F34218"/>
    <w:rsid w:val="00F35FE8"/>
    <w:rsid w:val="00F36269"/>
    <w:rsid w:val="00F36324"/>
    <w:rsid w:val="00F37921"/>
    <w:rsid w:val="00F4097B"/>
    <w:rsid w:val="00F409B4"/>
    <w:rsid w:val="00F41A6C"/>
    <w:rsid w:val="00F41BB5"/>
    <w:rsid w:val="00F431F8"/>
    <w:rsid w:val="00F434C0"/>
    <w:rsid w:val="00F4373B"/>
    <w:rsid w:val="00F44554"/>
    <w:rsid w:val="00F44A74"/>
    <w:rsid w:val="00F44E1B"/>
    <w:rsid w:val="00F45EF9"/>
    <w:rsid w:val="00F462D8"/>
    <w:rsid w:val="00F46CB6"/>
    <w:rsid w:val="00F50880"/>
    <w:rsid w:val="00F50902"/>
    <w:rsid w:val="00F51269"/>
    <w:rsid w:val="00F515BD"/>
    <w:rsid w:val="00F515DD"/>
    <w:rsid w:val="00F51C36"/>
    <w:rsid w:val="00F5211D"/>
    <w:rsid w:val="00F52B44"/>
    <w:rsid w:val="00F52CD9"/>
    <w:rsid w:val="00F53136"/>
    <w:rsid w:val="00F535BC"/>
    <w:rsid w:val="00F550E3"/>
    <w:rsid w:val="00F55387"/>
    <w:rsid w:val="00F5665A"/>
    <w:rsid w:val="00F570DC"/>
    <w:rsid w:val="00F5775D"/>
    <w:rsid w:val="00F60400"/>
    <w:rsid w:val="00F60D28"/>
    <w:rsid w:val="00F6117F"/>
    <w:rsid w:val="00F62728"/>
    <w:rsid w:val="00F641C2"/>
    <w:rsid w:val="00F6537E"/>
    <w:rsid w:val="00F65531"/>
    <w:rsid w:val="00F66686"/>
    <w:rsid w:val="00F6707A"/>
    <w:rsid w:val="00F719B9"/>
    <w:rsid w:val="00F71BE1"/>
    <w:rsid w:val="00F72EF8"/>
    <w:rsid w:val="00F735C3"/>
    <w:rsid w:val="00F73990"/>
    <w:rsid w:val="00F742AF"/>
    <w:rsid w:val="00F74531"/>
    <w:rsid w:val="00F746C5"/>
    <w:rsid w:val="00F74BA7"/>
    <w:rsid w:val="00F757D4"/>
    <w:rsid w:val="00F758C3"/>
    <w:rsid w:val="00F75AC7"/>
    <w:rsid w:val="00F75BA9"/>
    <w:rsid w:val="00F76D17"/>
    <w:rsid w:val="00F77362"/>
    <w:rsid w:val="00F77CED"/>
    <w:rsid w:val="00F80A4A"/>
    <w:rsid w:val="00F84BB4"/>
    <w:rsid w:val="00F87692"/>
    <w:rsid w:val="00F87BF7"/>
    <w:rsid w:val="00F87CDA"/>
    <w:rsid w:val="00F92A8E"/>
    <w:rsid w:val="00F92D36"/>
    <w:rsid w:val="00F92F97"/>
    <w:rsid w:val="00F9361C"/>
    <w:rsid w:val="00F93CD7"/>
    <w:rsid w:val="00F961E9"/>
    <w:rsid w:val="00F965F6"/>
    <w:rsid w:val="00F968C6"/>
    <w:rsid w:val="00F96B52"/>
    <w:rsid w:val="00F972C8"/>
    <w:rsid w:val="00FA0184"/>
    <w:rsid w:val="00FA08F4"/>
    <w:rsid w:val="00FA0E42"/>
    <w:rsid w:val="00FA17EE"/>
    <w:rsid w:val="00FA1BEB"/>
    <w:rsid w:val="00FA22D3"/>
    <w:rsid w:val="00FA2355"/>
    <w:rsid w:val="00FA23B2"/>
    <w:rsid w:val="00FA2521"/>
    <w:rsid w:val="00FA2FB1"/>
    <w:rsid w:val="00FA3343"/>
    <w:rsid w:val="00FA37F0"/>
    <w:rsid w:val="00FA3855"/>
    <w:rsid w:val="00FA38A2"/>
    <w:rsid w:val="00FA3AEC"/>
    <w:rsid w:val="00FA43C8"/>
    <w:rsid w:val="00FA4D5C"/>
    <w:rsid w:val="00FA5A6B"/>
    <w:rsid w:val="00FA710E"/>
    <w:rsid w:val="00FA7244"/>
    <w:rsid w:val="00FA7E8B"/>
    <w:rsid w:val="00FB1091"/>
    <w:rsid w:val="00FB2910"/>
    <w:rsid w:val="00FB407D"/>
    <w:rsid w:val="00FB455C"/>
    <w:rsid w:val="00FB4900"/>
    <w:rsid w:val="00FB54C1"/>
    <w:rsid w:val="00FB5CFC"/>
    <w:rsid w:val="00FB5D3D"/>
    <w:rsid w:val="00FB7BC3"/>
    <w:rsid w:val="00FC1D28"/>
    <w:rsid w:val="00FC211B"/>
    <w:rsid w:val="00FC2544"/>
    <w:rsid w:val="00FC5E09"/>
    <w:rsid w:val="00FC60F3"/>
    <w:rsid w:val="00FC6B4B"/>
    <w:rsid w:val="00FC7069"/>
    <w:rsid w:val="00FC7415"/>
    <w:rsid w:val="00FC7453"/>
    <w:rsid w:val="00FC7B9A"/>
    <w:rsid w:val="00FD2398"/>
    <w:rsid w:val="00FD26C8"/>
    <w:rsid w:val="00FD274F"/>
    <w:rsid w:val="00FD4CE7"/>
    <w:rsid w:val="00FD4E8C"/>
    <w:rsid w:val="00FD508F"/>
    <w:rsid w:val="00FD52CE"/>
    <w:rsid w:val="00FD5983"/>
    <w:rsid w:val="00FD5F93"/>
    <w:rsid w:val="00FD6A45"/>
    <w:rsid w:val="00FD7BF5"/>
    <w:rsid w:val="00FE07C4"/>
    <w:rsid w:val="00FE0A23"/>
    <w:rsid w:val="00FE296A"/>
    <w:rsid w:val="00FE3281"/>
    <w:rsid w:val="00FE47A8"/>
    <w:rsid w:val="00FE4A3A"/>
    <w:rsid w:val="00FE5134"/>
    <w:rsid w:val="00FF030C"/>
    <w:rsid w:val="00FF0B83"/>
    <w:rsid w:val="00FF0E93"/>
    <w:rsid w:val="00FF12CA"/>
    <w:rsid w:val="00FF17C6"/>
    <w:rsid w:val="00FF1B1C"/>
    <w:rsid w:val="00FF2E29"/>
    <w:rsid w:val="00FF3086"/>
    <w:rsid w:val="00FF3268"/>
    <w:rsid w:val="00FF39C5"/>
    <w:rsid w:val="00FF4362"/>
    <w:rsid w:val="00FF4EAE"/>
    <w:rsid w:val="00FF61ED"/>
    <w:rsid w:val="00FF6DAE"/>
    <w:rsid w:val="00FF6E8A"/>
    <w:rsid w:val="00FF74D0"/>
    <w:rsid w:val="00FF767B"/>
    <w:rsid w:val="00FF7686"/>
    <w:rsid w:val="00FF7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7617"/>
    <o:shapelayout v:ext="edit">
      <o:idmap v:ext="edit" data="1"/>
    </o:shapelayout>
  </w:shapeDefaults>
  <w:decimalSymbol w:val="."/>
  <w:listSeparator w:val=","/>
  <w14:docId w14:val="4ADF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55B6"/>
    <w:pPr>
      <w:spacing w:line="260" w:lineRule="atLeast"/>
    </w:pPr>
    <w:rPr>
      <w:sz w:val="22"/>
    </w:rPr>
  </w:style>
  <w:style w:type="paragraph" w:styleId="Heading1">
    <w:name w:val="heading 1"/>
    <w:basedOn w:val="Body"/>
    <w:next w:val="Normal"/>
    <w:link w:val="Heading1Char"/>
    <w:qFormat/>
    <w:rsid w:val="00727ED5"/>
    <w:pPr>
      <w:keepNext/>
      <w:pageBreakBefore/>
      <w:overflowPunct w:val="0"/>
      <w:autoSpaceDE w:val="0"/>
      <w:autoSpaceDN w:val="0"/>
      <w:adjustRightInd w:val="0"/>
      <w:spacing w:before="720" w:after="120"/>
      <w:ind w:left="737" w:hanging="737"/>
      <w:textAlignment w:val="baseline"/>
      <w:outlineLvl w:val="0"/>
    </w:pPr>
    <w:rPr>
      <w:rFonts w:ascii="Helvetica" w:hAnsi="Helvetica"/>
      <w:b/>
      <w:sz w:val="40"/>
      <w:szCs w:val="32"/>
      <w:lang w:val="x-none"/>
    </w:rPr>
  </w:style>
  <w:style w:type="paragraph" w:styleId="Heading2">
    <w:name w:val="heading 2"/>
    <w:basedOn w:val="Body"/>
    <w:next w:val="Normal"/>
    <w:link w:val="Heading2Char"/>
    <w:qFormat/>
    <w:rsid w:val="00727ED5"/>
    <w:pPr>
      <w:keepNext/>
      <w:overflowPunct w:val="0"/>
      <w:autoSpaceDE w:val="0"/>
      <w:autoSpaceDN w:val="0"/>
      <w:adjustRightInd w:val="0"/>
      <w:spacing w:before="480"/>
      <w:ind w:left="737" w:hanging="737"/>
      <w:textAlignment w:val="baseline"/>
      <w:outlineLvl w:val="1"/>
    </w:pPr>
    <w:rPr>
      <w:rFonts w:ascii="Helvetica" w:hAnsi="Helvetica"/>
      <w:b/>
      <w:sz w:val="32"/>
      <w:szCs w:val="30"/>
      <w:lang w:val="x-none"/>
    </w:rPr>
  </w:style>
  <w:style w:type="paragraph" w:styleId="Heading3">
    <w:name w:val="heading 3"/>
    <w:basedOn w:val="Body"/>
    <w:next w:val="Normal"/>
    <w:link w:val="Heading3Char"/>
    <w:qFormat/>
    <w:rsid w:val="00727ED5"/>
    <w:pPr>
      <w:keepNext/>
      <w:overflowPunct w:val="0"/>
      <w:autoSpaceDE w:val="0"/>
      <w:autoSpaceDN w:val="0"/>
      <w:adjustRightInd w:val="0"/>
      <w:spacing w:before="360"/>
      <w:ind w:left="567" w:hanging="567"/>
      <w:textAlignment w:val="baseline"/>
      <w:outlineLvl w:val="2"/>
    </w:pPr>
    <w:rPr>
      <w:rFonts w:ascii="Optima" w:hAnsi="Optima"/>
      <w:b/>
      <w:sz w:val="28"/>
      <w:lang w:val="x-none"/>
    </w:rPr>
  </w:style>
  <w:style w:type="paragraph" w:styleId="Heading4">
    <w:name w:val="heading 4"/>
    <w:basedOn w:val="Body"/>
    <w:next w:val="Normal"/>
    <w:link w:val="Heading4Char"/>
    <w:qFormat/>
    <w:rsid w:val="00727ED5"/>
    <w:pPr>
      <w:keepNext/>
      <w:overflowPunct w:val="0"/>
      <w:autoSpaceDE w:val="0"/>
      <w:autoSpaceDN w:val="0"/>
      <w:adjustRightInd w:val="0"/>
      <w:spacing w:before="360"/>
      <w:ind w:left="567" w:hanging="567"/>
      <w:textAlignment w:val="baseline"/>
      <w:outlineLvl w:val="3"/>
    </w:pPr>
    <w:rPr>
      <w:rFonts w:ascii="Helvetica" w:hAnsi="Helvetica"/>
      <w:b/>
      <w:i/>
      <w:szCs w:val="24"/>
      <w:lang w:val="x-none"/>
    </w:rPr>
  </w:style>
  <w:style w:type="paragraph" w:styleId="Heading5">
    <w:name w:val="heading 5"/>
    <w:basedOn w:val="Heading1"/>
    <w:next w:val="subsection"/>
    <w:link w:val="Heading5Char"/>
    <w:uiPriority w:val="9"/>
    <w:qFormat/>
    <w:rsid w:val="00727ED5"/>
    <w:pPr>
      <w:keepLines/>
      <w:pageBreakBefore w:val="0"/>
      <w:overflowPunct/>
      <w:autoSpaceDE/>
      <w:autoSpaceDN/>
      <w:adjustRightInd/>
      <w:spacing w:before="280" w:after="60" w:line="260" w:lineRule="atLeast"/>
      <w:ind w:left="1134" w:hanging="1134"/>
      <w:textAlignment w:val="auto"/>
      <w:outlineLvl w:val="4"/>
    </w:pPr>
    <w:rPr>
      <w:rFonts w:ascii="Times New Roman" w:hAnsi="Times New Roman"/>
      <w:bCs/>
      <w:kern w:val="28"/>
      <w:sz w:val="24"/>
      <w:szCs w:val="24"/>
    </w:rPr>
  </w:style>
  <w:style w:type="paragraph" w:styleId="Heading6">
    <w:name w:val="heading 6"/>
    <w:basedOn w:val="Normal"/>
    <w:next w:val="Normal"/>
    <w:link w:val="Heading6Char"/>
    <w:uiPriority w:val="9"/>
    <w:semiHidden/>
    <w:unhideWhenUsed/>
    <w:qFormat/>
    <w:rsid w:val="00727ED5"/>
    <w:pPr>
      <w:keepNext/>
      <w:keepLines/>
      <w:spacing w:before="200" w:line="240" w:lineRule="auto"/>
      <w:ind w:left="1152" w:hanging="1152"/>
      <w:outlineLvl w:val="5"/>
    </w:pPr>
    <w:rPr>
      <w:rFonts w:ascii="Cambria" w:eastAsia="Times New Roman" w:hAnsi="Cambria" w:cs="Times New Roman"/>
      <w:i/>
      <w:iCs/>
      <w:color w:val="243F60"/>
      <w:szCs w:val="22"/>
      <w:lang w:val="x-none" w:eastAsia="x-none"/>
    </w:rPr>
  </w:style>
  <w:style w:type="paragraph" w:styleId="Heading7">
    <w:name w:val="heading 7"/>
    <w:basedOn w:val="Normal"/>
    <w:next w:val="Normal"/>
    <w:link w:val="Heading7Char"/>
    <w:uiPriority w:val="9"/>
    <w:semiHidden/>
    <w:unhideWhenUsed/>
    <w:qFormat/>
    <w:rsid w:val="00727ED5"/>
    <w:pPr>
      <w:keepNext/>
      <w:keepLines/>
      <w:spacing w:before="200" w:line="240" w:lineRule="auto"/>
      <w:ind w:left="1296" w:hanging="1296"/>
      <w:outlineLvl w:val="6"/>
    </w:pPr>
    <w:rPr>
      <w:rFonts w:ascii="Cambria" w:eastAsia="Times New Roman" w:hAnsi="Cambria" w:cs="Times New Roman"/>
      <w:i/>
      <w:iCs/>
      <w:color w:val="404040"/>
      <w:szCs w:val="22"/>
      <w:lang w:val="x-none" w:eastAsia="x-none"/>
    </w:rPr>
  </w:style>
  <w:style w:type="paragraph" w:styleId="Heading8">
    <w:name w:val="heading 8"/>
    <w:basedOn w:val="Normal"/>
    <w:next w:val="Normal"/>
    <w:link w:val="Heading8Char"/>
    <w:uiPriority w:val="9"/>
    <w:semiHidden/>
    <w:unhideWhenUsed/>
    <w:qFormat/>
    <w:rsid w:val="00727ED5"/>
    <w:pPr>
      <w:keepNext/>
      <w:keepLines/>
      <w:spacing w:before="200" w:line="240" w:lineRule="auto"/>
      <w:ind w:left="1440" w:hanging="1440"/>
      <w:outlineLvl w:val="7"/>
    </w:pPr>
    <w:rPr>
      <w:rFonts w:ascii="Cambria" w:eastAsia="Times New Roman" w:hAnsi="Cambria" w:cs="Times New Roman"/>
      <w:color w:val="404040"/>
      <w:sz w:val="20"/>
      <w:lang w:val="x-none" w:eastAsia="x-none"/>
    </w:rPr>
  </w:style>
  <w:style w:type="paragraph" w:styleId="Heading9">
    <w:name w:val="heading 9"/>
    <w:basedOn w:val="Normal"/>
    <w:next w:val="Normal"/>
    <w:link w:val="Heading9Char"/>
    <w:uiPriority w:val="9"/>
    <w:semiHidden/>
    <w:unhideWhenUsed/>
    <w:qFormat/>
    <w:rsid w:val="00727ED5"/>
    <w:pPr>
      <w:keepNext/>
      <w:keepLines/>
      <w:spacing w:before="200" w:line="240" w:lineRule="auto"/>
      <w:ind w:left="1584" w:hanging="1584"/>
      <w:outlineLvl w:val="8"/>
    </w:pPr>
    <w:rPr>
      <w:rFonts w:ascii="Cambria" w:eastAsia="Times New Roman" w:hAnsi="Cambria" w:cs="Times New Roman"/>
      <w:i/>
      <w:iCs/>
      <w:color w:val="404040"/>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55B6"/>
  </w:style>
  <w:style w:type="paragraph" w:customStyle="1" w:styleId="OPCParaBase">
    <w:name w:val="OPCParaBase"/>
    <w:qFormat/>
    <w:rsid w:val="004855B6"/>
    <w:pPr>
      <w:spacing w:line="260" w:lineRule="atLeast"/>
    </w:pPr>
    <w:rPr>
      <w:rFonts w:eastAsia="Times New Roman" w:cs="Times New Roman"/>
      <w:sz w:val="22"/>
      <w:lang w:eastAsia="en-AU"/>
    </w:rPr>
  </w:style>
  <w:style w:type="paragraph" w:customStyle="1" w:styleId="ShortT">
    <w:name w:val="ShortT"/>
    <w:basedOn w:val="OPCParaBase"/>
    <w:next w:val="Normal"/>
    <w:qFormat/>
    <w:rsid w:val="004855B6"/>
    <w:pPr>
      <w:spacing w:line="240" w:lineRule="auto"/>
    </w:pPr>
    <w:rPr>
      <w:b/>
      <w:sz w:val="40"/>
    </w:rPr>
  </w:style>
  <w:style w:type="paragraph" w:customStyle="1" w:styleId="ActHead1">
    <w:name w:val="ActHead 1"/>
    <w:aliases w:val="c"/>
    <w:basedOn w:val="OPCParaBase"/>
    <w:next w:val="Normal"/>
    <w:qFormat/>
    <w:rsid w:val="004855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855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55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55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855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855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55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55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55B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855B6"/>
  </w:style>
  <w:style w:type="paragraph" w:customStyle="1" w:styleId="Blocks">
    <w:name w:val="Blocks"/>
    <w:aliases w:val="bb"/>
    <w:basedOn w:val="OPCParaBase"/>
    <w:qFormat/>
    <w:rsid w:val="004855B6"/>
    <w:pPr>
      <w:spacing w:line="240" w:lineRule="auto"/>
    </w:pPr>
    <w:rPr>
      <w:sz w:val="24"/>
    </w:rPr>
  </w:style>
  <w:style w:type="paragraph" w:customStyle="1" w:styleId="BoxText">
    <w:name w:val="BoxText"/>
    <w:aliases w:val="bt"/>
    <w:basedOn w:val="OPCParaBase"/>
    <w:rsid w:val="004855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55B6"/>
    <w:rPr>
      <w:b/>
    </w:rPr>
  </w:style>
  <w:style w:type="paragraph" w:customStyle="1" w:styleId="BoxHeadItalic">
    <w:name w:val="BoxHeadItalic"/>
    <w:aliases w:val="bhi"/>
    <w:basedOn w:val="BoxText"/>
    <w:next w:val="Normal"/>
    <w:qFormat/>
    <w:rsid w:val="004855B6"/>
    <w:rPr>
      <w:i/>
    </w:rPr>
  </w:style>
  <w:style w:type="paragraph" w:customStyle="1" w:styleId="BoxList">
    <w:name w:val="BoxList"/>
    <w:aliases w:val="bl"/>
    <w:basedOn w:val="BoxText"/>
    <w:qFormat/>
    <w:rsid w:val="004855B6"/>
    <w:pPr>
      <w:ind w:left="1559" w:hanging="425"/>
    </w:pPr>
  </w:style>
  <w:style w:type="paragraph" w:customStyle="1" w:styleId="BoxNote">
    <w:name w:val="BoxNote"/>
    <w:aliases w:val="bn"/>
    <w:basedOn w:val="BoxText"/>
    <w:qFormat/>
    <w:rsid w:val="004855B6"/>
    <w:pPr>
      <w:tabs>
        <w:tab w:val="left" w:pos="1985"/>
      </w:tabs>
      <w:spacing w:before="122" w:line="198" w:lineRule="exact"/>
      <w:ind w:left="2948" w:hanging="1814"/>
    </w:pPr>
    <w:rPr>
      <w:sz w:val="18"/>
    </w:rPr>
  </w:style>
  <w:style w:type="paragraph" w:customStyle="1" w:styleId="BoxPara">
    <w:name w:val="BoxPara"/>
    <w:aliases w:val="bp"/>
    <w:basedOn w:val="BoxText"/>
    <w:qFormat/>
    <w:rsid w:val="004855B6"/>
    <w:pPr>
      <w:tabs>
        <w:tab w:val="right" w:pos="2268"/>
      </w:tabs>
      <w:ind w:left="2552" w:hanging="1418"/>
    </w:pPr>
  </w:style>
  <w:style w:type="paragraph" w:customStyle="1" w:styleId="BoxStep">
    <w:name w:val="BoxStep"/>
    <w:aliases w:val="bs"/>
    <w:basedOn w:val="BoxText"/>
    <w:qFormat/>
    <w:rsid w:val="004855B6"/>
    <w:pPr>
      <w:ind w:left="1985" w:hanging="851"/>
    </w:pPr>
  </w:style>
  <w:style w:type="character" w:customStyle="1" w:styleId="CharAmPartNo">
    <w:name w:val="CharAmPartNo"/>
    <w:basedOn w:val="OPCCharBase"/>
    <w:uiPriority w:val="1"/>
    <w:qFormat/>
    <w:rsid w:val="004855B6"/>
  </w:style>
  <w:style w:type="character" w:customStyle="1" w:styleId="CharAmPartText">
    <w:name w:val="CharAmPartText"/>
    <w:basedOn w:val="OPCCharBase"/>
    <w:uiPriority w:val="1"/>
    <w:qFormat/>
    <w:rsid w:val="004855B6"/>
  </w:style>
  <w:style w:type="character" w:customStyle="1" w:styleId="CharAmSchNo">
    <w:name w:val="CharAmSchNo"/>
    <w:basedOn w:val="OPCCharBase"/>
    <w:uiPriority w:val="1"/>
    <w:qFormat/>
    <w:rsid w:val="004855B6"/>
  </w:style>
  <w:style w:type="character" w:customStyle="1" w:styleId="CharAmSchText">
    <w:name w:val="CharAmSchText"/>
    <w:basedOn w:val="OPCCharBase"/>
    <w:uiPriority w:val="1"/>
    <w:qFormat/>
    <w:rsid w:val="004855B6"/>
  </w:style>
  <w:style w:type="character" w:customStyle="1" w:styleId="CharBoldItalic">
    <w:name w:val="CharBoldItalic"/>
    <w:basedOn w:val="OPCCharBase"/>
    <w:uiPriority w:val="1"/>
    <w:qFormat/>
    <w:rsid w:val="004855B6"/>
    <w:rPr>
      <w:b/>
      <w:i/>
    </w:rPr>
  </w:style>
  <w:style w:type="character" w:customStyle="1" w:styleId="CharChapNo">
    <w:name w:val="CharChapNo"/>
    <w:basedOn w:val="OPCCharBase"/>
    <w:uiPriority w:val="1"/>
    <w:qFormat/>
    <w:rsid w:val="004855B6"/>
  </w:style>
  <w:style w:type="character" w:customStyle="1" w:styleId="CharChapText">
    <w:name w:val="CharChapText"/>
    <w:basedOn w:val="OPCCharBase"/>
    <w:uiPriority w:val="1"/>
    <w:qFormat/>
    <w:rsid w:val="004855B6"/>
  </w:style>
  <w:style w:type="character" w:customStyle="1" w:styleId="CharDivNo">
    <w:name w:val="CharDivNo"/>
    <w:basedOn w:val="OPCCharBase"/>
    <w:uiPriority w:val="1"/>
    <w:qFormat/>
    <w:rsid w:val="004855B6"/>
  </w:style>
  <w:style w:type="character" w:customStyle="1" w:styleId="CharDivText">
    <w:name w:val="CharDivText"/>
    <w:basedOn w:val="OPCCharBase"/>
    <w:uiPriority w:val="1"/>
    <w:qFormat/>
    <w:rsid w:val="004855B6"/>
  </w:style>
  <w:style w:type="character" w:customStyle="1" w:styleId="CharItalic">
    <w:name w:val="CharItalic"/>
    <w:basedOn w:val="OPCCharBase"/>
    <w:uiPriority w:val="1"/>
    <w:qFormat/>
    <w:rsid w:val="004855B6"/>
    <w:rPr>
      <w:i/>
    </w:rPr>
  </w:style>
  <w:style w:type="character" w:customStyle="1" w:styleId="CharPartNo">
    <w:name w:val="CharPartNo"/>
    <w:basedOn w:val="OPCCharBase"/>
    <w:uiPriority w:val="1"/>
    <w:qFormat/>
    <w:rsid w:val="004855B6"/>
  </w:style>
  <w:style w:type="character" w:customStyle="1" w:styleId="CharPartText">
    <w:name w:val="CharPartText"/>
    <w:basedOn w:val="OPCCharBase"/>
    <w:uiPriority w:val="1"/>
    <w:qFormat/>
    <w:rsid w:val="004855B6"/>
  </w:style>
  <w:style w:type="character" w:customStyle="1" w:styleId="CharSectno">
    <w:name w:val="CharSectno"/>
    <w:basedOn w:val="OPCCharBase"/>
    <w:uiPriority w:val="1"/>
    <w:qFormat/>
    <w:rsid w:val="004855B6"/>
  </w:style>
  <w:style w:type="character" w:customStyle="1" w:styleId="CharSubdNo">
    <w:name w:val="CharSubdNo"/>
    <w:basedOn w:val="OPCCharBase"/>
    <w:uiPriority w:val="1"/>
    <w:qFormat/>
    <w:rsid w:val="004855B6"/>
  </w:style>
  <w:style w:type="character" w:customStyle="1" w:styleId="CharSubdText">
    <w:name w:val="CharSubdText"/>
    <w:basedOn w:val="OPCCharBase"/>
    <w:uiPriority w:val="1"/>
    <w:qFormat/>
    <w:rsid w:val="004855B6"/>
  </w:style>
  <w:style w:type="paragraph" w:customStyle="1" w:styleId="CTA--">
    <w:name w:val="CTA --"/>
    <w:basedOn w:val="OPCParaBase"/>
    <w:next w:val="Normal"/>
    <w:rsid w:val="004855B6"/>
    <w:pPr>
      <w:spacing w:before="60" w:line="240" w:lineRule="atLeast"/>
      <w:ind w:left="142" w:hanging="142"/>
    </w:pPr>
    <w:rPr>
      <w:sz w:val="20"/>
    </w:rPr>
  </w:style>
  <w:style w:type="paragraph" w:customStyle="1" w:styleId="CTA-">
    <w:name w:val="CTA -"/>
    <w:basedOn w:val="OPCParaBase"/>
    <w:rsid w:val="004855B6"/>
    <w:pPr>
      <w:spacing w:before="60" w:line="240" w:lineRule="atLeast"/>
      <w:ind w:left="85" w:hanging="85"/>
    </w:pPr>
    <w:rPr>
      <w:sz w:val="20"/>
    </w:rPr>
  </w:style>
  <w:style w:type="paragraph" w:customStyle="1" w:styleId="CTA---">
    <w:name w:val="CTA ---"/>
    <w:basedOn w:val="OPCParaBase"/>
    <w:next w:val="Normal"/>
    <w:rsid w:val="004855B6"/>
    <w:pPr>
      <w:spacing w:before="60" w:line="240" w:lineRule="atLeast"/>
      <w:ind w:left="198" w:hanging="198"/>
    </w:pPr>
    <w:rPr>
      <w:sz w:val="20"/>
    </w:rPr>
  </w:style>
  <w:style w:type="paragraph" w:customStyle="1" w:styleId="CTA----">
    <w:name w:val="CTA ----"/>
    <w:basedOn w:val="OPCParaBase"/>
    <w:next w:val="Normal"/>
    <w:rsid w:val="004855B6"/>
    <w:pPr>
      <w:spacing w:before="60" w:line="240" w:lineRule="atLeast"/>
      <w:ind w:left="255" w:hanging="255"/>
    </w:pPr>
    <w:rPr>
      <w:sz w:val="20"/>
    </w:rPr>
  </w:style>
  <w:style w:type="paragraph" w:customStyle="1" w:styleId="CTA1a">
    <w:name w:val="CTA 1(a)"/>
    <w:basedOn w:val="OPCParaBase"/>
    <w:rsid w:val="004855B6"/>
    <w:pPr>
      <w:tabs>
        <w:tab w:val="right" w:pos="414"/>
      </w:tabs>
      <w:spacing w:before="40" w:line="240" w:lineRule="atLeast"/>
      <w:ind w:left="675" w:hanging="675"/>
    </w:pPr>
    <w:rPr>
      <w:sz w:val="20"/>
    </w:rPr>
  </w:style>
  <w:style w:type="paragraph" w:customStyle="1" w:styleId="CTA1ai">
    <w:name w:val="CTA 1(a)(i)"/>
    <w:basedOn w:val="OPCParaBase"/>
    <w:rsid w:val="004855B6"/>
    <w:pPr>
      <w:tabs>
        <w:tab w:val="right" w:pos="1004"/>
      </w:tabs>
      <w:spacing w:before="40" w:line="240" w:lineRule="atLeast"/>
      <w:ind w:left="1253" w:hanging="1253"/>
    </w:pPr>
    <w:rPr>
      <w:sz w:val="20"/>
    </w:rPr>
  </w:style>
  <w:style w:type="paragraph" w:customStyle="1" w:styleId="CTA2a">
    <w:name w:val="CTA 2(a)"/>
    <w:basedOn w:val="OPCParaBase"/>
    <w:rsid w:val="004855B6"/>
    <w:pPr>
      <w:tabs>
        <w:tab w:val="right" w:pos="482"/>
      </w:tabs>
      <w:spacing w:before="40" w:line="240" w:lineRule="atLeast"/>
      <w:ind w:left="748" w:hanging="748"/>
    </w:pPr>
    <w:rPr>
      <w:sz w:val="20"/>
    </w:rPr>
  </w:style>
  <w:style w:type="paragraph" w:customStyle="1" w:styleId="CTA2ai">
    <w:name w:val="CTA 2(a)(i)"/>
    <w:basedOn w:val="OPCParaBase"/>
    <w:rsid w:val="004855B6"/>
    <w:pPr>
      <w:tabs>
        <w:tab w:val="right" w:pos="1089"/>
      </w:tabs>
      <w:spacing w:before="40" w:line="240" w:lineRule="atLeast"/>
      <w:ind w:left="1327" w:hanging="1327"/>
    </w:pPr>
    <w:rPr>
      <w:sz w:val="20"/>
    </w:rPr>
  </w:style>
  <w:style w:type="paragraph" w:customStyle="1" w:styleId="CTA3a">
    <w:name w:val="CTA 3(a)"/>
    <w:basedOn w:val="OPCParaBase"/>
    <w:rsid w:val="004855B6"/>
    <w:pPr>
      <w:tabs>
        <w:tab w:val="right" w:pos="556"/>
      </w:tabs>
      <w:spacing w:before="40" w:line="240" w:lineRule="atLeast"/>
      <w:ind w:left="805" w:hanging="805"/>
    </w:pPr>
    <w:rPr>
      <w:sz w:val="20"/>
    </w:rPr>
  </w:style>
  <w:style w:type="paragraph" w:customStyle="1" w:styleId="CTA3ai">
    <w:name w:val="CTA 3(a)(i)"/>
    <w:basedOn w:val="OPCParaBase"/>
    <w:rsid w:val="004855B6"/>
    <w:pPr>
      <w:tabs>
        <w:tab w:val="right" w:pos="1140"/>
      </w:tabs>
      <w:spacing w:before="40" w:line="240" w:lineRule="atLeast"/>
      <w:ind w:left="1361" w:hanging="1361"/>
    </w:pPr>
    <w:rPr>
      <w:sz w:val="20"/>
    </w:rPr>
  </w:style>
  <w:style w:type="paragraph" w:customStyle="1" w:styleId="CTA4a">
    <w:name w:val="CTA 4(a)"/>
    <w:basedOn w:val="OPCParaBase"/>
    <w:rsid w:val="004855B6"/>
    <w:pPr>
      <w:tabs>
        <w:tab w:val="right" w:pos="624"/>
      </w:tabs>
      <w:spacing w:before="40" w:line="240" w:lineRule="atLeast"/>
      <w:ind w:left="873" w:hanging="873"/>
    </w:pPr>
    <w:rPr>
      <w:sz w:val="20"/>
    </w:rPr>
  </w:style>
  <w:style w:type="paragraph" w:customStyle="1" w:styleId="CTA4ai">
    <w:name w:val="CTA 4(a)(i)"/>
    <w:basedOn w:val="OPCParaBase"/>
    <w:rsid w:val="004855B6"/>
    <w:pPr>
      <w:tabs>
        <w:tab w:val="right" w:pos="1213"/>
      </w:tabs>
      <w:spacing w:before="40" w:line="240" w:lineRule="atLeast"/>
      <w:ind w:left="1452" w:hanging="1452"/>
    </w:pPr>
    <w:rPr>
      <w:sz w:val="20"/>
    </w:rPr>
  </w:style>
  <w:style w:type="paragraph" w:customStyle="1" w:styleId="CTACAPS">
    <w:name w:val="CTA CAPS"/>
    <w:basedOn w:val="OPCParaBase"/>
    <w:rsid w:val="004855B6"/>
    <w:pPr>
      <w:spacing w:before="60" w:line="240" w:lineRule="atLeast"/>
    </w:pPr>
    <w:rPr>
      <w:sz w:val="20"/>
    </w:rPr>
  </w:style>
  <w:style w:type="paragraph" w:customStyle="1" w:styleId="CTAright">
    <w:name w:val="CTA right"/>
    <w:basedOn w:val="OPCParaBase"/>
    <w:rsid w:val="004855B6"/>
    <w:pPr>
      <w:spacing w:before="60" w:line="240" w:lineRule="auto"/>
      <w:jc w:val="right"/>
    </w:pPr>
    <w:rPr>
      <w:sz w:val="20"/>
    </w:rPr>
  </w:style>
  <w:style w:type="paragraph" w:customStyle="1" w:styleId="subsection">
    <w:name w:val="subsection"/>
    <w:aliases w:val="ss"/>
    <w:basedOn w:val="OPCParaBase"/>
    <w:link w:val="subsectionChar"/>
    <w:rsid w:val="004855B6"/>
    <w:pPr>
      <w:tabs>
        <w:tab w:val="right" w:pos="1021"/>
      </w:tabs>
      <w:spacing w:before="180" w:line="240" w:lineRule="auto"/>
      <w:ind w:left="1134" w:hanging="1134"/>
    </w:pPr>
  </w:style>
  <w:style w:type="paragraph" w:customStyle="1" w:styleId="Definition">
    <w:name w:val="Definition"/>
    <w:aliases w:val="dd"/>
    <w:basedOn w:val="OPCParaBase"/>
    <w:rsid w:val="004855B6"/>
    <w:pPr>
      <w:spacing w:before="180" w:line="240" w:lineRule="auto"/>
      <w:ind w:left="1134"/>
    </w:pPr>
  </w:style>
  <w:style w:type="paragraph" w:customStyle="1" w:styleId="ETAsubitem">
    <w:name w:val="ETA(subitem)"/>
    <w:basedOn w:val="OPCParaBase"/>
    <w:rsid w:val="004855B6"/>
    <w:pPr>
      <w:tabs>
        <w:tab w:val="right" w:pos="340"/>
      </w:tabs>
      <w:spacing w:before="60" w:line="240" w:lineRule="auto"/>
      <w:ind w:left="454" w:hanging="454"/>
    </w:pPr>
    <w:rPr>
      <w:sz w:val="20"/>
    </w:rPr>
  </w:style>
  <w:style w:type="paragraph" w:customStyle="1" w:styleId="ETApara">
    <w:name w:val="ETA(para)"/>
    <w:basedOn w:val="OPCParaBase"/>
    <w:rsid w:val="004855B6"/>
    <w:pPr>
      <w:tabs>
        <w:tab w:val="right" w:pos="754"/>
      </w:tabs>
      <w:spacing w:before="60" w:line="240" w:lineRule="auto"/>
      <w:ind w:left="828" w:hanging="828"/>
    </w:pPr>
    <w:rPr>
      <w:sz w:val="20"/>
    </w:rPr>
  </w:style>
  <w:style w:type="paragraph" w:customStyle="1" w:styleId="ETAsubpara">
    <w:name w:val="ETA(subpara)"/>
    <w:basedOn w:val="OPCParaBase"/>
    <w:rsid w:val="004855B6"/>
    <w:pPr>
      <w:tabs>
        <w:tab w:val="right" w:pos="1083"/>
      </w:tabs>
      <w:spacing w:before="60" w:line="240" w:lineRule="auto"/>
      <w:ind w:left="1191" w:hanging="1191"/>
    </w:pPr>
    <w:rPr>
      <w:sz w:val="20"/>
    </w:rPr>
  </w:style>
  <w:style w:type="paragraph" w:customStyle="1" w:styleId="ETAsub-subpara">
    <w:name w:val="ETA(sub-subpara)"/>
    <w:basedOn w:val="OPCParaBase"/>
    <w:rsid w:val="004855B6"/>
    <w:pPr>
      <w:tabs>
        <w:tab w:val="right" w:pos="1412"/>
      </w:tabs>
      <w:spacing w:before="60" w:line="240" w:lineRule="auto"/>
      <w:ind w:left="1525" w:hanging="1525"/>
    </w:pPr>
    <w:rPr>
      <w:sz w:val="20"/>
    </w:rPr>
  </w:style>
  <w:style w:type="paragraph" w:customStyle="1" w:styleId="Formula">
    <w:name w:val="Formula"/>
    <w:basedOn w:val="OPCParaBase"/>
    <w:rsid w:val="004855B6"/>
    <w:pPr>
      <w:spacing w:line="240" w:lineRule="auto"/>
      <w:ind w:left="1134"/>
    </w:pPr>
    <w:rPr>
      <w:sz w:val="20"/>
    </w:rPr>
  </w:style>
  <w:style w:type="paragraph" w:styleId="Header">
    <w:name w:val="header"/>
    <w:basedOn w:val="OPCParaBase"/>
    <w:link w:val="HeaderChar"/>
    <w:unhideWhenUsed/>
    <w:rsid w:val="004855B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55B6"/>
    <w:rPr>
      <w:rFonts w:eastAsia="Times New Roman" w:cs="Times New Roman"/>
      <w:sz w:val="16"/>
      <w:lang w:eastAsia="en-AU"/>
    </w:rPr>
  </w:style>
  <w:style w:type="paragraph" w:customStyle="1" w:styleId="House">
    <w:name w:val="House"/>
    <w:basedOn w:val="OPCParaBase"/>
    <w:rsid w:val="004855B6"/>
    <w:pPr>
      <w:spacing w:line="240" w:lineRule="auto"/>
    </w:pPr>
    <w:rPr>
      <w:sz w:val="28"/>
    </w:rPr>
  </w:style>
  <w:style w:type="paragraph" w:customStyle="1" w:styleId="Item">
    <w:name w:val="Item"/>
    <w:aliases w:val="i"/>
    <w:basedOn w:val="OPCParaBase"/>
    <w:next w:val="ItemHead"/>
    <w:rsid w:val="004855B6"/>
    <w:pPr>
      <w:keepLines/>
      <w:spacing w:before="80" w:line="240" w:lineRule="auto"/>
      <w:ind w:left="709"/>
    </w:pPr>
  </w:style>
  <w:style w:type="paragraph" w:customStyle="1" w:styleId="ItemHead">
    <w:name w:val="ItemHead"/>
    <w:aliases w:val="ih"/>
    <w:basedOn w:val="OPCParaBase"/>
    <w:next w:val="Item"/>
    <w:rsid w:val="004855B6"/>
    <w:pPr>
      <w:keepLines/>
      <w:spacing w:before="220" w:line="240" w:lineRule="auto"/>
      <w:ind w:left="709" w:hanging="709"/>
    </w:pPr>
    <w:rPr>
      <w:rFonts w:ascii="Arial" w:hAnsi="Arial"/>
      <w:b/>
      <w:kern w:val="28"/>
      <w:sz w:val="24"/>
    </w:rPr>
  </w:style>
  <w:style w:type="paragraph" w:customStyle="1" w:styleId="LongT">
    <w:name w:val="LongT"/>
    <w:basedOn w:val="OPCParaBase"/>
    <w:rsid w:val="004855B6"/>
    <w:pPr>
      <w:spacing w:line="240" w:lineRule="auto"/>
    </w:pPr>
    <w:rPr>
      <w:b/>
      <w:sz w:val="32"/>
    </w:rPr>
  </w:style>
  <w:style w:type="paragraph" w:customStyle="1" w:styleId="notedraft">
    <w:name w:val="note(draft)"/>
    <w:aliases w:val="nd"/>
    <w:basedOn w:val="OPCParaBase"/>
    <w:rsid w:val="004855B6"/>
    <w:pPr>
      <w:spacing w:before="240" w:line="240" w:lineRule="auto"/>
      <w:ind w:left="284" w:hanging="284"/>
    </w:pPr>
    <w:rPr>
      <w:i/>
      <w:sz w:val="24"/>
    </w:rPr>
  </w:style>
  <w:style w:type="paragraph" w:customStyle="1" w:styleId="notemargin">
    <w:name w:val="note(margin)"/>
    <w:aliases w:val="nm"/>
    <w:basedOn w:val="OPCParaBase"/>
    <w:rsid w:val="004855B6"/>
    <w:pPr>
      <w:tabs>
        <w:tab w:val="left" w:pos="709"/>
      </w:tabs>
      <w:spacing w:before="122" w:line="198" w:lineRule="exact"/>
      <w:ind w:left="709" w:hanging="709"/>
    </w:pPr>
    <w:rPr>
      <w:sz w:val="18"/>
    </w:rPr>
  </w:style>
  <w:style w:type="paragraph" w:customStyle="1" w:styleId="notepara">
    <w:name w:val="note(para)"/>
    <w:aliases w:val="na"/>
    <w:basedOn w:val="OPCParaBase"/>
    <w:rsid w:val="004855B6"/>
    <w:pPr>
      <w:spacing w:before="40" w:line="198" w:lineRule="exact"/>
      <w:ind w:left="2354" w:hanging="369"/>
    </w:pPr>
    <w:rPr>
      <w:sz w:val="18"/>
    </w:rPr>
  </w:style>
  <w:style w:type="paragraph" w:customStyle="1" w:styleId="noteParlAmend">
    <w:name w:val="note(ParlAmend)"/>
    <w:aliases w:val="npp"/>
    <w:basedOn w:val="OPCParaBase"/>
    <w:next w:val="ParlAmend"/>
    <w:rsid w:val="004855B6"/>
    <w:pPr>
      <w:spacing w:line="240" w:lineRule="auto"/>
      <w:jc w:val="right"/>
    </w:pPr>
    <w:rPr>
      <w:rFonts w:ascii="Arial" w:hAnsi="Arial"/>
      <w:b/>
      <w:i/>
    </w:rPr>
  </w:style>
  <w:style w:type="paragraph" w:customStyle="1" w:styleId="Page1">
    <w:name w:val="Page1"/>
    <w:basedOn w:val="OPCParaBase"/>
    <w:rsid w:val="004855B6"/>
    <w:pPr>
      <w:spacing w:before="5600" w:line="240" w:lineRule="auto"/>
    </w:pPr>
    <w:rPr>
      <w:b/>
      <w:sz w:val="32"/>
    </w:rPr>
  </w:style>
  <w:style w:type="paragraph" w:customStyle="1" w:styleId="PageBreak">
    <w:name w:val="PageBreak"/>
    <w:aliases w:val="pb"/>
    <w:basedOn w:val="OPCParaBase"/>
    <w:rsid w:val="004855B6"/>
    <w:pPr>
      <w:spacing w:line="240" w:lineRule="auto"/>
    </w:pPr>
    <w:rPr>
      <w:sz w:val="10"/>
    </w:rPr>
  </w:style>
  <w:style w:type="paragraph" w:customStyle="1" w:styleId="paragraphsub">
    <w:name w:val="paragraph(sub)"/>
    <w:aliases w:val="aa"/>
    <w:basedOn w:val="OPCParaBase"/>
    <w:rsid w:val="004855B6"/>
    <w:pPr>
      <w:tabs>
        <w:tab w:val="right" w:pos="1985"/>
      </w:tabs>
      <w:spacing w:before="40" w:line="240" w:lineRule="auto"/>
      <w:ind w:left="2098" w:hanging="2098"/>
    </w:pPr>
  </w:style>
  <w:style w:type="paragraph" w:customStyle="1" w:styleId="paragraphsub-sub">
    <w:name w:val="paragraph(sub-sub)"/>
    <w:aliases w:val="aaa"/>
    <w:basedOn w:val="OPCParaBase"/>
    <w:rsid w:val="004855B6"/>
    <w:pPr>
      <w:tabs>
        <w:tab w:val="right" w:pos="2722"/>
      </w:tabs>
      <w:spacing w:before="40" w:line="240" w:lineRule="auto"/>
      <w:ind w:left="2835" w:hanging="2835"/>
    </w:pPr>
  </w:style>
  <w:style w:type="paragraph" w:customStyle="1" w:styleId="paragraph">
    <w:name w:val="paragraph"/>
    <w:aliases w:val="a"/>
    <w:basedOn w:val="OPCParaBase"/>
    <w:link w:val="paragraphChar"/>
    <w:rsid w:val="004855B6"/>
    <w:pPr>
      <w:tabs>
        <w:tab w:val="right" w:pos="1531"/>
      </w:tabs>
      <w:spacing w:before="40" w:line="240" w:lineRule="auto"/>
      <w:ind w:left="1644" w:hanging="1644"/>
    </w:pPr>
  </w:style>
  <w:style w:type="paragraph" w:customStyle="1" w:styleId="ParlAmend">
    <w:name w:val="ParlAmend"/>
    <w:aliases w:val="pp"/>
    <w:basedOn w:val="OPCParaBase"/>
    <w:rsid w:val="004855B6"/>
    <w:pPr>
      <w:spacing w:before="240" w:line="240" w:lineRule="atLeast"/>
      <w:ind w:hanging="567"/>
    </w:pPr>
    <w:rPr>
      <w:sz w:val="24"/>
    </w:rPr>
  </w:style>
  <w:style w:type="paragraph" w:customStyle="1" w:styleId="Penalty">
    <w:name w:val="Penalty"/>
    <w:basedOn w:val="OPCParaBase"/>
    <w:rsid w:val="004855B6"/>
    <w:pPr>
      <w:tabs>
        <w:tab w:val="left" w:pos="2977"/>
      </w:tabs>
      <w:spacing w:before="180" w:line="240" w:lineRule="auto"/>
      <w:ind w:left="1985" w:hanging="851"/>
    </w:pPr>
  </w:style>
  <w:style w:type="paragraph" w:customStyle="1" w:styleId="Portfolio">
    <w:name w:val="Portfolio"/>
    <w:basedOn w:val="OPCParaBase"/>
    <w:rsid w:val="004855B6"/>
    <w:pPr>
      <w:spacing w:line="240" w:lineRule="auto"/>
    </w:pPr>
    <w:rPr>
      <w:i/>
      <w:sz w:val="20"/>
    </w:rPr>
  </w:style>
  <w:style w:type="paragraph" w:customStyle="1" w:styleId="Preamble">
    <w:name w:val="Preamble"/>
    <w:basedOn w:val="OPCParaBase"/>
    <w:next w:val="Normal"/>
    <w:rsid w:val="004855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55B6"/>
    <w:pPr>
      <w:spacing w:line="240" w:lineRule="auto"/>
    </w:pPr>
    <w:rPr>
      <w:i/>
      <w:sz w:val="20"/>
    </w:rPr>
  </w:style>
  <w:style w:type="paragraph" w:customStyle="1" w:styleId="Session">
    <w:name w:val="Session"/>
    <w:basedOn w:val="OPCParaBase"/>
    <w:rsid w:val="004855B6"/>
    <w:pPr>
      <w:spacing w:line="240" w:lineRule="auto"/>
    </w:pPr>
    <w:rPr>
      <w:sz w:val="28"/>
    </w:rPr>
  </w:style>
  <w:style w:type="paragraph" w:customStyle="1" w:styleId="Sponsor">
    <w:name w:val="Sponsor"/>
    <w:basedOn w:val="OPCParaBase"/>
    <w:rsid w:val="004855B6"/>
    <w:pPr>
      <w:spacing w:line="240" w:lineRule="auto"/>
    </w:pPr>
    <w:rPr>
      <w:i/>
    </w:rPr>
  </w:style>
  <w:style w:type="paragraph" w:customStyle="1" w:styleId="Subitem">
    <w:name w:val="Subitem"/>
    <w:aliases w:val="iss"/>
    <w:basedOn w:val="OPCParaBase"/>
    <w:rsid w:val="004855B6"/>
    <w:pPr>
      <w:spacing w:before="180" w:line="240" w:lineRule="auto"/>
      <w:ind w:left="709" w:hanging="709"/>
    </w:pPr>
  </w:style>
  <w:style w:type="paragraph" w:customStyle="1" w:styleId="SubitemHead">
    <w:name w:val="SubitemHead"/>
    <w:aliases w:val="issh"/>
    <w:basedOn w:val="OPCParaBase"/>
    <w:rsid w:val="004855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855B6"/>
    <w:pPr>
      <w:spacing w:before="40" w:line="240" w:lineRule="auto"/>
      <w:ind w:left="1134"/>
    </w:pPr>
  </w:style>
  <w:style w:type="paragraph" w:customStyle="1" w:styleId="SubsectionHead">
    <w:name w:val="SubsectionHead"/>
    <w:aliases w:val="ssh"/>
    <w:basedOn w:val="OPCParaBase"/>
    <w:next w:val="subsection"/>
    <w:rsid w:val="004855B6"/>
    <w:pPr>
      <w:keepNext/>
      <w:keepLines/>
      <w:spacing w:before="240" w:line="240" w:lineRule="auto"/>
      <w:ind w:left="1134"/>
    </w:pPr>
    <w:rPr>
      <w:i/>
    </w:rPr>
  </w:style>
  <w:style w:type="paragraph" w:customStyle="1" w:styleId="Tablea">
    <w:name w:val="Table(a)"/>
    <w:aliases w:val="ta"/>
    <w:basedOn w:val="OPCParaBase"/>
    <w:rsid w:val="004855B6"/>
    <w:pPr>
      <w:spacing w:before="60" w:line="240" w:lineRule="auto"/>
      <w:ind w:left="284" w:hanging="284"/>
    </w:pPr>
    <w:rPr>
      <w:sz w:val="20"/>
    </w:rPr>
  </w:style>
  <w:style w:type="paragraph" w:customStyle="1" w:styleId="TableAA">
    <w:name w:val="Table(AA)"/>
    <w:aliases w:val="taaa"/>
    <w:basedOn w:val="OPCParaBase"/>
    <w:rsid w:val="004855B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55B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55B6"/>
    <w:pPr>
      <w:spacing w:before="60" w:line="240" w:lineRule="atLeast"/>
    </w:pPr>
    <w:rPr>
      <w:sz w:val="20"/>
    </w:rPr>
  </w:style>
  <w:style w:type="paragraph" w:customStyle="1" w:styleId="TLPBoxTextnote">
    <w:name w:val="TLPBoxText(note"/>
    <w:aliases w:val="right)"/>
    <w:basedOn w:val="OPCParaBase"/>
    <w:rsid w:val="004855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55B6"/>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4855B6"/>
    <w:pPr>
      <w:spacing w:before="122" w:line="198" w:lineRule="exact"/>
      <w:ind w:left="1985" w:hanging="851"/>
      <w:jc w:val="right"/>
    </w:pPr>
    <w:rPr>
      <w:sz w:val="18"/>
    </w:rPr>
  </w:style>
  <w:style w:type="paragraph" w:customStyle="1" w:styleId="TLPTableBullet">
    <w:name w:val="TLPTableBullet"/>
    <w:aliases w:val="ttb"/>
    <w:basedOn w:val="OPCParaBase"/>
    <w:rsid w:val="004855B6"/>
    <w:pPr>
      <w:spacing w:line="240" w:lineRule="exact"/>
      <w:ind w:left="284" w:hanging="284"/>
    </w:pPr>
    <w:rPr>
      <w:sz w:val="20"/>
    </w:rPr>
  </w:style>
  <w:style w:type="paragraph" w:styleId="TOC1">
    <w:name w:val="toc 1"/>
    <w:basedOn w:val="OPCParaBase"/>
    <w:next w:val="Normal"/>
    <w:uiPriority w:val="39"/>
    <w:unhideWhenUsed/>
    <w:rsid w:val="004855B6"/>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unhideWhenUsed/>
    <w:rsid w:val="004855B6"/>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unhideWhenUsed/>
    <w:rsid w:val="004855B6"/>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unhideWhenUsed/>
    <w:rsid w:val="004855B6"/>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4855B6"/>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4855B6"/>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4855B6"/>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4855B6"/>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4855B6"/>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4855B6"/>
    <w:pPr>
      <w:keepLines/>
      <w:spacing w:before="240" w:after="120" w:line="240" w:lineRule="auto"/>
      <w:ind w:left="794"/>
    </w:pPr>
    <w:rPr>
      <w:b/>
      <w:kern w:val="28"/>
      <w:sz w:val="20"/>
    </w:rPr>
  </w:style>
  <w:style w:type="paragraph" w:customStyle="1" w:styleId="TofSectsHeading">
    <w:name w:val="TofSects(Heading)"/>
    <w:basedOn w:val="OPCParaBase"/>
    <w:rsid w:val="004855B6"/>
    <w:pPr>
      <w:spacing w:before="240" w:after="120" w:line="240" w:lineRule="auto"/>
    </w:pPr>
    <w:rPr>
      <w:b/>
      <w:sz w:val="24"/>
    </w:rPr>
  </w:style>
  <w:style w:type="paragraph" w:customStyle="1" w:styleId="TofSectsSection">
    <w:name w:val="TofSects(Section)"/>
    <w:basedOn w:val="OPCParaBase"/>
    <w:rsid w:val="004855B6"/>
    <w:pPr>
      <w:keepLines/>
      <w:spacing w:before="40" w:line="240" w:lineRule="auto"/>
      <w:ind w:left="1588" w:hanging="794"/>
    </w:pPr>
    <w:rPr>
      <w:kern w:val="28"/>
      <w:sz w:val="18"/>
    </w:rPr>
  </w:style>
  <w:style w:type="paragraph" w:customStyle="1" w:styleId="TofSectsSubdiv">
    <w:name w:val="TofSects(Subdiv)"/>
    <w:basedOn w:val="OPCParaBase"/>
    <w:rsid w:val="004855B6"/>
    <w:pPr>
      <w:keepLines/>
      <w:spacing w:before="80" w:line="240" w:lineRule="auto"/>
      <w:ind w:left="1588" w:hanging="794"/>
    </w:pPr>
    <w:rPr>
      <w:kern w:val="28"/>
    </w:rPr>
  </w:style>
  <w:style w:type="paragraph" w:customStyle="1" w:styleId="WRStyle">
    <w:name w:val="WR Style"/>
    <w:aliases w:val="WR"/>
    <w:basedOn w:val="OPCParaBase"/>
    <w:rsid w:val="004855B6"/>
    <w:pPr>
      <w:spacing w:before="240" w:line="240" w:lineRule="auto"/>
      <w:ind w:left="284" w:hanging="284"/>
    </w:pPr>
    <w:rPr>
      <w:b/>
      <w:i/>
      <w:kern w:val="28"/>
      <w:sz w:val="24"/>
    </w:rPr>
  </w:style>
  <w:style w:type="paragraph" w:customStyle="1" w:styleId="Body">
    <w:name w:val="Body"/>
    <w:aliases w:val="b"/>
    <w:basedOn w:val="OPCParaBase"/>
    <w:rsid w:val="004855B6"/>
    <w:pPr>
      <w:spacing w:before="240" w:line="240" w:lineRule="auto"/>
    </w:pPr>
    <w:rPr>
      <w:sz w:val="24"/>
    </w:rPr>
  </w:style>
  <w:style w:type="paragraph" w:customStyle="1" w:styleId="BodyNum">
    <w:name w:val="BodyNum"/>
    <w:aliases w:val="b1"/>
    <w:basedOn w:val="OPCParaBase"/>
    <w:rsid w:val="004855B6"/>
    <w:pPr>
      <w:numPr>
        <w:numId w:val="2"/>
      </w:numPr>
      <w:spacing w:before="240" w:line="240" w:lineRule="auto"/>
    </w:pPr>
    <w:rPr>
      <w:sz w:val="24"/>
    </w:rPr>
  </w:style>
  <w:style w:type="paragraph" w:customStyle="1" w:styleId="BodyPara">
    <w:name w:val="BodyPara"/>
    <w:aliases w:val="ba"/>
    <w:basedOn w:val="OPCParaBase"/>
    <w:rsid w:val="004855B6"/>
    <w:pPr>
      <w:numPr>
        <w:ilvl w:val="1"/>
        <w:numId w:val="2"/>
      </w:numPr>
      <w:spacing w:before="240" w:line="240" w:lineRule="auto"/>
    </w:pPr>
    <w:rPr>
      <w:sz w:val="24"/>
    </w:rPr>
  </w:style>
  <w:style w:type="paragraph" w:customStyle="1" w:styleId="BodyParaBullet">
    <w:name w:val="BodyParaBullet"/>
    <w:aliases w:val="bpb"/>
    <w:basedOn w:val="OPCParaBase"/>
    <w:rsid w:val="004855B6"/>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4855B6"/>
    <w:pPr>
      <w:numPr>
        <w:ilvl w:val="3"/>
        <w:numId w:val="2"/>
      </w:numPr>
      <w:spacing w:before="240" w:line="240" w:lineRule="auto"/>
    </w:pPr>
    <w:rPr>
      <w:sz w:val="24"/>
    </w:rPr>
  </w:style>
  <w:style w:type="numbering" w:customStyle="1" w:styleId="OPCBodyList">
    <w:name w:val="OPCBodyList"/>
    <w:uiPriority w:val="99"/>
    <w:rsid w:val="004855B6"/>
    <w:pPr>
      <w:numPr>
        <w:numId w:val="2"/>
      </w:numPr>
    </w:pPr>
  </w:style>
  <w:style w:type="paragraph" w:customStyle="1" w:styleId="Head1">
    <w:name w:val="Head 1"/>
    <w:aliases w:val="1"/>
    <w:basedOn w:val="OPCParaBase"/>
    <w:next w:val="BodyNum"/>
    <w:rsid w:val="004855B6"/>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4855B6"/>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4855B6"/>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4855B6"/>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4855B6"/>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855B6"/>
    <w:pPr>
      <w:spacing w:before="122" w:line="198" w:lineRule="exact"/>
      <w:ind w:left="2353" w:hanging="709"/>
    </w:pPr>
    <w:rPr>
      <w:sz w:val="18"/>
    </w:rPr>
  </w:style>
  <w:style w:type="paragraph" w:styleId="Footer">
    <w:name w:val="footer"/>
    <w:link w:val="FooterChar"/>
    <w:rsid w:val="004855B6"/>
    <w:pPr>
      <w:tabs>
        <w:tab w:val="center" w:pos="4153"/>
        <w:tab w:val="center" w:pos="4320"/>
        <w:tab w:val="right" w:pos="8306"/>
        <w:tab w:val="right" w:pos="8640"/>
      </w:tabs>
    </w:pPr>
    <w:rPr>
      <w:rFonts w:eastAsia="Times New Roman" w:cs="Times New Roman"/>
      <w:sz w:val="24"/>
      <w:szCs w:val="24"/>
      <w:lang w:eastAsia="en-AU"/>
    </w:rPr>
  </w:style>
  <w:style w:type="character" w:customStyle="1" w:styleId="FooterChar">
    <w:name w:val="Footer Char"/>
    <w:basedOn w:val="DefaultParagraphFont"/>
    <w:link w:val="Footer"/>
    <w:rsid w:val="004855B6"/>
    <w:rPr>
      <w:rFonts w:eastAsia="Times New Roman" w:cs="Times New Roman"/>
      <w:sz w:val="24"/>
      <w:szCs w:val="24"/>
      <w:lang w:eastAsia="en-AU"/>
    </w:rPr>
  </w:style>
  <w:style w:type="character" w:styleId="PageNumber">
    <w:name w:val="page number"/>
    <w:basedOn w:val="DefaultParagraphFont"/>
    <w:rsid w:val="004855B6"/>
  </w:style>
  <w:style w:type="paragraph" w:styleId="BalloonText">
    <w:name w:val="Balloon Text"/>
    <w:basedOn w:val="Normal"/>
    <w:link w:val="BalloonTextChar"/>
    <w:uiPriority w:val="99"/>
    <w:semiHidden/>
    <w:unhideWhenUsed/>
    <w:rsid w:val="004855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5B6"/>
    <w:rPr>
      <w:rFonts w:ascii="Tahoma" w:hAnsi="Tahoma" w:cs="Tahoma"/>
      <w:sz w:val="16"/>
      <w:szCs w:val="16"/>
    </w:rPr>
  </w:style>
  <w:style w:type="paragraph" w:customStyle="1" w:styleId="MessShortTitle">
    <w:name w:val="MessShortTitle"/>
    <w:basedOn w:val="Head2"/>
    <w:rsid w:val="004855B6"/>
  </w:style>
  <w:style w:type="paragraph" w:customStyle="1" w:styleId="notetext">
    <w:name w:val="note(text)"/>
    <w:aliases w:val="n"/>
    <w:basedOn w:val="OPCParaBase"/>
    <w:rsid w:val="004855B6"/>
    <w:pPr>
      <w:spacing w:before="122" w:line="240" w:lineRule="auto"/>
      <w:ind w:left="1985" w:hanging="851"/>
    </w:pPr>
    <w:rPr>
      <w:sz w:val="18"/>
    </w:rPr>
  </w:style>
  <w:style w:type="paragraph" w:customStyle="1" w:styleId="FreeForm">
    <w:name w:val="FreeForm"/>
    <w:rsid w:val="000F3859"/>
    <w:rPr>
      <w:rFonts w:ascii="Arial" w:hAnsi="Arial"/>
      <w:sz w:val="22"/>
    </w:rPr>
  </w:style>
  <w:style w:type="paragraph" w:customStyle="1" w:styleId="SOText">
    <w:name w:val="SO Text"/>
    <w:aliases w:val="sot"/>
    <w:link w:val="SOTextChar"/>
    <w:rsid w:val="004855B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55B6"/>
    <w:rPr>
      <w:sz w:val="22"/>
    </w:rPr>
  </w:style>
  <w:style w:type="paragraph" w:customStyle="1" w:styleId="SOTextNote">
    <w:name w:val="SO TextNote"/>
    <w:aliases w:val="sont"/>
    <w:basedOn w:val="SOText"/>
    <w:qFormat/>
    <w:rsid w:val="004855B6"/>
    <w:pPr>
      <w:spacing w:before="122" w:line="198" w:lineRule="exact"/>
      <w:ind w:left="1843" w:hanging="709"/>
    </w:pPr>
    <w:rPr>
      <w:sz w:val="18"/>
    </w:rPr>
  </w:style>
  <w:style w:type="paragraph" w:customStyle="1" w:styleId="SOPara">
    <w:name w:val="SO Para"/>
    <w:aliases w:val="soa"/>
    <w:basedOn w:val="SOText"/>
    <w:link w:val="SOParaChar"/>
    <w:qFormat/>
    <w:rsid w:val="004855B6"/>
    <w:pPr>
      <w:tabs>
        <w:tab w:val="right" w:pos="1786"/>
      </w:tabs>
      <w:spacing w:before="40"/>
      <w:ind w:left="2070" w:hanging="936"/>
    </w:pPr>
  </w:style>
  <w:style w:type="character" w:customStyle="1" w:styleId="SOParaChar">
    <w:name w:val="SO Para Char"/>
    <w:aliases w:val="soa Char"/>
    <w:basedOn w:val="DefaultParagraphFont"/>
    <w:link w:val="SOPara"/>
    <w:rsid w:val="004855B6"/>
    <w:rPr>
      <w:sz w:val="22"/>
    </w:rPr>
  </w:style>
  <w:style w:type="paragraph" w:customStyle="1" w:styleId="FileName">
    <w:name w:val="FileName"/>
    <w:basedOn w:val="Normal"/>
    <w:rsid w:val="004855B6"/>
  </w:style>
  <w:style w:type="paragraph" w:customStyle="1" w:styleId="TableHeading">
    <w:name w:val="TableHeading"/>
    <w:aliases w:val="th"/>
    <w:basedOn w:val="OPCParaBase"/>
    <w:next w:val="Tabletext"/>
    <w:rsid w:val="004855B6"/>
    <w:pPr>
      <w:keepNext/>
      <w:spacing w:before="60" w:line="240" w:lineRule="atLeast"/>
    </w:pPr>
    <w:rPr>
      <w:b/>
      <w:sz w:val="20"/>
    </w:rPr>
  </w:style>
  <w:style w:type="paragraph" w:customStyle="1" w:styleId="SOHeadBold">
    <w:name w:val="SO HeadBold"/>
    <w:aliases w:val="sohb"/>
    <w:basedOn w:val="SOText"/>
    <w:next w:val="SOText"/>
    <w:link w:val="SOHeadBoldChar"/>
    <w:qFormat/>
    <w:rsid w:val="004855B6"/>
    <w:rPr>
      <w:b/>
    </w:rPr>
  </w:style>
  <w:style w:type="character" w:customStyle="1" w:styleId="SOHeadBoldChar">
    <w:name w:val="SO HeadBold Char"/>
    <w:aliases w:val="sohb Char"/>
    <w:basedOn w:val="DefaultParagraphFont"/>
    <w:link w:val="SOHeadBold"/>
    <w:rsid w:val="004855B6"/>
    <w:rPr>
      <w:b/>
      <w:sz w:val="22"/>
    </w:rPr>
  </w:style>
  <w:style w:type="paragraph" w:customStyle="1" w:styleId="SOHeadItalic">
    <w:name w:val="SO HeadItalic"/>
    <w:aliases w:val="sohi"/>
    <w:basedOn w:val="SOText"/>
    <w:next w:val="SOText"/>
    <w:link w:val="SOHeadItalicChar"/>
    <w:qFormat/>
    <w:rsid w:val="004855B6"/>
    <w:rPr>
      <w:i/>
    </w:rPr>
  </w:style>
  <w:style w:type="character" w:customStyle="1" w:styleId="SOHeadItalicChar">
    <w:name w:val="SO HeadItalic Char"/>
    <w:aliases w:val="sohi Char"/>
    <w:basedOn w:val="DefaultParagraphFont"/>
    <w:link w:val="SOHeadItalic"/>
    <w:rsid w:val="004855B6"/>
    <w:rPr>
      <w:i/>
      <w:sz w:val="22"/>
    </w:rPr>
  </w:style>
  <w:style w:type="paragraph" w:customStyle="1" w:styleId="SOBullet">
    <w:name w:val="SO Bullet"/>
    <w:aliases w:val="sotb"/>
    <w:basedOn w:val="SOText"/>
    <w:link w:val="SOBulletChar"/>
    <w:qFormat/>
    <w:rsid w:val="004855B6"/>
    <w:pPr>
      <w:ind w:left="1559" w:hanging="425"/>
    </w:pPr>
  </w:style>
  <w:style w:type="character" w:customStyle="1" w:styleId="SOBulletChar">
    <w:name w:val="SO Bullet Char"/>
    <w:aliases w:val="sotb Char"/>
    <w:basedOn w:val="DefaultParagraphFont"/>
    <w:link w:val="SOBullet"/>
    <w:rsid w:val="004855B6"/>
    <w:rPr>
      <w:sz w:val="22"/>
    </w:rPr>
  </w:style>
  <w:style w:type="paragraph" w:customStyle="1" w:styleId="SOBulletNote">
    <w:name w:val="SO BulletNote"/>
    <w:aliases w:val="sonb"/>
    <w:basedOn w:val="SOTextNote"/>
    <w:link w:val="SOBulletNoteChar"/>
    <w:qFormat/>
    <w:rsid w:val="004855B6"/>
    <w:pPr>
      <w:tabs>
        <w:tab w:val="left" w:pos="1560"/>
      </w:tabs>
      <w:ind w:left="2268" w:hanging="1134"/>
    </w:pPr>
  </w:style>
  <w:style w:type="character" w:customStyle="1" w:styleId="SOBulletNoteChar">
    <w:name w:val="SO BulletNote Char"/>
    <w:aliases w:val="sonb Char"/>
    <w:basedOn w:val="DefaultParagraphFont"/>
    <w:link w:val="SOBulletNote"/>
    <w:rsid w:val="004855B6"/>
    <w:rPr>
      <w:sz w:val="18"/>
    </w:rPr>
  </w:style>
  <w:style w:type="character" w:customStyle="1" w:styleId="Heading1Char">
    <w:name w:val="Heading 1 Char"/>
    <w:basedOn w:val="DefaultParagraphFont"/>
    <w:link w:val="Heading1"/>
    <w:rsid w:val="00727ED5"/>
    <w:rPr>
      <w:rFonts w:ascii="Helvetica" w:eastAsia="Times New Roman" w:hAnsi="Helvetica" w:cs="Times New Roman"/>
      <w:b/>
      <w:sz w:val="40"/>
      <w:szCs w:val="32"/>
      <w:lang w:val="x-none" w:eastAsia="en-AU"/>
    </w:rPr>
  </w:style>
  <w:style w:type="character" w:customStyle="1" w:styleId="Heading2Char">
    <w:name w:val="Heading 2 Char"/>
    <w:basedOn w:val="DefaultParagraphFont"/>
    <w:link w:val="Heading2"/>
    <w:rsid w:val="00727ED5"/>
    <w:rPr>
      <w:rFonts w:ascii="Helvetica" w:eastAsia="Times New Roman" w:hAnsi="Helvetica" w:cs="Times New Roman"/>
      <w:b/>
      <w:sz w:val="32"/>
      <w:szCs w:val="30"/>
      <w:lang w:val="x-none" w:eastAsia="en-AU"/>
    </w:rPr>
  </w:style>
  <w:style w:type="character" w:customStyle="1" w:styleId="Heading3Char">
    <w:name w:val="Heading 3 Char"/>
    <w:basedOn w:val="DefaultParagraphFont"/>
    <w:link w:val="Heading3"/>
    <w:rsid w:val="00727ED5"/>
    <w:rPr>
      <w:rFonts w:ascii="Optima" w:eastAsia="Times New Roman" w:hAnsi="Optima" w:cs="Times New Roman"/>
      <w:b/>
      <w:sz w:val="28"/>
      <w:lang w:val="x-none" w:eastAsia="en-AU"/>
    </w:rPr>
  </w:style>
  <w:style w:type="character" w:customStyle="1" w:styleId="Heading4Char">
    <w:name w:val="Heading 4 Char"/>
    <w:basedOn w:val="DefaultParagraphFont"/>
    <w:link w:val="Heading4"/>
    <w:rsid w:val="00727ED5"/>
    <w:rPr>
      <w:rFonts w:ascii="Helvetica" w:eastAsia="Times New Roman" w:hAnsi="Helvetica" w:cs="Times New Roman"/>
      <w:b/>
      <w:i/>
      <w:sz w:val="24"/>
      <w:szCs w:val="24"/>
      <w:lang w:val="x-none" w:eastAsia="en-AU"/>
    </w:rPr>
  </w:style>
  <w:style w:type="character" w:customStyle="1" w:styleId="Heading5Char">
    <w:name w:val="Heading 5 Char"/>
    <w:basedOn w:val="DefaultParagraphFont"/>
    <w:link w:val="Heading5"/>
    <w:uiPriority w:val="9"/>
    <w:rsid w:val="00727ED5"/>
    <w:rPr>
      <w:rFonts w:eastAsia="Times New Roman" w:cs="Times New Roman"/>
      <w:b/>
      <w:bCs/>
      <w:kern w:val="28"/>
      <w:sz w:val="24"/>
      <w:szCs w:val="24"/>
      <w:lang w:val="x-none" w:eastAsia="en-AU"/>
    </w:rPr>
  </w:style>
  <w:style w:type="character" w:customStyle="1" w:styleId="Heading6Char">
    <w:name w:val="Heading 6 Char"/>
    <w:basedOn w:val="DefaultParagraphFont"/>
    <w:link w:val="Heading6"/>
    <w:uiPriority w:val="9"/>
    <w:semiHidden/>
    <w:rsid w:val="00727ED5"/>
    <w:rPr>
      <w:rFonts w:ascii="Cambria" w:eastAsia="Times New Roman" w:hAnsi="Cambria" w:cs="Times New Roman"/>
      <w:i/>
      <w:iCs/>
      <w:color w:val="243F60"/>
      <w:sz w:val="22"/>
      <w:szCs w:val="22"/>
      <w:lang w:val="x-none" w:eastAsia="x-none"/>
    </w:rPr>
  </w:style>
  <w:style w:type="character" w:customStyle="1" w:styleId="Heading7Char">
    <w:name w:val="Heading 7 Char"/>
    <w:basedOn w:val="DefaultParagraphFont"/>
    <w:link w:val="Heading7"/>
    <w:uiPriority w:val="9"/>
    <w:semiHidden/>
    <w:rsid w:val="00727ED5"/>
    <w:rPr>
      <w:rFonts w:ascii="Cambria" w:eastAsia="Times New Roman" w:hAnsi="Cambria" w:cs="Times New Roman"/>
      <w:i/>
      <w:iCs/>
      <w:color w:val="404040"/>
      <w:sz w:val="22"/>
      <w:szCs w:val="22"/>
      <w:lang w:val="x-none" w:eastAsia="x-none"/>
    </w:rPr>
  </w:style>
  <w:style w:type="character" w:customStyle="1" w:styleId="Heading8Char">
    <w:name w:val="Heading 8 Char"/>
    <w:basedOn w:val="DefaultParagraphFont"/>
    <w:link w:val="Heading8"/>
    <w:uiPriority w:val="9"/>
    <w:semiHidden/>
    <w:rsid w:val="00727ED5"/>
    <w:rPr>
      <w:rFonts w:ascii="Cambria" w:eastAsia="Times New Roman" w:hAnsi="Cambria" w:cs="Times New Roman"/>
      <w:color w:val="404040"/>
      <w:lang w:val="x-none" w:eastAsia="x-none"/>
    </w:rPr>
  </w:style>
  <w:style w:type="character" w:customStyle="1" w:styleId="Heading9Char">
    <w:name w:val="Heading 9 Char"/>
    <w:basedOn w:val="DefaultParagraphFont"/>
    <w:link w:val="Heading9"/>
    <w:uiPriority w:val="9"/>
    <w:semiHidden/>
    <w:rsid w:val="00727ED5"/>
    <w:rPr>
      <w:rFonts w:ascii="Cambria" w:eastAsia="Times New Roman" w:hAnsi="Cambria" w:cs="Times New Roman"/>
      <w:i/>
      <w:iCs/>
      <w:color w:val="404040"/>
      <w:lang w:val="x-none" w:eastAsia="x-none"/>
    </w:rPr>
  </w:style>
  <w:style w:type="paragraph" w:styleId="BodyTextIndent">
    <w:name w:val="Body Text Indent"/>
    <w:basedOn w:val="Normal"/>
    <w:link w:val="BodyTextIndentChar"/>
    <w:uiPriority w:val="99"/>
    <w:semiHidden/>
    <w:unhideWhenUsed/>
    <w:rsid w:val="00727ED5"/>
    <w:pPr>
      <w:spacing w:after="120"/>
      <w:ind w:left="283"/>
    </w:pPr>
    <w:rPr>
      <w:rFonts w:eastAsia="Calibri" w:cs="Times New Roman"/>
      <w:lang w:val="x-none" w:eastAsia="x-none"/>
    </w:rPr>
  </w:style>
  <w:style w:type="character" w:customStyle="1" w:styleId="BodyTextIndentChar">
    <w:name w:val="Body Text Indent Char"/>
    <w:basedOn w:val="DefaultParagraphFont"/>
    <w:link w:val="BodyTextIndent"/>
    <w:uiPriority w:val="99"/>
    <w:semiHidden/>
    <w:rsid w:val="00727ED5"/>
    <w:rPr>
      <w:rFonts w:eastAsia="Calibri" w:cs="Times New Roman"/>
      <w:sz w:val="22"/>
      <w:lang w:val="x-none" w:eastAsia="x-none"/>
    </w:rPr>
  </w:style>
  <w:style w:type="paragraph" w:styleId="BodyTextFirstIndent2">
    <w:name w:val="Body Text First Indent 2"/>
    <w:basedOn w:val="BodyTextIndent"/>
    <w:link w:val="BodyTextFirstIndent2Char"/>
    <w:uiPriority w:val="99"/>
    <w:unhideWhenUsed/>
    <w:rsid w:val="00727ED5"/>
    <w:pPr>
      <w:spacing w:after="0"/>
      <w:ind w:left="360" w:firstLine="360"/>
    </w:pPr>
  </w:style>
  <w:style w:type="character" w:customStyle="1" w:styleId="BodyTextFirstIndent2Char">
    <w:name w:val="Body Text First Indent 2 Char"/>
    <w:basedOn w:val="BodyTextIndentChar"/>
    <w:link w:val="BodyTextFirstIndent2"/>
    <w:uiPriority w:val="99"/>
    <w:rsid w:val="00727ED5"/>
    <w:rPr>
      <w:rFonts w:eastAsia="Calibri" w:cs="Times New Roman"/>
      <w:sz w:val="22"/>
      <w:lang w:val="x-none" w:eastAsia="x-none"/>
    </w:rPr>
  </w:style>
  <w:style w:type="paragraph" w:styleId="FootnoteText">
    <w:name w:val="footnote text"/>
    <w:basedOn w:val="Body"/>
    <w:link w:val="FootnoteTextChar"/>
    <w:uiPriority w:val="99"/>
    <w:semiHidden/>
    <w:rsid w:val="00727ED5"/>
    <w:pPr>
      <w:overflowPunct w:val="0"/>
      <w:autoSpaceDE w:val="0"/>
      <w:autoSpaceDN w:val="0"/>
      <w:adjustRightInd w:val="0"/>
      <w:spacing w:before="0" w:line="240" w:lineRule="atLeast"/>
      <w:ind w:left="284" w:hanging="284"/>
      <w:textAlignment w:val="baseline"/>
    </w:pPr>
    <w:rPr>
      <w:sz w:val="20"/>
      <w:lang w:val="x-none"/>
    </w:rPr>
  </w:style>
  <w:style w:type="character" w:customStyle="1" w:styleId="FootnoteTextChar">
    <w:name w:val="Footnote Text Char"/>
    <w:basedOn w:val="DefaultParagraphFont"/>
    <w:link w:val="FootnoteText"/>
    <w:uiPriority w:val="99"/>
    <w:semiHidden/>
    <w:rsid w:val="00727ED5"/>
    <w:rPr>
      <w:rFonts w:eastAsia="Times New Roman" w:cs="Times New Roman"/>
      <w:lang w:val="x-none" w:eastAsia="en-AU"/>
    </w:rPr>
  </w:style>
  <w:style w:type="character" w:styleId="FootnoteReference">
    <w:name w:val="footnote reference"/>
    <w:uiPriority w:val="99"/>
    <w:semiHidden/>
    <w:rsid w:val="00727ED5"/>
    <w:rPr>
      <w:vertAlign w:val="superscript"/>
    </w:rPr>
  </w:style>
  <w:style w:type="character" w:styleId="Hyperlink">
    <w:name w:val="Hyperlink"/>
    <w:uiPriority w:val="99"/>
    <w:rsid w:val="00727ED5"/>
    <w:rPr>
      <w:color w:val="0000FF"/>
      <w:u w:val="none"/>
    </w:rPr>
  </w:style>
  <w:style w:type="table" w:styleId="TableGrid">
    <w:name w:val="Table Grid"/>
    <w:basedOn w:val="TableNormal"/>
    <w:uiPriority w:val="59"/>
    <w:rsid w:val="00727E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7ED5"/>
    <w:pPr>
      <w:overflowPunct w:val="0"/>
      <w:autoSpaceDE w:val="0"/>
      <w:autoSpaceDN w:val="0"/>
      <w:adjustRightInd w:val="0"/>
      <w:spacing w:line="240" w:lineRule="auto"/>
      <w:ind w:left="720"/>
    </w:pPr>
    <w:rPr>
      <w:rFonts w:eastAsia="Times New Roman" w:cs="Times New Roman"/>
      <w:sz w:val="24"/>
      <w:lang w:eastAsia="en-AU"/>
    </w:rPr>
  </w:style>
  <w:style w:type="paragraph" w:styleId="ListBullet">
    <w:name w:val="List Bullet"/>
    <w:basedOn w:val="Normal"/>
    <w:uiPriority w:val="99"/>
    <w:unhideWhenUsed/>
    <w:rsid w:val="00727ED5"/>
    <w:pPr>
      <w:tabs>
        <w:tab w:val="num" w:pos="360"/>
      </w:tabs>
      <w:overflowPunct w:val="0"/>
      <w:autoSpaceDE w:val="0"/>
      <w:autoSpaceDN w:val="0"/>
      <w:adjustRightInd w:val="0"/>
      <w:spacing w:line="240" w:lineRule="auto"/>
      <w:ind w:left="360" w:hanging="360"/>
      <w:contextualSpacing/>
      <w:textAlignment w:val="baseline"/>
    </w:pPr>
    <w:rPr>
      <w:rFonts w:eastAsia="Times New Roman" w:cs="Times New Roman"/>
      <w:sz w:val="24"/>
      <w:lang w:eastAsia="en-AU"/>
    </w:rPr>
  </w:style>
  <w:style w:type="character" w:styleId="FollowedHyperlink">
    <w:name w:val="FollowedHyperlink"/>
    <w:uiPriority w:val="99"/>
    <w:semiHidden/>
    <w:unhideWhenUsed/>
    <w:rsid w:val="00727ED5"/>
    <w:rPr>
      <w:color w:val="800080"/>
      <w:u w:val="single"/>
    </w:rPr>
  </w:style>
  <w:style w:type="paragraph" w:styleId="NormalWeb">
    <w:name w:val="Normal (Web)"/>
    <w:basedOn w:val="Normal"/>
    <w:uiPriority w:val="99"/>
    <w:semiHidden/>
    <w:unhideWhenUsed/>
    <w:rsid w:val="00727ED5"/>
    <w:rPr>
      <w:rFonts w:eastAsia="Calibri" w:cs="Times New Roman"/>
      <w:sz w:val="24"/>
      <w:szCs w:val="24"/>
    </w:rPr>
  </w:style>
  <w:style w:type="paragraph" w:styleId="Title">
    <w:name w:val="Title"/>
    <w:basedOn w:val="Normal"/>
    <w:next w:val="Normal"/>
    <w:link w:val="TitleChar"/>
    <w:uiPriority w:val="10"/>
    <w:qFormat/>
    <w:rsid w:val="00727ED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eChar">
    <w:name w:val="Title Char"/>
    <w:basedOn w:val="DefaultParagraphFont"/>
    <w:link w:val="Title"/>
    <w:uiPriority w:val="10"/>
    <w:rsid w:val="00727ED5"/>
    <w:rPr>
      <w:rFonts w:ascii="Cambria" w:eastAsia="Times New Roman" w:hAnsi="Cambria" w:cs="Times New Roman"/>
      <w:color w:val="17365D"/>
      <w:spacing w:val="5"/>
      <w:kern w:val="28"/>
      <w:sz w:val="52"/>
      <w:szCs w:val="52"/>
      <w:lang w:val="x-none" w:eastAsia="x-none"/>
    </w:rPr>
  </w:style>
  <w:style w:type="paragraph" w:styleId="NoteHeading">
    <w:name w:val="Note Heading"/>
    <w:basedOn w:val="Normal"/>
    <w:next w:val="Normal"/>
    <w:link w:val="NoteHeadingChar"/>
    <w:uiPriority w:val="99"/>
    <w:semiHidden/>
    <w:unhideWhenUsed/>
    <w:rsid w:val="00727ED5"/>
    <w:pPr>
      <w:spacing w:line="240" w:lineRule="auto"/>
    </w:pPr>
    <w:rPr>
      <w:rFonts w:eastAsia="Calibri" w:cs="Times New Roman"/>
      <w:lang w:val="x-none" w:eastAsia="x-none"/>
    </w:rPr>
  </w:style>
  <w:style w:type="character" w:customStyle="1" w:styleId="NoteHeadingChar">
    <w:name w:val="Note Heading Char"/>
    <w:basedOn w:val="DefaultParagraphFont"/>
    <w:link w:val="NoteHeading"/>
    <w:uiPriority w:val="99"/>
    <w:semiHidden/>
    <w:rsid w:val="00727ED5"/>
    <w:rPr>
      <w:rFonts w:eastAsia="Calibri" w:cs="Times New Roman"/>
      <w:sz w:val="22"/>
      <w:lang w:val="x-none" w:eastAsia="x-none"/>
    </w:rPr>
  </w:style>
  <w:style w:type="paragraph" w:styleId="TOCHeading">
    <w:name w:val="TOC Heading"/>
    <w:basedOn w:val="Heading1"/>
    <w:next w:val="Normal"/>
    <w:uiPriority w:val="39"/>
    <w:semiHidden/>
    <w:unhideWhenUsed/>
    <w:qFormat/>
    <w:rsid w:val="00727ED5"/>
    <w:pPr>
      <w:keepLines/>
      <w:pageBreakBefore w:val="0"/>
      <w:overflowPunct/>
      <w:autoSpaceDE/>
      <w:autoSpaceDN/>
      <w:adjustRightInd/>
      <w:spacing w:before="480" w:after="0" w:line="276" w:lineRule="auto"/>
      <w:ind w:left="0" w:firstLine="0"/>
      <w:textAlignment w:val="auto"/>
      <w:outlineLvl w:val="9"/>
    </w:pPr>
    <w:rPr>
      <w:rFonts w:ascii="Cambria" w:hAnsi="Cambria"/>
      <w:bCs/>
      <w:color w:val="365F91"/>
      <w:sz w:val="28"/>
      <w:szCs w:val="28"/>
      <w:lang w:val="en-US" w:eastAsia="ja-JP"/>
    </w:rPr>
  </w:style>
  <w:style w:type="paragraph" w:styleId="DocumentMap">
    <w:name w:val="Document Map"/>
    <w:basedOn w:val="Normal"/>
    <w:link w:val="DocumentMapChar"/>
    <w:uiPriority w:val="99"/>
    <w:semiHidden/>
    <w:unhideWhenUsed/>
    <w:rsid w:val="00727ED5"/>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727ED5"/>
    <w:rPr>
      <w:rFonts w:ascii="Tahoma" w:eastAsia="Calibri" w:hAnsi="Tahoma" w:cs="Tahoma"/>
      <w:sz w:val="16"/>
      <w:szCs w:val="16"/>
    </w:rPr>
  </w:style>
  <w:style w:type="character" w:styleId="Emphasis">
    <w:name w:val="Emphasis"/>
    <w:uiPriority w:val="20"/>
    <w:qFormat/>
    <w:rsid w:val="00727ED5"/>
    <w:rPr>
      <w:i/>
      <w:iCs/>
    </w:rPr>
  </w:style>
  <w:style w:type="paragraph" w:styleId="BodyText">
    <w:name w:val="Body Text"/>
    <w:basedOn w:val="Normal"/>
    <w:link w:val="BodyTextChar"/>
    <w:unhideWhenUsed/>
    <w:rsid w:val="00727ED5"/>
    <w:pPr>
      <w:spacing w:after="120"/>
    </w:pPr>
    <w:rPr>
      <w:rFonts w:eastAsia="Calibri" w:cs="Times New Roman"/>
    </w:rPr>
  </w:style>
  <w:style w:type="character" w:customStyle="1" w:styleId="BodyTextChar">
    <w:name w:val="Body Text Char"/>
    <w:basedOn w:val="DefaultParagraphFont"/>
    <w:link w:val="BodyText"/>
    <w:rsid w:val="00727ED5"/>
    <w:rPr>
      <w:rFonts w:eastAsia="Calibri" w:cs="Times New Roman"/>
      <w:sz w:val="22"/>
    </w:rPr>
  </w:style>
  <w:style w:type="paragraph" w:styleId="ListBullet2">
    <w:name w:val="List Bullet 2"/>
    <w:basedOn w:val="Normal"/>
    <w:semiHidden/>
    <w:unhideWhenUsed/>
    <w:rsid w:val="00727ED5"/>
    <w:pPr>
      <w:tabs>
        <w:tab w:val="num" w:pos="643"/>
      </w:tabs>
      <w:ind w:left="643" w:hanging="360"/>
      <w:contextualSpacing/>
    </w:pPr>
    <w:rPr>
      <w:rFonts w:eastAsia="Calibri" w:cs="Times New Roman"/>
    </w:rPr>
  </w:style>
  <w:style w:type="character" w:customStyle="1" w:styleId="charlegsubtitle1">
    <w:name w:val="charlegsubtitle1"/>
    <w:rsid w:val="00727ED5"/>
    <w:rPr>
      <w:rFonts w:ascii="Arial" w:hAnsi="Arial" w:cs="Arial" w:hint="default"/>
      <w:b/>
      <w:bCs/>
      <w:sz w:val="28"/>
      <w:szCs w:val="28"/>
    </w:rPr>
  </w:style>
  <w:style w:type="paragraph" w:styleId="EndnoteText">
    <w:name w:val="endnote text"/>
    <w:basedOn w:val="Normal"/>
    <w:link w:val="EndnoteTextChar"/>
    <w:uiPriority w:val="99"/>
    <w:semiHidden/>
    <w:unhideWhenUsed/>
    <w:rsid w:val="00727ED5"/>
    <w:pPr>
      <w:spacing w:line="240" w:lineRule="auto"/>
    </w:pPr>
    <w:rPr>
      <w:rFonts w:eastAsia="Calibri" w:cs="Times New Roman"/>
      <w:sz w:val="20"/>
    </w:rPr>
  </w:style>
  <w:style w:type="character" w:customStyle="1" w:styleId="EndnoteTextChar">
    <w:name w:val="Endnote Text Char"/>
    <w:basedOn w:val="DefaultParagraphFont"/>
    <w:link w:val="EndnoteText"/>
    <w:uiPriority w:val="99"/>
    <w:semiHidden/>
    <w:rsid w:val="00727ED5"/>
    <w:rPr>
      <w:rFonts w:eastAsia="Calibri" w:cs="Times New Roman"/>
    </w:rPr>
  </w:style>
  <w:style w:type="character" w:styleId="EndnoteReference">
    <w:name w:val="endnote reference"/>
    <w:uiPriority w:val="99"/>
    <w:semiHidden/>
    <w:unhideWhenUsed/>
    <w:rsid w:val="00727ED5"/>
    <w:rPr>
      <w:vertAlign w:val="superscript"/>
    </w:rPr>
  </w:style>
  <w:style w:type="character" w:styleId="LineNumber">
    <w:name w:val="line number"/>
    <w:basedOn w:val="DefaultParagraphFont"/>
    <w:uiPriority w:val="99"/>
    <w:semiHidden/>
    <w:unhideWhenUsed/>
    <w:rsid w:val="00727ED5"/>
  </w:style>
  <w:style w:type="character" w:styleId="CommentReference">
    <w:name w:val="annotation reference"/>
    <w:uiPriority w:val="99"/>
    <w:semiHidden/>
    <w:unhideWhenUsed/>
    <w:rsid w:val="00727ED5"/>
    <w:rPr>
      <w:sz w:val="16"/>
      <w:szCs w:val="16"/>
    </w:rPr>
  </w:style>
  <w:style w:type="paragraph" w:styleId="CommentText">
    <w:name w:val="annotation text"/>
    <w:basedOn w:val="Normal"/>
    <w:link w:val="CommentTextChar"/>
    <w:uiPriority w:val="99"/>
    <w:unhideWhenUsed/>
    <w:rsid w:val="00727ED5"/>
    <w:pPr>
      <w:spacing w:line="240" w:lineRule="auto"/>
    </w:pPr>
    <w:rPr>
      <w:rFonts w:eastAsia="Calibri" w:cs="Times New Roman"/>
      <w:sz w:val="20"/>
    </w:rPr>
  </w:style>
  <w:style w:type="character" w:customStyle="1" w:styleId="CommentTextChar">
    <w:name w:val="Comment Text Char"/>
    <w:basedOn w:val="DefaultParagraphFont"/>
    <w:link w:val="CommentText"/>
    <w:uiPriority w:val="99"/>
    <w:rsid w:val="00727ED5"/>
    <w:rPr>
      <w:rFonts w:eastAsia="Calibri" w:cs="Times New Roman"/>
    </w:rPr>
  </w:style>
  <w:style w:type="paragraph" w:styleId="CommentSubject">
    <w:name w:val="annotation subject"/>
    <w:basedOn w:val="CommentText"/>
    <w:next w:val="CommentText"/>
    <w:link w:val="CommentSubjectChar"/>
    <w:uiPriority w:val="99"/>
    <w:semiHidden/>
    <w:unhideWhenUsed/>
    <w:rsid w:val="00727ED5"/>
    <w:rPr>
      <w:b/>
      <w:bCs/>
    </w:rPr>
  </w:style>
  <w:style w:type="character" w:customStyle="1" w:styleId="CommentSubjectChar">
    <w:name w:val="Comment Subject Char"/>
    <w:basedOn w:val="CommentTextChar"/>
    <w:link w:val="CommentSubject"/>
    <w:uiPriority w:val="99"/>
    <w:semiHidden/>
    <w:rsid w:val="00727ED5"/>
    <w:rPr>
      <w:rFonts w:eastAsia="Calibri" w:cs="Times New Roman"/>
      <w:b/>
      <w:bCs/>
    </w:rPr>
  </w:style>
  <w:style w:type="character" w:customStyle="1" w:styleId="charsrch-url2">
    <w:name w:val="charsrch-url2"/>
    <w:rsid w:val="00727ED5"/>
  </w:style>
  <w:style w:type="character" w:styleId="PlaceholderText">
    <w:name w:val="Placeholder Text"/>
    <w:uiPriority w:val="99"/>
    <w:semiHidden/>
    <w:rsid w:val="00727ED5"/>
    <w:rPr>
      <w:color w:val="808080"/>
    </w:rPr>
  </w:style>
  <w:style w:type="paragraph" w:styleId="Quote">
    <w:name w:val="Quote"/>
    <w:basedOn w:val="Normal"/>
    <w:link w:val="QuoteChar"/>
    <w:qFormat/>
    <w:rsid w:val="00727ED5"/>
    <w:pPr>
      <w:spacing w:after="240" w:line="240" w:lineRule="auto"/>
      <w:ind w:left="851" w:right="851"/>
      <w:jc w:val="both"/>
    </w:pPr>
    <w:rPr>
      <w:rFonts w:eastAsia="Times New Roman" w:cs="Times New Roman"/>
      <w:sz w:val="24"/>
    </w:rPr>
  </w:style>
  <w:style w:type="character" w:customStyle="1" w:styleId="QuoteChar">
    <w:name w:val="Quote Char"/>
    <w:basedOn w:val="DefaultParagraphFont"/>
    <w:link w:val="Quote"/>
    <w:rsid w:val="00727ED5"/>
    <w:rPr>
      <w:rFonts w:eastAsia="Times New Roman" w:cs="Times New Roman"/>
      <w:sz w:val="24"/>
    </w:rPr>
  </w:style>
  <w:style w:type="character" w:customStyle="1" w:styleId="charapple-converted-space">
    <w:name w:val="charapple-converted-space"/>
    <w:rsid w:val="00727ED5"/>
  </w:style>
  <w:style w:type="paragraph" w:styleId="Revision">
    <w:name w:val="Revision"/>
    <w:hidden/>
    <w:uiPriority w:val="99"/>
    <w:semiHidden/>
    <w:rsid w:val="00727ED5"/>
    <w:rPr>
      <w:rFonts w:eastAsia="Calibri" w:cs="Times New Roman"/>
      <w:sz w:val="22"/>
    </w:rPr>
  </w:style>
  <w:style w:type="paragraph" w:customStyle="1" w:styleId="Issued">
    <w:name w:val="Issued"/>
    <w:basedOn w:val="Body"/>
    <w:rsid w:val="00D24275"/>
    <w:pPr>
      <w:spacing w:before="120"/>
    </w:pPr>
    <w:rPr>
      <w:b/>
      <w:sz w:val="28"/>
    </w:rPr>
  </w:style>
  <w:style w:type="paragraph" w:customStyle="1" w:styleId="Release">
    <w:name w:val="Release"/>
    <w:basedOn w:val="Body"/>
    <w:rsid w:val="00D24275"/>
    <w:rPr>
      <w:b/>
    </w:rPr>
  </w:style>
  <w:style w:type="paragraph" w:customStyle="1" w:styleId="SundryBoxHeadBold">
    <w:name w:val="SundryBoxHeadBold"/>
    <w:aliases w:val="sbhb"/>
    <w:basedOn w:val="BoxHeadBold"/>
    <w:rsid w:val="00C83987"/>
    <w:pPr>
      <w:ind w:left="0"/>
    </w:pPr>
    <w:rPr>
      <w:sz w:val="24"/>
      <w:szCs w:val="24"/>
    </w:rPr>
  </w:style>
  <w:style w:type="paragraph" w:customStyle="1" w:styleId="SundryBoxStep">
    <w:name w:val="SundryBoxStep"/>
    <w:aliases w:val="sbs"/>
    <w:basedOn w:val="BoxStep"/>
    <w:rsid w:val="00C83987"/>
  </w:style>
  <w:style w:type="paragraph" w:customStyle="1" w:styleId="SundryBoxBullet">
    <w:name w:val="SundryBoxBullet"/>
    <w:aliases w:val="sbb"/>
    <w:basedOn w:val="SOBullet"/>
    <w:rsid w:val="00F75BA9"/>
    <w:pPr>
      <w:ind w:left="425"/>
    </w:pPr>
    <w:rPr>
      <w:sz w:val="24"/>
      <w:szCs w:val="24"/>
    </w:rPr>
  </w:style>
  <w:style w:type="character" w:customStyle="1" w:styleId="paragraphChar">
    <w:name w:val="paragraph Char"/>
    <w:aliases w:val="a Char"/>
    <w:basedOn w:val="DefaultParagraphFont"/>
    <w:link w:val="paragraph"/>
    <w:rsid w:val="004D660C"/>
    <w:rPr>
      <w:rFonts w:eastAsia="Times New Roman" w:cs="Times New Roman"/>
      <w:sz w:val="22"/>
      <w:lang w:eastAsia="en-AU"/>
    </w:rPr>
  </w:style>
  <w:style w:type="character" w:customStyle="1" w:styleId="subsectionChar">
    <w:name w:val="subsection Char"/>
    <w:aliases w:val="ss Char"/>
    <w:basedOn w:val="DefaultParagraphFont"/>
    <w:link w:val="subsection"/>
    <w:rsid w:val="004D660C"/>
    <w:rPr>
      <w:rFonts w:eastAsia="Times New Roman" w:cs="Times New Roman"/>
      <w:sz w:val="22"/>
      <w:lang w:eastAsia="en-AU"/>
    </w:rPr>
  </w:style>
  <w:style w:type="paragraph" w:customStyle="1" w:styleId="tableheading0">
    <w:name w:val="tableheading"/>
    <w:basedOn w:val="Normal"/>
    <w:rsid w:val="001E2F20"/>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1E2F20"/>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277385"/>
    <w:rPr>
      <w:color w:val="605E5C"/>
      <w:shd w:val="clear" w:color="auto" w:fill="E1DFDD"/>
    </w:rPr>
  </w:style>
  <w:style w:type="paragraph" w:customStyle="1" w:styleId="paragraphsub0">
    <w:name w:val="paragraphsub"/>
    <w:basedOn w:val="Normal"/>
    <w:rsid w:val="00C5292E"/>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0495">
      <w:bodyDiv w:val="1"/>
      <w:marLeft w:val="0"/>
      <w:marRight w:val="0"/>
      <w:marTop w:val="0"/>
      <w:marBottom w:val="0"/>
      <w:divBdr>
        <w:top w:val="none" w:sz="0" w:space="0" w:color="auto"/>
        <w:left w:val="none" w:sz="0" w:space="0" w:color="auto"/>
        <w:bottom w:val="none" w:sz="0" w:space="0" w:color="auto"/>
        <w:right w:val="none" w:sz="0" w:space="0" w:color="auto"/>
      </w:divBdr>
    </w:div>
    <w:div w:id="141969571">
      <w:bodyDiv w:val="1"/>
      <w:marLeft w:val="0"/>
      <w:marRight w:val="0"/>
      <w:marTop w:val="0"/>
      <w:marBottom w:val="0"/>
      <w:divBdr>
        <w:top w:val="none" w:sz="0" w:space="0" w:color="auto"/>
        <w:left w:val="none" w:sz="0" w:space="0" w:color="auto"/>
        <w:bottom w:val="none" w:sz="0" w:space="0" w:color="auto"/>
        <w:right w:val="none" w:sz="0" w:space="0" w:color="auto"/>
      </w:divBdr>
    </w:div>
    <w:div w:id="146823983">
      <w:bodyDiv w:val="1"/>
      <w:marLeft w:val="0"/>
      <w:marRight w:val="0"/>
      <w:marTop w:val="0"/>
      <w:marBottom w:val="0"/>
      <w:divBdr>
        <w:top w:val="none" w:sz="0" w:space="0" w:color="auto"/>
        <w:left w:val="none" w:sz="0" w:space="0" w:color="auto"/>
        <w:bottom w:val="none" w:sz="0" w:space="0" w:color="auto"/>
        <w:right w:val="none" w:sz="0" w:space="0" w:color="auto"/>
      </w:divBdr>
    </w:div>
    <w:div w:id="236980400">
      <w:bodyDiv w:val="1"/>
      <w:marLeft w:val="0"/>
      <w:marRight w:val="0"/>
      <w:marTop w:val="0"/>
      <w:marBottom w:val="0"/>
      <w:divBdr>
        <w:top w:val="none" w:sz="0" w:space="0" w:color="auto"/>
        <w:left w:val="none" w:sz="0" w:space="0" w:color="auto"/>
        <w:bottom w:val="none" w:sz="0" w:space="0" w:color="auto"/>
        <w:right w:val="none" w:sz="0" w:space="0" w:color="auto"/>
      </w:divBdr>
    </w:div>
    <w:div w:id="251088820">
      <w:bodyDiv w:val="1"/>
      <w:marLeft w:val="0"/>
      <w:marRight w:val="0"/>
      <w:marTop w:val="0"/>
      <w:marBottom w:val="0"/>
      <w:divBdr>
        <w:top w:val="none" w:sz="0" w:space="0" w:color="auto"/>
        <w:left w:val="none" w:sz="0" w:space="0" w:color="auto"/>
        <w:bottom w:val="none" w:sz="0" w:space="0" w:color="auto"/>
        <w:right w:val="none" w:sz="0" w:space="0" w:color="auto"/>
      </w:divBdr>
    </w:div>
    <w:div w:id="292978684">
      <w:bodyDiv w:val="1"/>
      <w:marLeft w:val="0"/>
      <w:marRight w:val="0"/>
      <w:marTop w:val="0"/>
      <w:marBottom w:val="0"/>
      <w:divBdr>
        <w:top w:val="none" w:sz="0" w:space="0" w:color="auto"/>
        <w:left w:val="none" w:sz="0" w:space="0" w:color="auto"/>
        <w:bottom w:val="none" w:sz="0" w:space="0" w:color="auto"/>
        <w:right w:val="none" w:sz="0" w:space="0" w:color="auto"/>
      </w:divBdr>
    </w:div>
    <w:div w:id="429087204">
      <w:bodyDiv w:val="1"/>
      <w:marLeft w:val="0"/>
      <w:marRight w:val="0"/>
      <w:marTop w:val="0"/>
      <w:marBottom w:val="0"/>
      <w:divBdr>
        <w:top w:val="none" w:sz="0" w:space="0" w:color="auto"/>
        <w:left w:val="none" w:sz="0" w:space="0" w:color="auto"/>
        <w:bottom w:val="none" w:sz="0" w:space="0" w:color="auto"/>
        <w:right w:val="none" w:sz="0" w:space="0" w:color="auto"/>
      </w:divBdr>
    </w:div>
    <w:div w:id="562452832">
      <w:bodyDiv w:val="1"/>
      <w:marLeft w:val="0"/>
      <w:marRight w:val="0"/>
      <w:marTop w:val="0"/>
      <w:marBottom w:val="0"/>
      <w:divBdr>
        <w:top w:val="none" w:sz="0" w:space="0" w:color="auto"/>
        <w:left w:val="none" w:sz="0" w:space="0" w:color="auto"/>
        <w:bottom w:val="none" w:sz="0" w:space="0" w:color="auto"/>
        <w:right w:val="none" w:sz="0" w:space="0" w:color="auto"/>
      </w:divBdr>
    </w:div>
    <w:div w:id="589511560">
      <w:bodyDiv w:val="1"/>
      <w:marLeft w:val="0"/>
      <w:marRight w:val="0"/>
      <w:marTop w:val="0"/>
      <w:marBottom w:val="0"/>
      <w:divBdr>
        <w:top w:val="none" w:sz="0" w:space="0" w:color="auto"/>
        <w:left w:val="none" w:sz="0" w:space="0" w:color="auto"/>
        <w:bottom w:val="none" w:sz="0" w:space="0" w:color="auto"/>
        <w:right w:val="none" w:sz="0" w:space="0" w:color="auto"/>
      </w:divBdr>
    </w:div>
    <w:div w:id="604384689">
      <w:bodyDiv w:val="1"/>
      <w:marLeft w:val="0"/>
      <w:marRight w:val="0"/>
      <w:marTop w:val="0"/>
      <w:marBottom w:val="0"/>
      <w:divBdr>
        <w:top w:val="none" w:sz="0" w:space="0" w:color="auto"/>
        <w:left w:val="none" w:sz="0" w:space="0" w:color="auto"/>
        <w:bottom w:val="none" w:sz="0" w:space="0" w:color="auto"/>
        <w:right w:val="none" w:sz="0" w:space="0" w:color="auto"/>
      </w:divBdr>
      <w:divsChild>
        <w:div w:id="382751954">
          <w:marLeft w:val="0"/>
          <w:marRight w:val="0"/>
          <w:marTop w:val="0"/>
          <w:marBottom w:val="0"/>
          <w:divBdr>
            <w:top w:val="none" w:sz="0" w:space="0" w:color="auto"/>
            <w:left w:val="none" w:sz="0" w:space="0" w:color="auto"/>
            <w:bottom w:val="none" w:sz="0" w:space="0" w:color="auto"/>
            <w:right w:val="none" w:sz="0" w:space="0" w:color="auto"/>
          </w:divBdr>
          <w:divsChild>
            <w:div w:id="270628633">
              <w:marLeft w:val="0"/>
              <w:marRight w:val="0"/>
              <w:marTop w:val="0"/>
              <w:marBottom w:val="0"/>
              <w:divBdr>
                <w:top w:val="none" w:sz="0" w:space="0" w:color="auto"/>
                <w:left w:val="none" w:sz="0" w:space="0" w:color="auto"/>
                <w:bottom w:val="none" w:sz="0" w:space="0" w:color="auto"/>
                <w:right w:val="none" w:sz="0" w:space="0" w:color="auto"/>
              </w:divBdr>
              <w:divsChild>
                <w:div w:id="1342315235">
                  <w:marLeft w:val="0"/>
                  <w:marRight w:val="0"/>
                  <w:marTop w:val="0"/>
                  <w:marBottom w:val="0"/>
                  <w:divBdr>
                    <w:top w:val="none" w:sz="0" w:space="0" w:color="auto"/>
                    <w:left w:val="none" w:sz="0" w:space="0" w:color="auto"/>
                    <w:bottom w:val="none" w:sz="0" w:space="0" w:color="auto"/>
                    <w:right w:val="none" w:sz="0" w:space="0" w:color="auto"/>
                  </w:divBdr>
                  <w:divsChild>
                    <w:div w:id="1242643832">
                      <w:marLeft w:val="0"/>
                      <w:marRight w:val="0"/>
                      <w:marTop w:val="0"/>
                      <w:marBottom w:val="0"/>
                      <w:divBdr>
                        <w:top w:val="none" w:sz="0" w:space="0" w:color="auto"/>
                        <w:left w:val="none" w:sz="0" w:space="0" w:color="auto"/>
                        <w:bottom w:val="none" w:sz="0" w:space="0" w:color="auto"/>
                        <w:right w:val="none" w:sz="0" w:space="0" w:color="auto"/>
                      </w:divBdr>
                      <w:divsChild>
                        <w:div w:id="358895527">
                          <w:marLeft w:val="0"/>
                          <w:marRight w:val="0"/>
                          <w:marTop w:val="0"/>
                          <w:marBottom w:val="0"/>
                          <w:divBdr>
                            <w:top w:val="none" w:sz="0" w:space="0" w:color="auto"/>
                            <w:left w:val="none" w:sz="0" w:space="0" w:color="auto"/>
                            <w:bottom w:val="none" w:sz="0" w:space="0" w:color="auto"/>
                            <w:right w:val="none" w:sz="0" w:space="0" w:color="auto"/>
                          </w:divBdr>
                          <w:divsChild>
                            <w:div w:id="513761024">
                              <w:marLeft w:val="0"/>
                              <w:marRight w:val="0"/>
                              <w:marTop w:val="0"/>
                              <w:marBottom w:val="0"/>
                              <w:divBdr>
                                <w:top w:val="none" w:sz="0" w:space="0" w:color="auto"/>
                                <w:left w:val="none" w:sz="0" w:space="0" w:color="auto"/>
                                <w:bottom w:val="none" w:sz="0" w:space="0" w:color="auto"/>
                                <w:right w:val="none" w:sz="0" w:space="0" w:color="auto"/>
                              </w:divBdr>
                              <w:divsChild>
                                <w:div w:id="976254518">
                                  <w:marLeft w:val="0"/>
                                  <w:marRight w:val="0"/>
                                  <w:marTop w:val="0"/>
                                  <w:marBottom w:val="0"/>
                                  <w:divBdr>
                                    <w:top w:val="none" w:sz="0" w:space="0" w:color="auto"/>
                                    <w:left w:val="none" w:sz="0" w:space="0" w:color="auto"/>
                                    <w:bottom w:val="none" w:sz="0" w:space="0" w:color="auto"/>
                                    <w:right w:val="none" w:sz="0" w:space="0" w:color="auto"/>
                                  </w:divBdr>
                                  <w:divsChild>
                                    <w:div w:id="1618288767">
                                      <w:marLeft w:val="0"/>
                                      <w:marRight w:val="0"/>
                                      <w:marTop w:val="0"/>
                                      <w:marBottom w:val="0"/>
                                      <w:divBdr>
                                        <w:top w:val="none" w:sz="0" w:space="0" w:color="auto"/>
                                        <w:left w:val="none" w:sz="0" w:space="0" w:color="auto"/>
                                        <w:bottom w:val="none" w:sz="0" w:space="0" w:color="auto"/>
                                        <w:right w:val="none" w:sz="0" w:space="0" w:color="auto"/>
                                      </w:divBdr>
                                      <w:divsChild>
                                        <w:div w:id="1558783835">
                                          <w:marLeft w:val="0"/>
                                          <w:marRight w:val="0"/>
                                          <w:marTop w:val="0"/>
                                          <w:marBottom w:val="0"/>
                                          <w:divBdr>
                                            <w:top w:val="none" w:sz="0" w:space="0" w:color="auto"/>
                                            <w:left w:val="none" w:sz="0" w:space="0" w:color="auto"/>
                                            <w:bottom w:val="none" w:sz="0" w:space="0" w:color="auto"/>
                                            <w:right w:val="none" w:sz="0" w:space="0" w:color="auto"/>
                                          </w:divBdr>
                                          <w:divsChild>
                                            <w:div w:id="17850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63466">
      <w:bodyDiv w:val="1"/>
      <w:marLeft w:val="0"/>
      <w:marRight w:val="0"/>
      <w:marTop w:val="0"/>
      <w:marBottom w:val="0"/>
      <w:divBdr>
        <w:top w:val="none" w:sz="0" w:space="0" w:color="auto"/>
        <w:left w:val="none" w:sz="0" w:space="0" w:color="auto"/>
        <w:bottom w:val="none" w:sz="0" w:space="0" w:color="auto"/>
        <w:right w:val="none" w:sz="0" w:space="0" w:color="auto"/>
      </w:divBdr>
    </w:div>
    <w:div w:id="687605385">
      <w:bodyDiv w:val="1"/>
      <w:marLeft w:val="0"/>
      <w:marRight w:val="0"/>
      <w:marTop w:val="0"/>
      <w:marBottom w:val="0"/>
      <w:divBdr>
        <w:top w:val="none" w:sz="0" w:space="0" w:color="auto"/>
        <w:left w:val="none" w:sz="0" w:space="0" w:color="auto"/>
        <w:bottom w:val="none" w:sz="0" w:space="0" w:color="auto"/>
        <w:right w:val="none" w:sz="0" w:space="0" w:color="auto"/>
      </w:divBdr>
    </w:div>
    <w:div w:id="705763261">
      <w:bodyDiv w:val="1"/>
      <w:marLeft w:val="0"/>
      <w:marRight w:val="0"/>
      <w:marTop w:val="0"/>
      <w:marBottom w:val="0"/>
      <w:divBdr>
        <w:top w:val="none" w:sz="0" w:space="0" w:color="auto"/>
        <w:left w:val="none" w:sz="0" w:space="0" w:color="auto"/>
        <w:bottom w:val="none" w:sz="0" w:space="0" w:color="auto"/>
        <w:right w:val="none" w:sz="0" w:space="0" w:color="auto"/>
      </w:divBdr>
    </w:div>
    <w:div w:id="714619812">
      <w:bodyDiv w:val="1"/>
      <w:marLeft w:val="0"/>
      <w:marRight w:val="0"/>
      <w:marTop w:val="0"/>
      <w:marBottom w:val="0"/>
      <w:divBdr>
        <w:top w:val="none" w:sz="0" w:space="0" w:color="auto"/>
        <w:left w:val="none" w:sz="0" w:space="0" w:color="auto"/>
        <w:bottom w:val="none" w:sz="0" w:space="0" w:color="auto"/>
        <w:right w:val="none" w:sz="0" w:space="0" w:color="auto"/>
      </w:divBdr>
    </w:div>
    <w:div w:id="737938301">
      <w:bodyDiv w:val="1"/>
      <w:marLeft w:val="0"/>
      <w:marRight w:val="0"/>
      <w:marTop w:val="0"/>
      <w:marBottom w:val="0"/>
      <w:divBdr>
        <w:top w:val="none" w:sz="0" w:space="0" w:color="auto"/>
        <w:left w:val="none" w:sz="0" w:space="0" w:color="auto"/>
        <w:bottom w:val="none" w:sz="0" w:space="0" w:color="auto"/>
        <w:right w:val="none" w:sz="0" w:space="0" w:color="auto"/>
      </w:divBdr>
    </w:div>
    <w:div w:id="887179706">
      <w:bodyDiv w:val="1"/>
      <w:marLeft w:val="0"/>
      <w:marRight w:val="0"/>
      <w:marTop w:val="0"/>
      <w:marBottom w:val="0"/>
      <w:divBdr>
        <w:top w:val="none" w:sz="0" w:space="0" w:color="auto"/>
        <w:left w:val="none" w:sz="0" w:space="0" w:color="auto"/>
        <w:bottom w:val="none" w:sz="0" w:space="0" w:color="auto"/>
        <w:right w:val="none" w:sz="0" w:space="0" w:color="auto"/>
      </w:divBdr>
    </w:div>
    <w:div w:id="994455290">
      <w:bodyDiv w:val="1"/>
      <w:marLeft w:val="0"/>
      <w:marRight w:val="0"/>
      <w:marTop w:val="0"/>
      <w:marBottom w:val="0"/>
      <w:divBdr>
        <w:top w:val="none" w:sz="0" w:space="0" w:color="auto"/>
        <w:left w:val="none" w:sz="0" w:space="0" w:color="auto"/>
        <w:bottom w:val="none" w:sz="0" w:space="0" w:color="auto"/>
        <w:right w:val="none" w:sz="0" w:space="0" w:color="auto"/>
      </w:divBdr>
    </w:div>
    <w:div w:id="1003121929">
      <w:bodyDiv w:val="1"/>
      <w:marLeft w:val="0"/>
      <w:marRight w:val="0"/>
      <w:marTop w:val="0"/>
      <w:marBottom w:val="0"/>
      <w:divBdr>
        <w:top w:val="none" w:sz="0" w:space="0" w:color="auto"/>
        <w:left w:val="none" w:sz="0" w:space="0" w:color="auto"/>
        <w:bottom w:val="none" w:sz="0" w:space="0" w:color="auto"/>
        <w:right w:val="none" w:sz="0" w:space="0" w:color="auto"/>
      </w:divBdr>
    </w:div>
    <w:div w:id="1005329618">
      <w:bodyDiv w:val="1"/>
      <w:marLeft w:val="0"/>
      <w:marRight w:val="0"/>
      <w:marTop w:val="0"/>
      <w:marBottom w:val="0"/>
      <w:divBdr>
        <w:top w:val="none" w:sz="0" w:space="0" w:color="auto"/>
        <w:left w:val="none" w:sz="0" w:space="0" w:color="auto"/>
        <w:bottom w:val="none" w:sz="0" w:space="0" w:color="auto"/>
        <w:right w:val="none" w:sz="0" w:space="0" w:color="auto"/>
      </w:divBdr>
    </w:div>
    <w:div w:id="1078288877">
      <w:bodyDiv w:val="1"/>
      <w:marLeft w:val="0"/>
      <w:marRight w:val="0"/>
      <w:marTop w:val="0"/>
      <w:marBottom w:val="0"/>
      <w:divBdr>
        <w:top w:val="none" w:sz="0" w:space="0" w:color="auto"/>
        <w:left w:val="none" w:sz="0" w:space="0" w:color="auto"/>
        <w:bottom w:val="none" w:sz="0" w:space="0" w:color="auto"/>
        <w:right w:val="none" w:sz="0" w:space="0" w:color="auto"/>
      </w:divBdr>
    </w:div>
    <w:div w:id="1195729281">
      <w:bodyDiv w:val="1"/>
      <w:marLeft w:val="0"/>
      <w:marRight w:val="0"/>
      <w:marTop w:val="0"/>
      <w:marBottom w:val="0"/>
      <w:divBdr>
        <w:top w:val="none" w:sz="0" w:space="0" w:color="auto"/>
        <w:left w:val="none" w:sz="0" w:space="0" w:color="auto"/>
        <w:bottom w:val="none" w:sz="0" w:space="0" w:color="auto"/>
        <w:right w:val="none" w:sz="0" w:space="0" w:color="auto"/>
      </w:divBdr>
    </w:div>
    <w:div w:id="1402868485">
      <w:bodyDiv w:val="1"/>
      <w:marLeft w:val="0"/>
      <w:marRight w:val="0"/>
      <w:marTop w:val="0"/>
      <w:marBottom w:val="0"/>
      <w:divBdr>
        <w:top w:val="none" w:sz="0" w:space="0" w:color="auto"/>
        <w:left w:val="none" w:sz="0" w:space="0" w:color="auto"/>
        <w:bottom w:val="none" w:sz="0" w:space="0" w:color="auto"/>
        <w:right w:val="none" w:sz="0" w:space="0" w:color="auto"/>
      </w:divBdr>
    </w:div>
    <w:div w:id="1452943501">
      <w:bodyDiv w:val="1"/>
      <w:marLeft w:val="0"/>
      <w:marRight w:val="0"/>
      <w:marTop w:val="0"/>
      <w:marBottom w:val="0"/>
      <w:divBdr>
        <w:top w:val="none" w:sz="0" w:space="0" w:color="auto"/>
        <w:left w:val="none" w:sz="0" w:space="0" w:color="auto"/>
        <w:bottom w:val="none" w:sz="0" w:space="0" w:color="auto"/>
        <w:right w:val="none" w:sz="0" w:space="0" w:color="auto"/>
      </w:divBdr>
    </w:div>
    <w:div w:id="1482651730">
      <w:bodyDiv w:val="1"/>
      <w:marLeft w:val="0"/>
      <w:marRight w:val="0"/>
      <w:marTop w:val="0"/>
      <w:marBottom w:val="0"/>
      <w:divBdr>
        <w:top w:val="none" w:sz="0" w:space="0" w:color="auto"/>
        <w:left w:val="none" w:sz="0" w:space="0" w:color="auto"/>
        <w:bottom w:val="none" w:sz="0" w:space="0" w:color="auto"/>
        <w:right w:val="none" w:sz="0" w:space="0" w:color="auto"/>
      </w:divBdr>
    </w:div>
    <w:div w:id="1483545354">
      <w:bodyDiv w:val="1"/>
      <w:marLeft w:val="0"/>
      <w:marRight w:val="0"/>
      <w:marTop w:val="0"/>
      <w:marBottom w:val="0"/>
      <w:divBdr>
        <w:top w:val="none" w:sz="0" w:space="0" w:color="auto"/>
        <w:left w:val="none" w:sz="0" w:space="0" w:color="auto"/>
        <w:bottom w:val="none" w:sz="0" w:space="0" w:color="auto"/>
        <w:right w:val="none" w:sz="0" w:space="0" w:color="auto"/>
      </w:divBdr>
    </w:div>
    <w:div w:id="1652171907">
      <w:bodyDiv w:val="1"/>
      <w:marLeft w:val="0"/>
      <w:marRight w:val="0"/>
      <w:marTop w:val="0"/>
      <w:marBottom w:val="0"/>
      <w:divBdr>
        <w:top w:val="none" w:sz="0" w:space="0" w:color="auto"/>
        <w:left w:val="none" w:sz="0" w:space="0" w:color="auto"/>
        <w:bottom w:val="none" w:sz="0" w:space="0" w:color="auto"/>
        <w:right w:val="none" w:sz="0" w:space="0" w:color="auto"/>
      </w:divBdr>
    </w:div>
    <w:div w:id="1680277986">
      <w:bodyDiv w:val="1"/>
      <w:marLeft w:val="0"/>
      <w:marRight w:val="0"/>
      <w:marTop w:val="0"/>
      <w:marBottom w:val="0"/>
      <w:divBdr>
        <w:top w:val="none" w:sz="0" w:space="0" w:color="auto"/>
        <w:left w:val="none" w:sz="0" w:space="0" w:color="auto"/>
        <w:bottom w:val="none" w:sz="0" w:space="0" w:color="auto"/>
        <w:right w:val="none" w:sz="0" w:space="0" w:color="auto"/>
      </w:divBdr>
    </w:div>
    <w:div w:id="1686861947">
      <w:bodyDiv w:val="1"/>
      <w:marLeft w:val="0"/>
      <w:marRight w:val="0"/>
      <w:marTop w:val="0"/>
      <w:marBottom w:val="0"/>
      <w:divBdr>
        <w:top w:val="none" w:sz="0" w:space="0" w:color="auto"/>
        <w:left w:val="none" w:sz="0" w:space="0" w:color="auto"/>
        <w:bottom w:val="none" w:sz="0" w:space="0" w:color="auto"/>
        <w:right w:val="none" w:sz="0" w:space="0" w:color="auto"/>
      </w:divBdr>
    </w:div>
    <w:div w:id="1742172700">
      <w:bodyDiv w:val="1"/>
      <w:marLeft w:val="0"/>
      <w:marRight w:val="0"/>
      <w:marTop w:val="0"/>
      <w:marBottom w:val="0"/>
      <w:divBdr>
        <w:top w:val="none" w:sz="0" w:space="0" w:color="auto"/>
        <w:left w:val="none" w:sz="0" w:space="0" w:color="auto"/>
        <w:bottom w:val="none" w:sz="0" w:space="0" w:color="auto"/>
        <w:right w:val="none" w:sz="0" w:space="0" w:color="auto"/>
      </w:divBdr>
      <w:divsChild>
        <w:div w:id="502009953">
          <w:marLeft w:val="0"/>
          <w:marRight w:val="0"/>
          <w:marTop w:val="0"/>
          <w:marBottom w:val="0"/>
          <w:divBdr>
            <w:top w:val="none" w:sz="0" w:space="0" w:color="auto"/>
            <w:left w:val="none" w:sz="0" w:space="0" w:color="auto"/>
            <w:bottom w:val="none" w:sz="0" w:space="0" w:color="auto"/>
            <w:right w:val="none" w:sz="0" w:space="0" w:color="auto"/>
          </w:divBdr>
          <w:divsChild>
            <w:div w:id="242036546">
              <w:marLeft w:val="0"/>
              <w:marRight w:val="0"/>
              <w:marTop w:val="0"/>
              <w:marBottom w:val="0"/>
              <w:divBdr>
                <w:top w:val="none" w:sz="0" w:space="0" w:color="auto"/>
                <w:left w:val="none" w:sz="0" w:space="0" w:color="auto"/>
                <w:bottom w:val="none" w:sz="0" w:space="0" w:color="auto"/>
                <w:right w:val="none" w:sz="0" w:space="0" w:color="auto"/>
              </w:divBdr>
              <w:divsChild>
                <w:div w:id="1564639074">
                  <w:marLeft w:val="0"/>
                  <w:marRight w:val="0"/>
                  <w:marTop w:val="0"/>
                  <w:marBottom w:val="0"/>
                  <w:divBdr>
                    <w:top w:val="none" w:sz="0" w:space="0" w:color="auto"/>
                    <w:left w:val="none" w:sz="0" w:space="0" w:color="auto"/>
                    <w:bottom w:val="none" w:sz="0" w:space="0" w:color="auto"/>
                    <w:right w:val="none" w:sz="0" w:space="0" w:color="auto"/>
                  </w:divBdr>
                  <w:divsChild>
                    <w:div w:id="412825386">
                      <w:marLeft w:val="0"/>
                      <w:marRight w:val="0"/>
                      <w:marTop w:val="0"/>
                      <w:marBottom w:val="0"/>
                      <w:divBdr>
                        <w:top w:val="none" w:sz="0" w:space="0" w:color="auto"/>
                        <w:left w:val="none" w:sz="0" w:space="0" w:color="auto"/>
                        <w:bottom w:val="none" w:sz="0" w:space="0" w:color="auto"/>
                        <w:right w:val="none" w:sz="0" w:space="0" w:color="auto"/>
                      </w:divBdr>
                      <w:divsChild>
                        <w:div w:id="809054842">
                          <w:marLeft w:val="0"/>
                          <w:marRight w:val="0"/>
                          <w:marTop w:val="0"/>
                          <w:marBottom w:val="0"/>
                          <w:divBdr>
                            <w:top w:val="none" w:sz="0" w:space="0" w:color="auto"/>
                            <w:left w:val="none" w:sz="0" w:space="0" w:color="auto"/>
                            <w:bottom w:val="none" w:sz="0" w:space="0" w:color="auto"/>
                            <w:right w:val="none" w:sz="0" w:space="0" w:color="auto"/>
                          </w:divBdr>
                          <w:divsChild>
                            <w:div w:id="688138090">
                              <w:marLeft w:val="0"/>
                              <w:marRight w:val="0"/>
                              <w:marTop w:val="0"/>
                              <w:marBottom w:val="0"/>
                              <w:divBdr>
                                <w:top w:val="none" w:sz="0" w:space="0" w:color="auto"/>
                                <w:left w:val="none" w:sz="0" w:space="0" w:color="auto"/>
                                <w:bottom w:val="none" w:sz="0" w:space="0" w:color="auto"/>
                                <w:right w:val="none" w:sz="0" w:space="0" w:color="auto"/>
                              </w:divBdr>
                              <w:divsChild>
                                <w:div w:id="898830418">
                                  <w:marLeft w:val="0"/>
                                  <w:marRight w:val="0"/>
                                  <w:marTop w:val="0"/>
                                  <w:marBottom w:val="0"/>
                                  <w:divBdr>
                                    <w:top w:val="none" w:sz="0" w:space="0" w:color="auto"/>
                                    <w:left w:val="none" w:sz="0" w:space="0" w:color="auto"/>
                                    <w:bottom w:val="none" w:sz="0" w:space="0" w:color="auto"/>
                                    <w:right w:val="none" w:sz="0" w:space="0" w:color="auto"/>
                                  </w:divBdr>
                                  <w:divsChild>
                                    <w:div w:id="410809537">
                                      <w:marLeft w:val="0"/>
                                      <w:marRight w:val="0"/>
                                      <w:marTop w:val="0"/>
                                      <w:marBottom w:val="0"/>
                                      <w:divBdr>
                                        <w:top w:val="none" w:sz="0" w:space="0" w:color="auto"/>
                                        <w:left w:val="none" w:sz="0" w:space="0" w:color="auto"/>
                                        <w:bottom w:val="none" w:sz="0" w:space="0" w:color="auto"/>
                                        <w:right w:val="none" w:sz="0" w:space="0" w:color="auto"/>
                                      </w:divBdr>
                                      <w:divsChild>
                                        <w:div w:id="127087190">
                                          <w:marLeft w:val="0"/>
                                          <w:marRight w:val="0"/>
                                          <w:marTop w:val="0"/>
                                          <w:marBottom w:val="0"/>
                                          <w:divBdr>
                                            <w:top w:val="none" w:sz="0" w:space="0" w:color="auto"/>
                                            <w:left w:val="none" w:sz="0" w:space="0" w:color="auto"/>
                                            <w:bottom w:val="none" w:sz="0" w:space="0" w:color="auto"/>
                                            <w:right w:val="none" w:sz="0" w:space="0" w:color="auto"/>
                                          </w:divBdr>
                                          <w:divsChild>
                                            <w:div w:id="723673649">
                                              <w:marLeft w:val="0"/>
                                              <w:marRight w:val="0"/>
                                              <w:marTop w:val="0"/>
                                              <w:marBottom w:val="0"/>
                                              <w:divBdr>
                                                <w:top w:val="none" w:sz="0" w:space="0" w:color="auto"/>
                                                <w:left w:val="none" w:sz="0" w:space="0" w:color="auto"/>
                                                <w:bottom w:val="none" w:sz="0" w:space="0" w:color="auto"/>
                                                <w:right w:val="none" w:sz="0" w:space="0" w:color="auto"/>
                                              </w:divBdr>
                                              <w:divsChild>
                                                <w:div w:id="1081827372">
                                                  <w:marLeft w:val="0"/>
                                                  <w:marRight w:val="0"/>
                                                  <w:marTop w:val="0"/>
                                                  <w:marBottom w:val="0"/>
                                                  <w:divBdr>
                                                    <w:top w:val="none" w:sz="0" w:space="0" w:color="auto"/>
                                                    <w:left w:val="none" w:sz="0" w:space="0" w:color="auto"/>
                                                    <w:bottom w:val="none" w:sz="0" w:space="0" w:color="auto"/>
                                                    <w:right w:val="none" w:sz="0" w:space="0" w:color="auto"/>
                                                  </w:divBdr>
                                                  <w:divsChild>
                                                    <w:div w:id="1262836063">
                                                      <w:marLeft w:val="0"/>
                                                      <w:marRight w:val="0"/>
                                                      <w:marTop w:val="0"/>
                                                      <w:marBottom w:val="0"/>
                                                      <w:divBdr>
                                                        <w:top w:val="none" w:sz="0" w:space="0" w:color="auto"/>
                                                        <w:left w:val="none" w:sz="0" w:space="0" w:color="auto"/>
                                                        <w:bottom w:val="none" w:sz="0" w:space="0" w:color="auto"/>
                                                        <w:right w:val="none" w:sz="0" w:space="0" w:color="auto"/>
                                                      </w:divBdr>
                                                      <w:divsChild>
                                                        <w:div w:id="7243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664416">
      <w:bodyDiv w:val="1"/>
      <w:marLeft w:val="0"/>
      <w:marRight w:val="0"/>
      <w:marTop w:val="0"/>
      <w:marBottom w:val="0"/>
      <w:divBdr>
        <w:top w:val="none" w:sz="0" w:space="0" w:color="auto"/>
        <w:left w:val="none" w:sz="0" w:space="0" w:color="auto"/>
        <w:bottom w:val="none" w:sz="0" w:space="0" w:color="auto"/>
        <w:right w:val="none" w:sz="0" w:space="0" w:color="auto"/>
      </w:divBdr>
    </w:div>
    <w:div w:id="1845707601">
      <w:bodyDiv w:val="1"/>
      <w:marLeft w:val="0"/>
      <w:marRight w:val="0"/>
      <w:marTop w:val="0"/>
      <w:marBottom w:val="0"/>
      <w:divBdr>
        <w:top w:val="none" w:sz="0" w:space="0" w:color="auto"/>
        <w:left w:val="none" w:sz="0" w:space="0" w:color="auto"/>
        <w:bottom w:val="none" w:sz="0" w:space="0" w:color="auto"/>
        <w:right w:val="none" w:sz="0" w:space="0" w:color="auto"/>
      </w:divBdr>
    </w:div>
    <w:div w:id="1912032978">
      <w:bodyDiv w:val="1"/>
      <w:marLeft w:val="0"/>
      <w:marRight w:val="0"/>
      <w:marTop w:val="0"/>
      <w:marBottom w:val="0"/>
      <w:divBdr>
        <w:top w:val="none" w:sz="0" w:space="0" w:color="auto"/>
        <w:left w:val="none" w:sz="0" w:space="0" w:color="auto"/>
        <w:bottom w:val="none" w:sz="0" w:space="0" w:color="auto"/>
        <w:right w:val="none" w:sz="0" w:space="0" w:color="auto"/>
      </w:divBdr>
    </w:div>
    <w:div w:id="1919824679">
      <w:bodyDiv w:val="1"/>
      <w:marLeft w:val="0"/>
      <w:marRight w:val="0"/>
      <w:marTop w:val="0"/>
      <w:marBottom w:val="0"/>
      <w:divBdr>
        <w:top w:val="none" w:sz="0" w:space="0" w:color="auto"/>
        <w:left w:val="none" w:sz="0" w:space="0" w:color="auto"/>
        <w:bottom w:val="none" w:sz="0" w:space="0" w:color="auto"/>
        <w:right w:val="none" w:sz="0" w:space="0" w:color="auto"/>
      </w:divBdr>
    </w:div>
    <w:div w:id="2008091239">
      <w:bodyDiv w:val="1"/>
      <w:marLeft w:val="0"/>
      <w:marRight w:val="0"/>
      <w:marTop w:val="0"/>
      <w:marBottom w:val="0"/>
      <w:divBdr>
        <w:top w:val="none" w:sz="0" w:space="0" w:color="auto"/>
        <w:left w:val="none" w:sz="0" w:space="0" w:color="auto"/>
        <w:bottom w:val="none" w:sz="0" w:space="0" w:color="auto"/>
        <w:right w:val="none" w:sz="0" w:space="0" w:color="auto"/>
      </w:divBdr>
    </w:div>
    <w:div w:id="2034265818">
      <w:bodyDiv w:val="1"/>
      <w:marLeft w:val="0"/>
      <w:marRight w:val="0"/>
      <w:marTop w:val="0"/>
      <w:marBottom w:val="0"/>
      <w:divBdr>
        <w:top w:val="none" w:sz="0" w:space="0" w:color="auto"/>
        <w:left w:val="none" w:sz="0" w:space="0" w:color="auto"/>
        <w:bottom w:val="none" w:sz="0" w:space="0" w:color="auto"/>
        <w:right w:val="none" w:sz="0" w:space="0" w:color="auto"/>
      </w:divBdr>
    </w:div>
    <w:div w:id="21211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C2004A01224/" TargetMode="External"/><Relationship Id="rId671" Type="http://schemas.openxmlformats.org/officeDocument/2006/relationships/hyperlink" Target="mailto:instrument.instructions@opc.gov.au?subject=Instructions%20on" TargetMode="External"/><Relationship Id="rId21" Type="http://schemas.openxmlformats.org/officeDocument/2006/relationships/header" Target="header2.xml"/><Relationship Id="rId324" Type="http://schemas.openxmlformats.org/officeDocument/2006/relationships/image" Target="media/image12.png"/><Relationship Id="rId531" Type="http://schemas.openxmlformats.org/officeDocument/2006/relationships/hyperlink" Target="http://www.comlaw.gov.au/Current/C2013C00032" TargetMode="External"/><Relationship Id="rId629" Type="http://schemas.openxmlformats.org/officeDocument/2006/relationships/hyperlink" Target="mailto:sunsetting@ag.gov.au" TargetMode="External"/><Relationship Id="rId170" Type="http://schemas.openxmlformats.org/officeDocument/2006/relationships/hyperlink" Target="https://www.legislation.gov.au/C1901A00002/latest/text" TargetMode="External"/><Relationship Id="rId268" Type="http://schemas.openxmlformats.org/officeDocument/2006/relationships/hyperlink" Target="https://www.legislation.gov.au/F2016L00229/latest/text" TargetMode="External"/><Relationship Id="rId475" Type="http://schemas.openxmlformats.org/officeDocument/2006/relationships/hyperlink" Target="https://www.legislation.gov.au/C2004A01224/latest/text" TargetMode="External"/><Relationship Id="rId682" Type="http://schemas.openxmlformats.org/officeDocument/2006/relationships/hyperlink" Target="https://www.ag.gov.au/LegalSystem/AdministrativeLaw/Pages/LegislationAct2003.aspx" TargetMode="External"/><Relationship Id="rId32" Type="http://schemas.openxmlformats.org/officeDocument/2006/relationships/hyperlink" Target="https://www.legislation.gov.au/C2004A01224/" TargetMode="External"/><Relationship Id="rId128" Type="http://schemas.openxmlformats.org/officeDocument/2006/relationships/hyperlink" Target="https://www.legislation.gov.au/C2004A01224/" TargetMode="External"/><Relationship Id="rId335" Type="http://schemas.openxmlformats.org/officeDocument/2006/relationships/header" Target="header8.xml"/><Relationship Id="rId542" Type="http://schemas.openxmlformats.org/officeDocument/2006/relationships/hyperlink" Target="https://www.legislation.gov.au/C2004A01224/latest/text" TargetMode="External"/><Relationship Id="rId181" Type="http://schemas.openxmlformats.org/officeDocument/2006/relationships/hyperlink" Target="https://www.legislation.gov.au/C2004A01224/" TargetMode="External"/><Relationship Id="rId402" Type="http://schemas.openxmlformats.org/officeDocument/2006/relationships/header" Target="header9.xml"/><Relationship Id="rId279" Type="http://schemas.openxmlformats.org/officeDocument/2006/relationships/hyperlink" Target="https://www.legislation.gov.au/C2004A01224/" TargetMode="External"/><Relationship Id="rId486" Type="http://schemas.openxmlformats.org/officeDocument/2006/relationships/header" Target="header11.xml"/><Relationship Id="rId693" Type="http://schemas.openxmlformats.org/officeDocument/2006/relationships/hyperlink" Target="https://www.aph.gov.au/Parliamentary_Business/Committees/Senate/Regulations_and_Ordinances/Guidelines" TargetMode="External"/><Relationship Id="rId707" Type="http://schemas.openxmlformats.org/officeDocument/2006/relationships/hyperlink" Target="mailto:humanrights@ag.gov.au" TargetMode="External"/><Relationship Id="rId43" Type="http://schemas.openxmlformats.org/officeDocument/2006/relationships/hyperlink" Target="https://www.legislation.gov.au/C2004A01224/" TargetMode="External"/><Relationship Id="rId139" Type="http://schemas.openxmlformats.org/officeDocument/2006/relationships/hyperlink" Target="https://www.legislation.gov.au/C2004A01224/" TargetMode="External"/><Relationship Id="rId346" Type="http://schemas.openxmlformats.org/officeDocument/2006/relationships/hyperlink" Target="https://www.legislation.gov.au/C2004A01224/" TargetMode="External"/><Relationship Id="rId553" Type="http://schemas.openxmlformats.org/officeDocument/2006/relationships/hyperlink" Target="https://www.legislation.gov.au/C2004A01224/latest/text" TargetMode="External"/><Relationship Id="rId192" Type="http://schemas.openxmlformats.org/officeDocument/2006/relationships/hyperlink" Target="https://www.legislation.gov.au/C2004A01224/" TargetMode="External"/><Relationship Id="rId206" Type="http://schemas.openxmlformats.org/officeDocument/2006/relationships/hyperlink" Target="mailto:CriminalLaw@ag.gov.au" TargetMode="External"/><Relationship Id="rId413" Type="http://schemas.openxmlformats.org/officeDocument/2006/relationships/hyperlink" Target="https://www.legislation.gov.au/C2004A01224/" TargetMode="External"/><Relationship Id="rId497" Type="http://schemas.openxmlformats.org/officeDocument/2006/relationships/hyperlink" Target="https://www.legislation.gov.au/C2004A01224/latest/text" TargetMode="External"/><Relationship Id="rId620" Type="http://schemas.openxmlformats.org/officeDocument/2006/relationships/hyperlink" Target="http://www.comlaw.gov.au/Current/C2013C00032" TargetMode="External"/><Relationship Id="rId718" Type="http://schemas.openxmlformats.org/officeDocument/2006/relationships/header" Target="header18.xml"/><Relationship Id="rId357" Type="http://schemas.openxmlformats.org/officeDocument/2006/relationships/hyperlink" Target="https://www.legislation.gov.au/C2004A01224/" TargetMode="External"/><Relationship Id="rId54" Type="http://schemas.openxmlformats.org/officeDocument/2006/relationships/hyperlink" Target="https://www.legislation.gov.au/C2004A01224/" TargetMode="External"/><Relationship Id="rId217" Type="http://schemas.openxmlformats.org/officeDocument/2006/relationships/hyperlink" Target="https://www.legislation.gov.au/C2004A04426/latest/text" TargetMode="External"/><Relationship Id="rId564" Type="http://schemas.openxmlformats.org/officeDocument/2006/relationships/hyperlink" Target="https://www.legislation.gov.au/C2004A01224/latest/text" TargetMode="External"/><Relationship Id="rId424" Type="http://schemas.openxmlformats.org/officeDocument/2006/relationships/hyperlink" Target="https://www.legislation.gov.au/C2004A01224/latest/text" TargetMode="External"/><Relationship Id="rId631" Type="http://schemas.openxmlformats.org/officeDocument/2006/relationships/hyperlink" Target="https://www.legislation.gov.au/C2004A01224/" TargetMode="External"/><Relationship Id="rId270" Type="http://schemas.openxmlformats.org/officeDocument/2006/relationships/hyperlink" Target="https://www.legislation.gov.au/C2004A01224/" TargetMode="External"/><Relationship Id="rId65" Type="http://schemas.openxmlformats.org/officeDocument/2006/relationships/hyperlink" Target="https://www.legislation.gov.au/C2004A01224/" TargetMode="External"/><Relationship Id="rId130" Type="http://schemas.openxmlformats.org/officeDocument/2006/relationships/hyperlink" Target="https://www.legislation.gov.au/F2017L00369/latest/text" TargetMode="External"/><Relationship Id="rId368" Type="http://schemas.openxmlformats.org/officeDocument/2006/relationships/hyperlink" Target="https://www.legislation.gov.au/C2004A01224/" TargetMode="External"/><Relationship Id="rId575" Type="http://schemas.openxmlformats.org/officeDocument/2006/relationships/hyperlink" Target="http://www.comlaw.gov.au/Current/C2013C00032" TargetMode="External"/><Relationship Id="rId228" Type="http://schemas.openxmlformats.org/officeDocument/2006/relationships/hyperlink" Target="https://www.legislation.gov.au/C2004A01224/" TargetMode="External"/><Relationship Id="rId435" Type="http://schemas.openxmlformats.org/officeDocument/2006/relationships/hyperlink" Target="https://www.legislation.gov.au/C2004A01224/" TargetMode="External"/><Relationship Id="rId642" Type="http://schemas.openxmlformats.org/officeDocument/2006/relationships/hyperlink" Target="http://www.comlaw.gov.au/Current/C2013C00032" TargetMode="External"/><Relationship Id="rId281" Type="http://schemas.openxmlformats.org/officeDocument/2006/relationships/hyperlink" Target="mailto:compilations@opc.gov.au" TargetMode="External"/><Relationship Id="rId502" Type="http://schemas.openxmlformats.org/officeDocument/2006/relationships/hyperlink" Target="https://www.legislation.gov.au/latest/C2016C00186" TargetMode="External"/><Relationship Id="rId76" Type="http://schemas.openxmlformats.org/officeDocument/2006/relationships/hyperlink" Target="https://www.legislation.gov.au/C2004A01224/" TargetMode="External"/><Relationship Id="rId141" Type="http://schemas.openxmlformats.org/officeDocument/2006/relationships/hyperlink" Target="https://www.legislation.gov.au/C2004A01224/" TargetMode="External"/><Relationship Id="rId379" Type="http://schemas.openxmlformats.org/officeDocument/2006/relationships/hyperlink" Target="mailto:compilations@opc.gov.au" TargetMode="External"/><Relationship Id="rId586" Type="http://schemas.openxmlformats.org/officeDocument/2006/relationships/hyperlink" Target="http://www.comlaw.gov.au/Current/C2013C00032" TargetMode="External"/><Relationship Id="rId7" Type="http://schemas.openxmlformats.org/officeDocument/2006/relationships/endnotes" Target="endnotes.xml"/><Relationship Id="rId239" Type="http://schemas.openxmlformats.org/officeDocument/2006/relationships/hyperlink" Target="https://www.legislation.gov.au/F2016L00229/latest/text" TargetMode="External"/><Relationship Id="rId446" Type="http://schemas.openxmlformats.org/officeDocument/2006/relationships/hyperlink" Target="https://www.aph.gov.au/Parliamentary_Business/Committees/Senate/Scrutiny_of_Delegated_Legislation/Guidelines" TargetMode="External"/><Relationship Id="rId653" Type="http://schemas.openxmlformats.org/officeDocument/2006/relationships/hyperlink" Target="https://www.legislation.gov.au/C2004A01224/latest/text" TargetMode="External"/><Relationship Id="rId292" Type="http://schemas.openxmlformats.org/officeDocument/2006/relationships/hyperlink" Target="https://www.legislation.gov.au/C2004A01224/" TargetMode="External"/><Relationship Id="rId306" Type="http://schemas.openxmlformats.org/officeDocument/2006/relationships/hyperlink" Target="https://www.legislation.gov.au/latest/F2016L00229" TargetMode="External"/><Relationship Id="rId87" Type="http://schemas.openxmlformats.org/officeDocument/2006/relationships/hyperlink" Target="https://www.legislation.gov.au/F2015L01475/latest/text" TargetMode="External"/><Relationship Id="rId513" Type="http://schemas.openxmlformats.org/officeDocument/2006/relationships/hyperlink" Target="https://www.legislation.gov.au/latest/C2016C00186" TargetMode="External"/><Relationship Id="rId597" Type="http://schemas.openxmlformats.org/officeDocument/2006/relationships/hyperlink" Target="http://www.comlaw.gov.au/Current/C2013C00032" TargetMode="External"/><Relationship Id="rId720" Type="http://schemas.openxmlformats.org/officeDocument/2006/relationships/theme" Target="theme/theme1.xml"/><Relationship Id="rId152" Type="http://schemas.openxmlformats.org/officeDocument/2006/relationships/hyperlink" Target="https://www.legislation.gov.au/C2004A01224/" TargetMode="External"/><Relationship Id="rId457" Type="http://schemas.openxmlformats.org/officeDocument/2006/relationships/hyperlink" Target="https://www.legislation.gov.au/latest/C2016C00186" TargetMode="External"/><Relationship Id="rId664" Type="http://schemas.openxmlformats.org/officeDocument/2006/relationships/hyperlink" Target="https://www.legislation.gov.au/C2004A01224/latest/text" TargetMode="External"/><Relationship Id="rId14" Type="http://schemas.openxmlformats.org/officeDocument/2006/relationships/hyperlink" Target="https://www.legislation.gov.au/F2016L00229/latest/text" TargetMode="External"/><Relationship Id="rId317" Type="http://schemas.openxmlformats.org/officeDocument/2006/relationships/image" Target="media/image9.png"/><Relationship Id="rId524" Type="http://schemas.openxmlformats.org/officeDocument/2006/relationships/hyperlink" Target="https://www.legislation.gov.au/C2004A01224/" TargetMode="External"/><Relationship Id="rId98" Type="http://schemas.openxmlformats.org/officeDocument/2006/relationships/hyperlink" Target="https://www.legislation.gov.au/latest/F2015L01475" TargetMode="External"/><Relationship Id="rId163" Type="http://schemas.openxmlformats.org/officeDocument/2006/relationships/hyperlink" Target="https://www.legislation.gov.au/C2004A01224/" TargetMode="External"/><Relationship Id="rId370" Type="http://schemas.openxmlformats.org/officeDocument/2006/relationships/hyperlink" Target="https://www.legislation.gov.au/C2004A01224/" TargetMode="External"/><Relationship Id="rId230" Type="http://schemas.openxmlformats.org/officeDocument/2006/relationships/hyperlink" Target="https://www.legislation.gov.au/C2004A02796/latest/text" TargetMode="External"/><Relationship Id="rId468" Type="http://schemas.openxmlformats.org/officeDocument/2006/relationships/hyperlink" Target="http://www.comlaw.gov.au/Current/C2013C00032" TargetMode="External"/><Relationship Id="rId675" Type="http://schemas.openxmlformats.org/officeDocument/2006/relationships/hyperlink" Target="https://www.legislation.gov.au/C1901A00002/latest/text" TargetMode="External"/><Relationship Id="rId25" Type="http://schemas.openxmlformats.org/officeDocument/2006/relationships/footer" Target="footer3.xml"/><Relationship Id="rId328" Type="http://schemas.openxmlformats.org/officeDocument/2006/relationships/hyperlink" Target="https://www.legislation.gov.au/C2004A01224/" TargetMode="External"/><Relationship Id="rId535" Type="http://schemas.openxmlformats.org/officeDocument/2006/relationships/hyperlink" Target="http://www.comlaw.gov.au/Current/C2013C00032" TargetMode="External"/><Relationship Id="rId174" Type="http://schemas.openxmlformats.org/officeDocument/2006/relationships/hyperlink" Target="https://www.legislation.gov.au/C2004A01224/" TargetMode="External"/><Relationship Id="rId381" Type="http://schemas.openxmlformats.org/officeDocument/2006/relationships/hyperlink" Target="https://www.legislation.gov.au/F2016L00229/latest/text" TargetMode="External"/><Relationship Id="rId602" Type="http://schemas.openxmlformats.org/officeDocument/2006/relationships/hyperlink" Target="https://www.legislation.gov.au/C2004A01224/latest/text" TargetMode="External"/><Relationship Id="rId241" Type="http://schemas.openxmlformats.org/officeDocument/2006/relationships/hyperlink" Target="https://www.legislation.gov.au/C2004A01224/" TargetMode="External"/><Relationship Id="rId479" Type="http://schemas.openxmlformats.org/officeDocument/2006/relationships/hyperlink" Target="http://www.comlaw.gov.au/Current/C2013C00032" TargetMode="External"/><Relationship Id="rId686" Type="http://schemas.openxmlformats.org/officeDocument/2006/relationships/hyperlink" Target="https://www.pmc.gov.au/resources/tabling-guidelines" TargetMode="External"/><Relationship Id="rId36" Type="http://schemas.openxmlformats.org/officeDocument/2006/relationships/hyperlink" Target="https://www.legislation.gov.au/C1901A00002/" TargetMode="External"/><Relationship Id="rId339" Type="http://schemas.openxmlformats.org/officeDocument/2006/relationships/hyperlink" Target="https://www.legislation.gov.au/C2004A01224/" TargetMode="External"/><Relationship Id="rId546" Type="http://schemas.openxmlformats.org/officeDocument/2006/relationships/hyperlink" Target="https://www.comlaw.gov.au/Current/F2015L01475/" TargetMode="External"/><Relationship Id="rId101" Type="http://schemas.openxmlformats.org/officeDocument/2006/relationships/hyperlink" Target="https://www.legislation.gov.au/F2015L01475/latest/text" TargetMode="External"/><Relationship Id="rId185" Type="http://schemas.openxmlformats.org/officeDocument/2006/relationships/hyperlink" Target="https://www.legislation.gov.au/C2004A01224/" TargetMode="External"/><Relationship Id="rId406" Type="http://schemas.openxmlformats.org/officeDocument/2006/relationships/hyperlink" Target="https://www.legislation.gov.au/C2004A01224/" TargetMode="External"/><Relationship Id="rId392" Type="http://schemas.openxmlformats.org/officeDocument/2006/relationships/hyperlink" Target="https://www.legislation.gov.au/C2004A01224/latest/text" TargetMode="External"/><Relationship Id="rId613" Type="http://schemas.openxmlformats.org/officeDocument/2006/relationships/hyperlink" Target="http://www.comlaw.gov.au/Current/C2013C00032" TargetMode="External"/><Relationship Id="rId697" Type="http://schemas.openxmlformats.org/officeDocument/2006/relationships/hyperlink" Target="https://www.opc.gov.au/drafting-resources/client-advisers" TargetMode="External"/><Relationship Id="rId252" Type="http://schemas.openxmlformats.org/officeDocument/2006/relationships/hyperlink" Target="https://www.legislation.gov.au/C2004A01224/" TargetMode="External"/><Relationship Id="rId47" Type="http://schemas.openxmlformats.org/officeDocument/2006/relationships/hyperlink" Target="https://www.legislation.gov.au" TargetMode="External"/><Relationship Id="rId112" Type="http://schemas.openxmlformats.org/officeDocument/2006/relationships/hyperlink" Target="https://www.legislation.gov.au/C2004A01224/" TargetMode="External"/><Relationship Id="rId557" Type="http://schemas.openxmlformats.org/officeDocument/2006/relationships/hyperlink" Target="https://www.legislation.gov.au/C2004A01224/latest/text" TargetMode="External"/><Relationship Id="rId196" Type="http://schemas.openxmlformats.org/officeDocument/2006/relationships/hyperlink" Target="https://www.legislation.gov.au/C2004A01224/" TargetMode="External"/><Relationship Id="rId417" Type="http://schemas.openxmlformats.org/officeDocument/2006/relationships/hyperlink" Target="https://www.legislation.gov.au/C1901A00002/latest/text" TargetMode="External"/><Relationship Id="rId624" Type="http://schemas.openxmlformats.org/officeDocument/2006/relationships/hyperlink" Target="http://www.comlaw.gov.au/Current/C2013C00032" TargetMode="External"/><Relationship Id="rId263" Type="http://schemas.openxmlformats.org/officeDocument/2006/relationships/hyperlink" Target="https://www.legislation.gov.au/C2004A01224/" TargetMode="External"/><Relationship Id="rId470" Type="http://schemas.openxmlformats.org/officeDocument/2006/relationships/hyperlink" Target="https://www.legislation.gov.au/C2011A00186/latest/text" TargetMode="External"/><Relationship Id="rId58" Type="http://schemas.openxmlformats.org/officeDocument/2006/relationships/hyperlink" Target="https://www.legislation.gov.au/C2004A01224/" TargetMode="External"/><Relationship Id="rId123" Type="http://schemas.openxmlformats.org/officeDocument/2006/relationships/hyperlink" Target="mailto:adminlaw@ag.gov.au" TargetMode="External"/><Relationship Id="rId330" Type="http://schemas.openxmlformats.org/officeDocument/2006/relationships/hyperlink" Target="mailto:lodge@legislation.gov.au" TargetMode="External"/><Relationship Id="rId568" Type="http://schemas.openxmlformats.org/officeDocument/2006/relationships/hyperlink" Target="https://www.legislation.gov.au/C2004A01224/latest/text" TargetMode="External"/><Relationship Id="rId428" Type="http://schemas.openxmlformats.org/officeDocument/2006/relationships/hyperlink" Target="https://www.legislation.gov.au/C2011A00186/latest/text" TargetMode="External"/><Relationship Id="rId635" Type="http://schemas.openxmlformats.org/officeDocument/2006/relationships/hyperlink" Target="http://www.comlaw.gov.au/Current/C2013C00032" TargetMode="External"/><Relationship Id="rId274" Type="http://schemas.openxmlformats.org/officeDocument/2006/relationships/hyperlink" Target="https://www.legislation.gov.au/C2004A01224/" TargetMode="External"/><Relationship Id="rId481" Type="http://schemas.openxmlformats.org/officeDocument/2006/relationships/hyperlink" Target="https://www.legislation.gov.au/C2004A01224/latest/text" TargetMode="External"/><Relationship Id="rId702" Type="http://schemas.openxmlformats.org/officeDocument/2006/relationships/hyperlink" Target="mailto:lodge@legislation.gov.au" TargetMode="External"/><Relationship Id="rId69" Type="http://schemas.openxmlformats.org/officeDocument/2006/relationships/hyperlink" Target="https://www.legislation.gov.au/C2004A01224/" TargetMode="External"/><Relationship Id="rId134" Type="http://schemas.openxmlformats.org/officeDocument/2006/relationships/hyperlink" Target="https://www.opc.gov.au/" TargetMode="External"/><Relationship Id="rId579" Type="http://schemas.openxmlformats.org/officeDocument/2006/relationships/hyperlink" Target="http://www.comlaw.gov.au/Current/C2013C00032" TargetMode="External"/><Relationship Id="rId341" Type="http://schemas.openxmlformats.org/officeDocument/2006/relationships/hyperlink" Target="https://www.legislation.gov.au/latest/C2016C00186" TargetMode="External"/><Relationship Id="rId439" Type="http://schemas.openxmlformats.org/officeDocument/2006/relationships/hyperlink" Target="http://www.comlaw.gov.au/Current/C2013C00032" TargetMode="External"/><Relationship Id="rId646" Type="http://schemas.openxmlformats.org/officeDocument/2006/relationships/hyperlink" Target="http://www.comlaw.gov.au/Current/C2013C00032" TargetMode="External"/><Relationship Id="rId201" Type="http://schemas.openxmlformats.org/officeDocument/2006/relationships/hyperlink" Target="https://www.legislation.gov.au/latest/C2016C00151" TargetMode="External"/><Relationship Id="rId285" Type="http://schemas.openxmlformats.org/officeDocument/2006/relationships/hyperlink" Target="https://www.opc.gov.au/drafting-resources/drafting-directions" TargetMode="External"/><Relationship Id="rId506" Type="http://schemas.openxmlformats.org/officeDocument/2006/relationships/hyperlink" Target="https://www.legislation.gov.au/C2004A01224/latest/text" TargetMode="External"/><Relationship Id="rId492" Type="http://schemas.openxmlformats.org/officeDocument/2006/relationships/hyperlink" Target="http://www.comlaw.gov.au/Current/C2013C00032" TargetMode="External"/><Relationship Id="rId713" Type="http://schemas.openxmlformats.org/officeDocument/2006/relationships/footer" Target="footer6.xml"/><Relationship Id="rId145" Type="http://schemas.openxmlformats.org/officeDocument/2006/relationships/hyperlink" Target="https://www.legislation.gov.au/C2004A01224/" TargetMode="External"/><Relationship Id="rId352" Type="http://schemas.openxmlformats.org/officeDocument/2006/relationships/hyperlink" Target="https://www.legislation.gov.au/C2004A01224/" TargetMode="External"/><Relationship Id="rId212" Type="http://schemas.openxmlformats.org/officeDocument/2006/relationships/hyperlink" Target="https://www.legislation.gov.au/C2004A03712/latest/text" TargetMode="External"/><Relationship Id="rId657" Type="http://schemas.openxmlformats.org/officeDocument/2006/relationships/hyperlink" Target="http://www.comlaw.gov.au/Current/C2013C00032" TargetMode="External"/><Relationship Id="rId296" Type="http://schemas.openxmlformats.org/officeDocument/2006/relationships/hyperlink" Target="https://www.legislation.gov.au/F2016L00229/latest/text" TargetMode="External"/><Relationship Id="rId517" Type="http://schemas.openxmlformats.org/officeDocument/2006/relationships/hyperlink" Target="https://www.legislation.gov.au/C2004A01224/latest/text" TargetMode="External"/><Relationship Id="rId60" Type="http://schemas.openxmlformats.org/officeDocument/2006/relationships/hyperlink" Target="https://www.legislation.gov.au/F2015L01475/latest/text" TargetMode="External"/><Relationship Id="rId156" Type="http://schemas.openxmlformats.org/officeDocument/2006/relationships/hyperlink" Target="https://www.legislation.gov.au/C2004A01224/" TargetMode="External"/><Relationship Id="rId363" Type="http://schemas.openxmlformats.org/officeDocument/2006/relationships/hyperlink" Target="https://www.legislation.gov.au/F2016L00229/latest/text" TargetMode="External"/><Relationship Id="rId570" Type="http://schemas.openxmlformats.org/officeDocument/2006/relationships/hyperlink" Target="http://www.comlaw.gov.au/Current/C2013C00032" TargetMode="External"/><Relationship Id="rId223" Type="http://schemas.openxmlformats.org/officeDocument/2006/relationships/hyperlink" Target="https://www.legislation.gov.au/C2004A01224/latest/text" TargetMode="External"/><Relationship Id="rId430" Type="http://schemas.openxmlformats.org/officeDocument/2006/relationships/hyperlink" Target="https://www.legislation.gov.au/latest/C2016C00186" TargetMode="External"/><Relationship Id="rId668" Type="http://schemas.openxmlformats.org/officeDocument/2006/relationships/hyperlink" Target="https://www.legislation.gov.au/C2004A01224/latest/text" TargetMode="External"/><Relationship Id="rId18" Type="http://schemas.openxmlformats.org/officeDocument/2006/relationships/hyperlink" Target="https://www.legislation.gov.au/F2015L01475/latest/text" TargetMode="External"/><Relationship Id="rId528" Type="http://schemas.openxmlformats.org/officeDocument/2006/relationships/hyperlink" Target="https://www.legislation.gov.au/latest/C2016C00186" TargetMode="External"/><Relationship Id="rId167" Type="http://schemas.openxmlformats.org/officeDocument/2006/relationships/hyperlink" Target="https://www.legislation.gov.au/C1901A00002/" TargetMode="External"/><Relationship Id="rId374" Type="http://schemas.openxmlformats.org/officeDocument/2006/relationships/hyperlink" Target="https://www.legislation.gov.au/latest/F2016L00229" TargetMode="External"/><Relationship Id="rId581" Type="http://schemas.openxmlformats.org/officeDocument/2006/relationships/hyperlink" Target="https://www.legislation.gov.au/C2004A01224/latest/text" TargetMode="External"/><Relationship Id="rId71" Type="http://schemas.openxmlformats.org/officeDocument/2006/relationships/hyperlink" Target="https://www.legislation.gov.au/C2004A01224/" TargetMode="External"/><Relationship Id="rId234" Type="http://schemas.openxmlformats.org/officeDocument/2006/relationships/hyperlink" Target="mailto:lodge@legislation.gov.au" TargetMode="External"/><Relationship Id="rId679" Type="http://schemas.openxmlformats.org/officeDocument/2006/relationships/hyperlink" Target="https://www.legislation.gov.au/F2016L00229/latest/text" TargetMode="External"/><Relationship Id="rId2" Type="http://schemas.openxmlformats.org/officeDocument/2006/relationships/numbering" Target="numbering.xml"/><Relationship Id="rId29" Type="http://schemas.openxmlformats.org/officeDocument/2006/relationships/hyperlink" Target="https://www.legislation.gov.au/C1901A00002/" TargetMode="External"/><Relationship Id="rId441" Type="http://schemas.openxmlformats.org/officeDocument/2006/relationships/hyperlink" Target="https://www.legislation.gov.au/C2004A01224/latest/text" TargetMode="External"/><Relationship Id="rId539" Type="http://schemas.openxmlformats.org/officeDocument/2006/relationships/hyperlink" Target="http://www.comlaw.gov.au/Current/C2013C00032" TargetMode="External"/><Relationship Id="rId40" Type="http://schemas.openxmlformats.org/officeDocument/2006/relationships/footer" Target="footer4.xml"/><Relationship Id="rId136" Type="http://schemas.openxmlformats.org/officeDocument/2006/relationships/hyperlink" Target="https://www.legislation.gov.au/C1901A00002/latest/text" TargetMode="External"/><Relationship Id="rId178" Type="http://schemas.openxmlformats.org/officeDocument/2006/relationships/hyperlink" Target="https://www.legislation.gov.au/C2004A01224/" TargetMode="External"/><Relationship Id="rId301" Type="http://schemas.openxmlformats.org/officeDocument/2006/relationships/hyperlink" Target="https://www.legislation.gov.au/F2016L00229/latest/text" TargetMode="External"/><Relationship Id="rId343" Type="http://schemas.openxmlformats.org/officeDocument/2006/relationships/hyperlink" Target="https://lodge.legislation.gov.au" TargetMode="External"/><Relationship Id="rId550" Type="http://schemas.openxmlformats.org/officeDocument/2006/relationships/hyperlink" Target="https://www.legislation.gov.au/latest/C2016C00186" TargetMode="External"/><Relationship Id="rId82" Type="http://schemas.openxmlformats.org/officeDocument/2006/relationships/hyperlink" Target="https://www.legislation.gov.au/F2015L01475/latest/text" TargetMode="External"/><Relationship Id="rId203" Type="http://schemas.openxmlformats.org/officeDocument/2006/relationships/hyperlink" Target="https://www.legislation.gov.au/F2015L01475/latest/text" TargetMode="External"/><Relationship Id="rId385" Type="http://schemas.openxmlformats.org/officeDocument/2006/relationships/hyperlink" Target="https://www.legislation.gov.au/C1968A00063/latest/text" TargetMode="External"/><Relationship Id="rId592" Type="http://schemas.openxmlformats.org/officeDocument/2006/relationships/hyperlink" Target="https://www.legislation.gov.au/C2004A01224/latest/text" TargetMode="External"/><Relationship Id="rId606" Type="http://schemas.openxmlformats.org/officeDocument/2006/relationships/hyperlink" Target="mailto:sunsetting@ag.gov.au" TargetMode="External"/><Relationship Id="rId648" Type="http://schemas.openxmlformats.org/officeDocument/2006/relationships/hyperlink" Target="mailto:sunsetting@ag.gov.au" TargetMode="External"/><Relationship Id="rId245" Type="http://schemas.openxmlformats.org/officeDocument/2006/relationships/hyperlink" Target="https://www.legislation.gov.au/C2004A01224/" TargetMode="External"/><Relationship Id="rId287" Type="http://schemas.openxmlformats.org/officeDocument/2006/relationships/hyperlink" Target="https://www.legislation.gov.au/F2016L00229/latest/text" TargetMode="External"/><Relationship Id="rId410" Type="http://schemas.openxmlformats.org/officeDocument/2006/relationships/hyperlink" Target="https://www.legislation.gov.au/C2004A01224/" TargetMode="External"/><Relationship Id="rId452" Type="http://schemas.openxmlformats.org/officeDocument/2006/relationships/hyperlink" Target="https://www.legislation.gov.au/C1901A00002/" TargetMode="External"/><Relationship Id="rId494" Type="http://schemas.openxmlformats.org/officeDocument/2006/relationships/hyperlink" Target="https://www.legislation.gov.au/C2004A01224/latest/text" TargetMode="External"/><Relationship Id="rId508" Type="http://schemas.openxmlformats.org/officeDocument/2006/relationships/hyperlink" Target="https://www.legislation.gov.au/latest/C2016C00186" TargetMode="External"/><Relationship Id="rId715" Type="http://schemas.openxmlformats.org/officeDocument/2006/relationships/header" Target="header17.xml"/><Relationship Id="rId105" Type="http://schemas.openxmlformats.org/officeDocument/2006/relationships/hyperlink" Target="https://www.legislation.gov.au/C2004A01224/" TargetMode="External"/><Relationship Id="rId147" Type="http://schemas.openxmlformats.org/officeDocument/2006/relationships/hyperlink" Target="https://www.opc.gov.au/drafting-resources/drafting-directions" TargetMode="External"/><Relationship Id="rId312" Type="http://schemas.openxmlformats.org/officeDocument/2006/relationships/image" Target="media/image8.png"/><Relationship Id="rId354" Type="http://schemas.openxmlformats.org/officeDocument/2006/relationships/hyperlink" Target="https://www.legislation.gov.au/C2004A01224/" TargetMode="External"/><Relationship Id="rId51" Type="http://schemas.openxmlformats.org/officeDocument/2006/relationships/hyperlink" Target="https://www.legislation.gov.au/C2004A01224/" TargetMode="External"/><Relationship Id="rId93" Type="http://schemas.openxmlformats.org/officeDocument/2006/relationships/hyperlink" Target="https://www.legislation.gov.au/F2015L01475/latest/text" TargetMode="External"/><Relationship Id="rId189" Type="http://schemas.openxmlformats.org/officeDocument/2006/relationships/hyperlink" Target="https://www.legislation.gov.au/C1901A00002/latest/text" TargetMode="External"/><Relationship Id="rId396" Type="http://schemas.openxmlformats.org/officeDocument/2006/relationships/hyperlink" Target="https://www.legislation.gov.au/C2004A01224/" TargetMode="External"/><Relationship Id="rId561" Type="http://schemas.openxmlformats.org/officeDocument/2006/relationships/hyperlink" Target="https://www.legislation.gov.au/C2004A01224/latest/text" TargetMode="External"/><Relationship Id="rId617" Type="http://schemas.openxmlformats.org/officeDocument/2006/relationships/hyperlink" Target="https://www.legislation.gov.au/latest/F2015L01475" TargetMode="External"/><Relationship Id="rId659" Type="http://schemas.openxmlformats.org/officeDocument/2006/relationships/hyperlink" Target="mailto:sunsetting@ag.gov.au" TargetMode="External"/><Relationship Id="rId214" Type="http://schemas.openxmlformats.org/officeDocument/2006/relationships/hyperlink" Target="https://www.legislation.gov.au/C2004A03712/latest/text" TargetMode="External"/><Relationship Id="rId256" Type="http://schemas.openxmlformats.org/officeDocument/2006/relationships/hyperlink" Target="https://www.legislation.gov.au/C2004A01224/" TargetMode="External"/><Relationship Id="rId298" Type="http://schemas.openxmlformats.org/officeDocument/2006/relationships/hyperlink" Target="https://www.legislation.gov.au/C2004A01224/" TargetMode="External"/><Relationship Id="rId421" Type="http://schemas.openxmlformats.org/officeDocument/2006/relationships/hyperlink" Target="https://www.legislation.gov.au/C2004A01224/latest/text" TargetMode="External"/><Relationship Id="rId463" Type="http://schemas.openxmlformats.org/officeDocument/2006/relationships/hyperlink" Target="https://www.legislation.gov.au/C2004A01224/latest/text" TargetMode="External"/><Relationship Id="rId519" Type="http://schemas.openxmlformats.org/officeDocument/2006/relationships/hyperlink" Target="https://www.legislation.gov.au/latest/C2016C00186" TargetMode="External"/><Relationship Id="rId670" Type="http://schemas.openxmlformats.org/officeDocument/2006/relationships/hyperlink" Target="https://www.legislation.gov.au/latest/C2016C00186" TargetMode="External"/><Relationship Id="rId116" Type="http://schemas.openxmlformats.org/officeDocument/2006/relationships/hyperlink" Target="https://www.legislation.gov.au/C2004A01224/" TargetMode="External"/><Relationship Id="rId158" Type="http://schemas.openxmlformats.org/officeDocument/2006/relationships/hyperlink" Target="https://www.legislation.gov.au/C1901A00002/" TargetMode="External"/><Relationship Id="rId323" Type="http://schemas.openxmlformats.org/officeDocument/2006/relationships/hyperlink" Target="https://www.legislation.gov.au/C2004A01224/latest/text" TargetMode="External"/><Relationship Id="rId530" Type="http://schemas.openxmlformats.org/officeDocument/2006/relationships/hyperlink" Target="http://www.comlaw.gov.au/Current/C2013C00032" TargetMode="External"/><Relationship Id="rId20" Type="http://schemas.openxmlformats.org/officeDocument/2006/relationships/header" Target="header1.xml"/><Relationship Id="rId62" Type="http://schemas.openxmlformats.org/officeDocument/2006/relationships/hyperlink" Target="https://www.legislation.gov.au/C2004A01224/" TargetMode="External"/><Relationship Id="rId365" Type="http://schemas.openxmlformats.org/officeDocument/2006/relationships/hyperlink" Target="mailto:lodge@legislation.gov.au" TargetMode="External"/><Relationship Id="rId572" Type="http://schemas.openxmlformats.org/officeDocument/2006/relationships/hyperlink" Target="https://www.legislation.gov.au/C2004A01224/" TargetMode="External"/><Relationship Id="rId628" Type="http://schemas.openxmlformats.org/officeDocument/2006/relationships/hyperlink" Target="https://www.opc.gov.au/sites/default/files/2024-01/Instrument%20Drafting%20Guidance%20Note%20No.%201.4%20-%20Timeframes%20for%20the%20development%20of%20instruments_0.pdf" TargetMode="External"/><Relationship Id="rId225" Type="http://schemas.openxmlformats.org/officeDocument/2006/relationships/hyperlink" Target="https://www.opc.gov.au/drafting-resources/drafting-directions" TargetMode="External"/><Relationship Id="rId267" Type="http://schemas.openxmlformats.org/officeDocument/2006/relationships/hyperlink" Target="https://www.legislation.gov.au/C2004A01224/" TargetMode="External"/><Relationship Id="rId432" Type="http://schemas.openxmlformats.org/officeDocument/2006/relationships/hyperlink" Target="https://www.legislation.gov.au/C2004A01224/latest/text" TargetMode="External"/><Relationship Id="rId474" Type="http://schemas.openxmlformats.org/officeDocument/2006/relationships/hyperlink" Target="https://www.legislation.gov.au/latest/C2016C00186" TargetMode="External"/><Relationship Id="rId127" Type="http://schemas.openxmlformats.org/officeDocument/2006/relationships/header" Target="header5.xml"/><Relationship Id="rId681" Type="http://schemas.openxmlformats.org/officeDocument/2006/relationships/hyperlink" Target="https://www.ag.gov.au/legal-system/publications/guide-framing-commonwealth-offences-infringement-notices-and-enforcement-powers" TargetMode="External"/><Relationship Id="rId31" Type="http://schemas.openxmlformats.org/officeDocument/2006/relationships/hyperlink" Target="https://www.legislation.gov.au/C2004A01224/" TargetMode="External"/><Relationship Id="rId73" Type="http://schemas.openxmlformats.org/officeDocument/2006/relationships/hyperlink" Target="https://www.legislation.gov.au/C2004A01224/" TargetMode="External"/><Relationship Id="rId169" Type="http://schemas.openxmlformats.org/officeDocument/2006/relationships/hyperlink" Target="https://www.opc.gov.au/drafting-resources/client-advisers" TargetMode="External"/><Relationship Id="rId334" Type="http://schemas.openxmlformats.org/officeDocument/2006/relationships/hyperlink" Target="https://lodge.legislation.gov.au" TargetMode="External"/><Relationship Id="rId376" Type="http://schemas.openxmlformats.org/officeDocument/2006/relationships/hyperlink" Target="https://www.legislation.gov.au/C2004A01224/" TargetMode="External"/><Relationship Id="rId541" Type="http://schemas.openxmlformats.org/officeDocument/2006/relationships/hyperlink" Target="https://www.legislation.gov.au/C2004A01224/" TargetMode="External"/><Relationship Id="rId583" Type="http://schemas.openxmlformats.org/officeDocument/2006/relationships/hyperlink" Target="https://www.legislation.gov.au/latest/C2016C00186" TargetMode="External"/><Relationship Id="rId639" Type="http://schemas.openxmlformats.org/officeDocument/2006/relationships/hyperlink" Target="http://www.comlaw.gov.au/Current/C2013C00032" TargetMode="External"/><Relationship Id="rId4" Type="http://schemas.openxmlformats.org/officeDocument/2006/relationships/settings" Target="settings.xml"/><Relationship Id="rId180" Type="http://schemas.openxmlformats.org/officeDocument/2006/relationships/hyperlink" Target="https://www.legislation.gov.au/latest/C2016C00151" TargetMode="External"/><Relationship Id="rId236" Type="http://schemas.openxmlformats.org/officeDocument/2006/relationships/hyperlink" Target="https://lodge.legislation.gov.au" TargetMode="External"/><Relationship Id="rId278" Type="http://schemas.openxmlformats.org/officeDocument/2006/relationships/hyperlink" Target="mailto:lodge@legislation.gov.au" TargetMode="External"/><Relationship Id="rId401" Type="http://schemas.openxmlformats.org/officeDocument/2006/relationships/hyperlink" Target="https://www.legislation.gov.au/latest/C2016C00151" TargetMode="External"/><Relationship Id="rId443" Type="http://schemas.openxmlformats.org/officeDocument/2006/relationships/hyperlink" Target="https://www.legislation.gov.au/latest/C2016C00186" TargetMode="External"/><Relationship Id="rId650" Type="http://schemas.openxmlformats.org/officeDocument/2006/relationships/hyperlink" Target="http://www.comlaw.gov.au/Current/C2013C00032" TargetMode="External"/><Relationship Id="rId303" Type="http://schemas.openxmlformats.org/officeDocument/2006/relationships/hyperlink" Target="https://www.legislation.gov.au/F2016L00229/latest/text" TargetMode="External"/><Relationship Id="rId485" Type="http://schemas.openxmlformats.org/officeDocument/2006/relationships/hyperlink" Target="https://www.legislation.gov.au/F2016L00229/latest/text" TargetMode="External"/><Relationship Id="rId692" Type="http://schemas.openxmlformats.org/officeDocument/2006/relationships/hyperlink" Target="https://www.aph.gov.au/Parliamentary_Business/Committees/Joint/Human_Rights/Guidance_Notes_and_Resources" TargetMode="External"/><Relationship Id="rId706" Type="http://schemas.openxmlformats.org/officeDocument/2006/relationships/hyperlink" Target="mailto:sunsetting@ag.gov.au" TargetMode="External"/><Relationship Id="rId42" Type="http://schemas.openxmlformats.org/officeDocument/2006/relationships/hyperlink" Target="https://www.legislation.gov.au/C2004A01224/" TargetMode="External"/><Relationship Id="rId84" Type="http://schemas.openxmlformats.org/officeDocument/2006/relationships/hyperlink" Target="https://www.legislation.gov.au/latest/F2015L01475" TargetMode="External"/><Relationship Id="rId138" Type="http://schemas.openxmlformats.org/officeDocument/2006/relationships/hyperlink" Target="https://www.legislation.gov.au/C2004A01224/" TargetMode="External"/><Relationship Id="rId345" Type="http://schemas.openxmlformats.org/officeDocument/2006/relationships/hyperlink" Target="mailto:lodge@legislation.gov.au" TargetMode="External"/><Relationship Id="rId387" Type="http://schemas.openxmlformats.org/officeDocument/2006/relationships/hyperlink" Target="https://www.legislation.gov.au/help-and-resources/using-the-legislation-register/linking-and-downloads" TargetMode="External"/><Relationship Id="rId510" Type="http://schemas.openxmlformats.org/officeDocument/2006/relationships/hyperlink" Target="https://www.legislation.gov.au/latest/C2016C00151" TargetMode="External"/><Relationship Id="rId552" Type="http://schemas.openxmlformats.org/officeDocument/2006/relationships/hyperlink" Target="mailto:adminlaw@ag.gov.au" TargetMode="External"/><Relationship Id="rId594" Type="http://schemas.openxmlformats.org/officeDocument/2006/relationships/hyperlink" Target="https://www.legislation.gov.au/latest/C2016C00186" TargetMode="External"/><Relationship Id="rId608" Type="http://schemas.openxmlformats.org/officeDocument/2006/relationships/hyperlink" Target="http://www.comlaw.gov.au/Current/C2013C00032" TargetMode="External"/><Relationship Id="rId191" Type="http://schemas.openxmlformats.org/officeDocument/2006/relationships/hyperlink" Target="https://www.legislation.gov.au/C2004A01224/" TargetMode="External"/><Relationship Id="rId205" Type="http://schemas.openxmlformats.org/officeDocument/2006/relationships/hyperlink" Target="https://www.legislation.gov.au/latest/F2015L01475" TargetMode="External"/><Relationship Id="rId247" Type="http://schemas.openxmlformats.org/officeDocument/2006/relationships/hyperlink" Target="https://www.legislation.gov.au" TargetMode="External"/><Relationship Id="rId412" Type="http://schemas.openxmlformats.org/officeDocument/2006/relationships/hyperlink" Target="https://www.legislation.gov.au/C2004A01224/" TargetMode="External"/><Relationship Id="rId107" Type="http://schemas.openxmlformats.org/officeDocument/2006/relationships/hyperlink" Target="https://www.legislation.gov.au/C2004A01224/" TargetMode="External"/><Relationship Id="rId289" Type="http://schemas.openxmlformats.org/officeDocument/2006/relationships/hyperlink" Target="https://www.legislation.gov.au/C2004A01224/" TargetMode="External"/><Relationship Id="rId454" Type="http://schemas.openxmlformats.org/officeDocument/2006/relationships/hyperlink" Target="https://www.legislation.gov.au/C2004A03330/latest/text" TargetMode="External"/><Relationship Id="rId496" Type="http://schemas.openxmlformats.org/officeDocument/2006/relationships/hyperlink" Target="https://www.legislation.gov.au/latest/C2016C00186" TargetMode="External"/><Relationship Id="rId661" Type="http://schemas.openxmlformats.org/officeDocument/2006/relationships/hyperlink" Target="https://www.legislation.gov.au/C2004A01224/latest/text" TargetMode="External"/><Relationship Id="rId717" Type="http://schemas.openxmlformats.org/officeDocument/2006/relationships/hyperlink" Target="mailto:sdlc.sen@aph.gov.au" TargetMode="External"/><Relationship Id="rId11" Type="http://schemas.openxmlformats.org/officeDocument/2006/relationships/hyperlink" Target="https://www.legislation.gov.au/" TargetMode="External"/><Relationship Id="rId53" Type="http://schemas.openxmlformats.org/officeDocument/2006/relationships/hyperlink" Target="https://www.legislation.gov.au/C2004A01224/" TargetMode="External"/><Relationship Id="rId149" Type="http://schemas.openxmlformats.org/officeDocument/2006/relationships/hyperlink" Target="https://www.legislation.gov.au/F2016L00229/latest/text" TargetMode="External"/><Relationship Id="rId314" Type="http://schemas.openxmlformats.org/officeDocument/2006/relationships/hyperlink" Target="mailto:lodge@legislation.gov.au" TargetMode="External"/><Relationship Id="rId356" Type="http://schemas.openxmlformats.org/officeDocument/2006/relationships/hyperlink" Target="https://www.legislation.gov.au/C2004A01224/" TargetMode="External"/><Relationship Id="rId398" Type="http://schemas.openxmlformats.org/officeDocument/2006/relationships/hyperlink" Target="mailto:sunsetting@opc.gov.au" TargetMode="External"/><Relationship Id="rId521" Type="http://schemas.openxmlformats.org/officeDocument/2006/relationships/hyperlink" Target="http://www.comlaw.gov.au/Current/C2013C00032" TargetMode="External"/><Relationship Id="rId563" Type="http://schemas.openxmlformats.org/officeDocument/2006/relationships/hyperlink" Target="https://www.legislation.gov.au/latest/C2016C00186" TargetMode="External"/><Relationship Id="rId619" Type="http://schemas.openxmlformats.org/officeDocument/2006/relationships/hyperlink" Target="https://www.legislation.gov.au/C2004A01224/latest/text" TargetMode="External"/><Relationship Id="rId95" Type="http://schemas.openxmlformats.org/officeDocument/2006/relationships/hyperlink" Target="https://www.legislation.gov.au/F2015L01475/latest/text" TargetMode="External"/><Relationship Id="rId160" Type="http://schemas.openxmlformats.org/officeDocument/2006/relationships/hyperlink" Target="https://www.comlaw.gov.au/Current/F2015L01475/" TargetMode="External"/><Relationship Id="rId216" Type="http://schemas.openxmlformats.org/officeDocument/2006/relationships/hyperlink" Target="mailto:lodge@legislation.gov.au" TargetMode="External"/><Relationship Id="rId423" Type="http://schemas.openxmlformats.org/officeDocument/2006/relationships/hyperlink" Target="https://www.legislation.gov.au/C2004A01224/" TargetMode="External"/><Relationship Id="rId258" Type="http://schemas.openxmlformats.org/officeDocument/2006/relationships/hyperlink" Target="https://www.legislation.gov.au/C2004A01224/" TargetMode="External"/><Relationship Id="rId465" Type="http://schemas.openxmlformats.org/officeDocument/2006/relationships/hyperlink" Target="https://www.legislation.gov.au/latest/C2016C00186" TargetMode="External"/><Relationship Id="rId630" Type="http://schemas.openxmlformats.org/officeDocument/2006/relationships/hyperlink" Target="mailto:helpdesk-OIA@pmc.gov.au" TargetMode="External"/><Relationship Id="rId672" Type="http://schemas.openxmlformats.org/officeDocument/2006/relationships/hyperlink" Target="https://www.opc.gov.au/drafting-resources/client-advisers" TargetMode="External"/><Relationship Id="rId22" Type="http://schemas.openxmlformats.org/officeDocument/2006/relationships/footer" Target="footer1.xml"/><Relationship Id="rId64" Type="http://schemas.openxmlformats.org/officeDocument/2006/relationships/hyperlink" Target="https://www.legislation.gov.au/C2004A01224/" TargetMode="External"/><Relationship Id="rId118" Type="http://schemas.openxmlformats.org/officeDocument/2006/relationships/hyperlink" Target="https://www.legislation.gov.au/C2004A01224/" TargetMode="External"/><Relationship Id="rId325" Type="http://schemas.openxmlformats.org/officeDocument/2006/relationships/hyperlink" Target="mailto:compilations@opc.gov.au" TargetMode="External"/><Relationship Id="rId367" Type="http://schemas.openxmlformats.org/officeDocument/2006/relationships/hyperlink" Target="https://www.legislation.gov.au/C2004A01224/" TargetMode="External"/><Relationship Id="rId532" Type="http://schemas.openxmlformats.org/officeDocument/2006/relationships/hyperlink" Target="https://www.legislation.gov.au/latest/C2016C00186" TargetMode="External"/><Relationship Id="rId574" Type="http://schemas.openxmlformats.org/officeDocument/2006/relationships/hyperlink" Target="http://www.comlaw.gov.au/Current/C2013C00032" TargetMode="External"/><Relationship Id="rId171" Type="http://schemas.openxmlformats.org/officeDocument/2006/relationships/hyperlink" Target="https://www.legislation.gov.au/latest/C2016C00151" TargetMode="External"/><Relationship Id="rId227" Type="http://schemas.openxmlformats.org/officeDocument/2006/relationships/hyperlink" Target="https://www.opc.gov.au/drafting-resources/client-advisers" TargetMode="External"/><Relationship Id="rId269" Type="http://schemas.openxmlformats.org/officeDocument/2006/relationships/hyperlink" Target="https://www.legislation.gov.au/C2004A01224/" TargetMode="External"/><Relationship Id="rId434" Type="http://schemas.openxmlformats.org/officeDocument/2006/relationships/hyperlink" Target="https://www.legislation.gov.au/latest/C2016C00186" TargetMode="External"/><Relationship Id="rId476" Type="http://schemas.openxmlformats.org/officeDocument/2006/relationships/hyperlink" Target="http://www.comlaw.gov.au/Current/C2013C00032" TargetMode="External"/><Relationship Id="rId641" Type="http://schemas.openxmlformats.org/officeDocument/2006/relationships/hyperlink" Target="https://www.legislation.gov.au/C2004A01224/latest/text" TargetMode="External"/><Relationship Id="rId683" Type="http://schemas.openxmlformats.org/officeDocument/2006/relationships/hyperlink" Target="https://www.ag.gov.au/legal-system/administrative-law/legislation-act-2003" TargetMode="External"/><Relationship Id="rId33" Type="http://schemas.openxmlformats.org/officeDocument/2006/relationships/hyperlink" Target="https://www.legislation.gov.au/Latest/C2018A00078" TargetMode="External"/><Relationship Id="rId129" Type="http://schemas.openxmlformats.org/officeDocument/2006/relationships/hyperlink" Target="https://www.legislation.gov.au/C2004A01224/" TargetMode="External"/><Relationship Id="rId280" Type="http://schemas.openxmlformats.org/officeDocument/2006/relationships/hyperlink" Target="https://www.legislation.gov.au/C2004A01224/" TargetMode="External"/><Relationship Id="rId336" Type="http://schemas.openxmlformats.org/officeDocument/2006/relationships/hyperlink" Target="https://www.legislation.gov.au/F2016L00229/latest/text" TargetMode="External"/><Relationship Id="rId501" Type="http://schemas.openxmlformats.org/officeDocument/2006/relationships/hyperlink" Target="http://www.comlaw.gov.au/Current/C2013C00032" TargetMode="External"/><Relationship Id="rId543" Type="http://schemas.openxmlformats.org/officeDocument/2006/relationships/hyperlink" Target="http://www.comlaw.gov.au/Current/C2013C00032" TargetMode="External"/><Relationship Id="rId75" Type="http://schemas.openxmlformats.org/officeDocument/2006/relationships/hyperlink" Target="https://www.legislation.gov.au/C2004A01224/" TargetMode="External"/><Relationship Id="rId140" Type="http://schemas.openxmlformats.org/officeDocument/2006/relationships/hyperlink" Target="https://www.legislation.gov.au/C2004A01224/" TargetMode="External"/><Relationship Id="rId182" Type="http://schemas.openxmlformats.org/officeDocument/2006/relationships/hyperlink" Target="https://www.legislation.gov.au/C2004A01224/" TargetMode="External"/><Relationship Id="rId378" Type="http://schemas.openxmlformats.org/officeDocument/2006/relationships/hyperlink" Target="https://www.legislation.gov.au/latest/F2016L00229" TargetMode="External"/><Relationship Id="rId403" Type="http://schemas.openxmlformats.org/officeDocument/2006/relationships/hyperlink" Target="https://www.legislation.gov.au/C2004A01224/" TargetMode="External"/><Relationship Id="rId585" Type="http://schemas.openxmlformats.org/officeDocument/2006/relationships/hyperlink" Target="http://www.comlaw.gov.au/Current/C2013C00032" TargetMode="External"/><Relationship Id="rId6" Type="http://schemas.openxmlformats.org/officeDocument/2006/relationships/footnotes" Target="footnotes.xml"/><Relationship Id="rId238" Type="http://schemas.openxmlformats.org/officeDocument/2006/relationships/hyperlink" Target="https://www.legislation.gov.au/F2016L00229/latest/text" TargetMode="External"/><Relationship Id="rId445" Type="http://schemas.openxmlformats.org/officeDocument/2006/relationships/hyperlink" Target="mailto:helpdesk-OIA@pmc.gov.au" TargetMode="External"/><Relationship Id="rId487" Type="http://schemas.openxmlformats.org/officeDocument/2006/relationships/hyperlink" Target="https://www.legislation.gov.au/C2004A01224/latest/text" TargetMode="External"/><Relationship Id="rId610" Type="http://schemas.openxmlformats.org/officeDocument/2006/relationships/hyperlink" Target="mailto:helpdesk-obpr@pmc.gov.au" TargetMode="External"/><Relationship Id="rId652" Type="http://schemas.openxmlformats.org/officeDocument/2006/relationships/hyperlink" Target="https://www.legislation.gov.au/C2004A01224/" TargetMode="External"/><Relationship Id="rId694" Type="http://schemas.openxmlformats.org/officeDocument/2006/relationships/header" Target="header15.xml"/><Relationship Id="rId708" Type="http://schemas.openxmlformats.org/officeDocument/2006/relationships/hyperlink" Target="mailto:CriminalLaw@ag.gov.au" TargetMode="External"/><Relationship Id="rId291" Type="http://schemas.openxmlformats.org/officeDocument/2006/relationships/hyperlink" Target="https://www.legislation.gov.au/C2004A01224/" TargetMode="External"/><Relationship Id="rId305" Type="http://schemas.openxmlformats.org/officeDocument/2006/relationships/hyperlink" Target="https://www.legislation.gov.au/F2016L00229/latest/text" TargetMode="External"/><Relationship Id="rId347" Type="http://schemas.openxmlformats.org/officeDocument/2006/relationships/hyperlink" Target="https://www.legislation.gov.au/Feedback" TargetMode="External"/><Relationship Id="rId512" Type="http://schemas.openxmlformats.org/officeDocument/2006/relationships/hyperlink" Target="http://www.comlaw.gov.au/Current/C2013C00032" TargetMode="External"/><Relationship Id="rId44" Type="http://schemas.openxmlformats.org/officeDocument/2006/relationships/hyperlink" Target="https://www.legislation.gov.au/C2004A01224/" TargetMode="External"/><Relationship Id="rId86" Type="http://schemas.openxmlformats.org/officeDocument/2006/relationships/hyperlink" Target="https://www.legislation.gov.au/C2004A01224/" TargetMode="External"/><Relationship Id="rId151" Type="http://schemas.openxmlformats.org/officeDocument/2006/relationships/hyperlink" Target="https://www.legislation.gov.au/C2004A01224/" TargetMode="External"/><Relationship Id="rId389" Type="http://schemas.openxmlformats.org/officeDocument/2006/relationships/hyperlink" Target="mailto:compilations@opc.gov.au" TargetMode="External"/><Relationship Id="rId554" Type="http://schemas.openxmlformats.org/officeDocument/2006/relationships/hyperlink" Target="http://www.comlaw.gov.au/Current/C2013C00032" TargetMode="External"/><Relationship Id="rId596" Type="http://schemas.openxmlformats.org/officeDocument/2006/relationships/hyperlink" Target="http://www.comlaw.gov.au/Current/C2013C00032" TargetMode="External"/><Relationship Id="rId193" Type="http://schemas.openxmlformats.org/officeDocument/2006/relationships/hyperlink" Target="https://www.legislation.gov.au/C2004A01224/" TargetMode="External"/><Relationship Id="rId207" Type="http://schemas.openxmlformats.org/officeDocument/2006/relationships/hyperlink" Target="https://www.opc.gov.au/drafting-resources/drafting-directions" TargetMode="External"/><Relationship Id="rId249" Type="http://schemas.openxmlformats.org/officeDocument/2006/relationships/hyperlink" Target="https://www.opc.gov.au/" TargetMode="External"/><Relationship Id="rId414" Type="http://schemas.openxmlformats.org/officeDocument/2006/relationships/hyperlink" Target="https://www.legislation.gov.au/C2004A01224/" TargetMode="External"/><Relationship Id="rId456" Type="http://schemas.openxmlformats.org/officeDocument/2006/relationships/hyperlink" Target="http://www.comlaw.gov.au/Current/C2013C00032" TargetMode="External"/><Relationship Id="rId498" Type="http://schemas.openxmlformats.org/officeDocument/2006/relationships/hyperlink" Target="http://www.comlaw.gov.au/Current/C2013C00032" TargetMode="External"/><Relationship Id="rId621" Type="http://schemas.openxmlformats.org/officeDocument/2006/relationships/hyperlink" Target="https://www.legislation.gov.au/latest/C2016C00186" TargetMode="External"/><Relationship Id="rId663" Type="http://schemas.openxmlformats.org/officeDocument/2006/relationships/hyperlink" Target="https://www.legislation.gov.au/latest/C2016C00186" TargetMode="External"/><Relationship Id="rId13" Type="http://schemas.openxmlformats.org/officeDocument/2006/relationships/hyperlink" Target="https://www.legislation.gov.au/F2015L01475/latest/text" TargetMode="External"/><Relationship Id="rId109" Type="http://schemas.openxmlformats.org/officeDocument/2006/relationships/hyperlink" Target="https://www.legislation.gov.au/C2004A01224/" TargetMode="External"/><Relationship Id="rId260" Type="http://schemas.openxmlformats.org/officeDocument/2006/relationships/header" Target="header7.xml"/><Relationship Id="rId316" Type="http://schemas.openxmlformats.org/officeDocument/2006/relationships/hyperlink" Target="https://www.legislation.gov.au/C2004A01224/" TargetMode="External"/><Relationship Id="rId523" Type="http://schemas.openxmlformats.org/officeDocument/2006/relationships/hyperlink" Target="https://www.legislation.gov.au/C2004A01224/" TargetMode="External"/><Relationship Id="rId719" Type="http://schemas.openxmlformats.org/officeDocument/2006/relationships/fontTable" Target="fontTable.xml"/><Relationship Id="rId55" Type="http://schemas.openxmlformats.org/officeDocument/2006/relationships/hyperlink" Target="https://www.legislation.gov.au/C2004A01224/" TargetMode="External"/><Relationship Id="rId97" Type="http://schemas.openxmlformats.org/officeDocument/2006/relationships/hyperlink" Target="https://www.legislation.gov.au/F2015L01475/latest/text" TargetMode="External"/><Relationship Id="rId120" Type="http://schemas.openxmlformats.org/officeDocument/2006/relationships/hyperlink" Target="https://www.legislation.gov.au/latest/F2015L01475" TargetMode="External"/><Relationship Id="rId358" Type="http://schemas.openxmlformats.org/officeDocument/2006/relationships/hyperlink" Target="https://www.legislation.gov.au/C2004A01224/" TargetMode="External"/><Relationship Id="rId565" Type="http://schemas.openxmlformats.org/officeDocument/2006/relationships/hyperlink" Target="http://www.comlaw.gov.au/Current/C2013C00032" TargetMode="External"/><Relationship Id="rId162" Type="http://schemas.openxmlformats.org/officeDocument/2006/relationships/hyperlink" Target="https://www.legislation.gov.au/C2004A01224/" TargetMode="External"/><Relationship Id="rId218" Type="http://schemas.openxmlformats.org/officeDocument/2006/relationships/hyperlink" Target="https://www.w3.org/WAI/standards-guidelines/wcag/" TargetMode="External"/><Relationship Id="rId425" Type="http://schemas.openxmlformats.org/officeDocument/2006/relationships/hyperlink" Target="https://www.legislation.gov.au/latest/C2016C00186" TargetMode="External"/><Relationship Id="rId467" Type="http://schemas.openxmlformats.org/officeDocument/2006/relationships/hyperlink" Target="http://www.comlaw.gov.au/Current/C2013C00032" TargetMode="External"/><Relationship Id="rId632" Type="http://schemas.openxmlformats.org/officeDocument/2006/relationships/hyperlink" Target="https://www.legislation.gov.au/C2004A01224/" TargetMode="External"/><Relationship Id="rId271" Type="http://schemas.openxmlformats.org/officeDocument/2006/relationships/hyperlink" Target="https://www.legislation.gov.au/C2004A01224/" TargetMode="External"/><Relationship Id="rId674" Type="http://schemas.openxmlformats.org/officeDocument/2006/relationships/header" Target="header14.xml"/><Relationship Id="rId24" Type="http://schemas.openxmlformats.org/officeDocument/2006/relationships/header" Target="header3.xml"/><Relationship Id="rId66" Type="http://schemas.openxmlformats.org/officeDocument/2006/relationships/hyperlink" Target="https://www.legislation.gov.au/C2004A01224/" TargetMode="External"/><Relationship Id="rId131" Type="http://schemas.openxmlformats.org/officeDocument/2006/relationships/hyperlink" Target="https://www.opc.gov.au/" TargetMode="External"/><Relationship Id="rId327" Type="http://schemas.openxmlformats.org/officeDocument/2006/relationships/hyperlink" Target="https://www.legislation.gov.au/C2004A01224/latest/text" TargetMode="External"/><Relationship Id="rId369" Type="http://schemas.openxmlformats.org/officeDocument/2006/relationships/hyperlink" Target="https://www.legislation.gov.au/C2004A01224/" TargetMode="External"/><Relationship Id="rId534" Type="http://schemas.openxmlformats.org/officeDocument/2006/relationships/hyperlink" Target="http://www.comlaw.gov.au/Current/C2013C00032" TargetMode="External"/><Relationship Id="rId576" Type="http://schemas.openxmlformats.org/officeDocument/2006/relationships/hyperlink" Target="https://www.legislation.gov.au/latest/C2016C00186" TargetMode="External"/><Relationship Id="rId173" Type="http://schemas.openxmlformats.org/officeDocument/2006/relationships/hyperlink" Target="https://www.legislation.gov.au/C2004A01224/" TargetMode="External"/><Relationship Id="rId229" Type="http://schemas.openxmlformats.org/officeDocument/2006/relationships/hyperlink" Target="https://www.legislation.gov.au/C2004A01224/" TargetMode="External"/><Relationship Id="rId380" Type="http://schemas.openxmlformats.org/officeDocument/2006/relationships/hyperlink" Target="mailto:lodge@legislation.gov.au" TargetMode="External"/><Relationship Id="rId436" Type="http://schemas.openxmlformats.org/officeDocument/2006/relationships/hyperlink" Target="https://www.legislation.gov.au/C2004A01224/latest/text" TargetMode="External"/><Relationship Id="rId601" Type="http://schemas.openxmlformats.org/officeDocument/2006/relationships/hyperlink" Target="https://www.legislation.gov.au/C2004A01224/" TargetMode="External"/><Relationship Id="rId643" Type="http://schemas.openxmlformats.org/officeDocument/2006/relationships/hyperlink" Target="http://www.comlaw.gov.au/Current/C2013C00032" TargetMode="External"/><Relationship Id="rId240" Type="http://schemas.openxmlformats.org/officeDocument/2006/relationships/hyperlink" Target="https://www.legislation.gov.au/F2016L00229/latest/text" TargetMode="External"/><Relationship Id="rId478" Type="http://schemas.openxmlformats.org/officeDocument/2006/relationships/hyperlink" Target="https://www.legislation.gov.au/C2004A01224/latest/text" TargetMode="External"/><Relationship Id="rId685" Type="http://schemas.openxmlformats.org/officeDocument/2006/relationships/hyperlink" Target="https://www.pmc.gov.au/resources/federal-executive-council-handbook-2021" TargetMode="External"/><Relationship Id="rId35" Type="http://schemas.openxmlformats.org/officeDocument/2006/relationships/hyperlink" Target="https://www.legislation.gov.au/C2004A01224/" TargetMode="External"/><Relationship Id="rId77" Type="http://schemas.openxmlformats.org/officeDocument/2006/relationships/hyperlink" Target="https://www.legislation.gov.au/C2004A01224/" TargetMode="External"/><Relationship Id="rId100" Type="http://schemas.openxmlformats.org/officeDocument/2006/relationships/hyperlink" Target="https://www.legislation.gov.au/latest/F2015L01475" TargetMode="External"/><Relationship Id="rId282" Type="http://schemas.openxmlformats.org/officeDocument/2006/relationships/hyperlink" Target="mailto:lodge@legislation.gov.au" TargetMode="External"/><Relationship Id="rId338" Type="http://schemas.openxmlformats.org/officeDocument/2006/relationships/hyperlink" Target="https://www.legislation.gov.au/C2004A01224/" TargetMode="External"/><Relationship Id="rId503" Type="http://schemas.openxmlformats.org/officeDocument/2006/relationships/hyperlink" Target="https://www.legislation.gov.au/C2004A01224/latest/text" TargetMode="External"/><Relationship Id="rId545" Type="http://schemas.openxmlformats.org/officeDocument/2006/relationships/hyperlink" Target="https://www.comlaw.gov.au/Current/F2015L01475" TargetMode="External"/><Relationship Id="rId587" Type="http://schemas.openxmlformats.org/officeDocument/2006/relationships/hyperlink" Target="https://www.legislation.gov.au/latest/C2016C00186" TargetMode="External"/><Relationship Id="rId710" Type="http://schemas.openxmlformats.org/officeDocument/2006/relationships/hyperlink" Target="mailto:exco@pmc.gov.au" TargetMode="External"/><Relationship Id="rId8" Type="http://schemas.openxmlformats.org/officeDocument/2006/relationships/image" Target="media/image1.jpeg"/><Relationship Id="rId142" Type="http://schemas.openxmlformats.org/officeDocument/2006/relationships/hyperlink" Target="https://www.legislation.gov.au/C2004A01224/" TargetMode="External"/><Relationship Id="rId184" Type="http://schemas.openxmlformats.org/officeDocument/2006/relationships/hyperlink" Target="https://www.legislation.gov.au/latest/C2016C00151" TargetMode="External"/><Relationship Id="rId391" Type="http://schemas.openxmlformats.org/officeDocument/2006/relationships/hyperlink" Target="https://www.legislation.gov.au/terms-of-use" TargetMode="External"/><Relationship Id="rId405" Type="http://schemas.openxmlformats.org/officeDocument/2006/relationships/hyperlink" Target="https://www.legislation.gov.au/C2004A01224/" TargetMode="External"/><Relationship Id="rId447" Type="http://schemas.openxmlformats.org/officeDocument/2006/relationships/hyperlink" Target="https://www.legislation.gov.au/C2004A01224/latest/text" TargetMode="External"/><Relationship Id="rId612" Type="http://schemas.openxmlformats.org/officeDocument/2006/relationships/hyperlink" Target="https://www.legislation.gov.au/C2004A01224/latest/text" TargetMode="External"/><Relationship Id="rId251" Type="http://schemas.openxmlformats.org/officeDocument/2006/relationships/hyperlink" Target="mailto:lodge@legislation.gov.au" TargetMode="External"/><Relationship Id="rId489" Type="http://schemas.openxmlformats.org/officeDocument/2006/relationships/hyperlink" Target="http://www.comlaw.gov.au/Current/C2013C00032" TargetMode="External"/><Relationship Id="rId654" Type="http://schemas.openxmlformats.org/officeDocument/2006/relationships/hyperlink" Target="http://www.comlaw.gov.au/Current/C2013C00032" TargetMode="External"/><Relationship Id="rId696" Type="http://schemas.openxmlformats.org/officeDocument/2006/relationships/hyperlink" Target="mailto:instrument.instructions@opc.gov.au?subject=Instructions%20on" TargetMode="External"/><Relationship Id="rId46" Type="http://schemas.openxmlformats.org/officeDocument/2006/relationships/hyperlink" Target="https://www.legislation.gov.au/C2004A01224/" TargetMode="External"/><Relationship Id="rId293" Type="http://schemas.openxmlformats.org/officeDocument/2006/relationships/hyperlink" Target="https://www.legislation.gov.au/F2016L00229/latest/text" TargetMode="External"/><Relationship Id="rId307" Type="http://schemas.openxmlformats.org/officeDocument/2006/relationships/hyperlink" Target="https://www.legislation.gov.au/C2004A01224/" TargetMode="External"/><Relationship Id="rId349" Type="http://schemas.openxmlformats.org/officeDocument/2006/relationships/hyperlink" Target="https://www.legislation.gov.au/C2004A01224/" TargetMode="External"/><Relationship Id="rId514" Type="http://schemas.openxmlformats.org/officeDocument/2006/relationships/hyperlink" Target="https://www.legislation.gov.au/C2004A01224/latest/text" TargetMode="External"/><Relationship Id="rId556" Type="http://schemas.openxmlformats.org/officeDocument/2006/relationships/hyperlink" Target="https://www.legislation.gov.au/latest/C2016C00186" TargetMode="External"/><Relationship Id="rId88" Type="http://schemas.openxmlformats.org/officeDocument/2006/relationships/hyperlink" Target="https://www.legislation.gov.au/C2004A01224/" TargetMode="External"/><Relationship Id="rId111" Type="http://schemas.openxmlformats.org/officeDocument/2006/relationships/hyperlink" Target="https://www.legislation.gov.au/C2004A01224/" TargetMode="External"/><Relationship Id="rId153" Type="http://schemas.openxmlformats.org/officeDocument/2006/relationships/hyperlink" Target="https://www.opc.gov.au/drafting-resources/drafting-directions" TargetMode="External"/><Relationship Id="rId195" Type="http://schemas.openxmlformats.org/officeDocument/2006/relationships/hyperlink" Target="https://www.legislation.gov.au/C2004A01224/" TargetMode="External"/><Relationship Id="rId209" Type="http://schemas.openxmlformats.org/officeDocument/2006/relationships/hyperlink" Target="https://www.legislation.gov.au/C2004A01224/" TargetMode="External"/><Relationship Id="rId360" Type="http://schemas.openxmlformats.org/officeDocument/2006/relationships/hyperlink" Target="https://www.legislation.gov.au/C2004A01224/" TargetMode="External"/><Relationship Id="rId416" Type="http://schemas.openxmlformats.org/officeDocument/2006/relationships/header" Target="header10.xml"/><Relationship Id="rId598" Type="http://schemas.openxmlformats.org/officeDocument/2006/relationships/hyperlink" Target="https://www.legislation.gov.au/latest/C2016C00186" TargetMode="External"/><Relationship Id="rId220" Type="http://schemas.openxmlformats.org/officeDocument/2006/relationships/hyperlink" Target="https://www.legislation.gov.au/terms-of-use" TargetMode="External"/><Relationship Id="rId458" Type="http://schemas.openxmlformats.org/officeDocument/2006/relationships/hyperlink" Target="https://www.legislation.gov.au/C2011A00186/latest/text" TargetMode="External"/><Relationship Id="rId623" Type="http://schemas.openxmlformats.org/officeDocument/2006/relationships/hyperlink" Target="http://www.comlaw.gov.au/Current/C2013C00032" TargetMode="External"/><Relationship Id="rId665" Type="http://schemas.openxmlformats.org/officeDocument/2006/relationships/hyperlink" Target="http://www.comlaw.gov.au/Current/C2013C00032" TargetMode="External"/><Relationship Id="rId15" Type="http://schemas.openxmlformats.org/officeDocument/2006/relationships/hyperlink" Target="https://www.legislation.gov.au/F2017L00369/latest/text" TargetMode="External"/><Relationship Id="rId57" Type="http://schemas.openxmlformats.org/officeDocument/2006/relationships/hyperlink" Target="https://www.legislation.gov.au/C2004A01224/" TargetMode="External"/><Relationship Id="rId262" Type="http://schemas.openxmlformats.org/officeDocument/2006/relationships/hyperlink" Target="https://www.legislation.gov.au/C2004A01224/" TargetMode="External"/><Relationship Id="rId318" Type="http://schemas.openxmlformats.org/officeDocument/2006/relationships/hyperlink" Target="https://www.legislation.gov.au/Details/F2016L00229" TargetMode="External"/><Relationship Id="rId525" Type="http://schemas.openxmlformats.org/officeDocument/2006/relationships/hyperlink" Target="https://www.legislation.gov.au/C2004A01224/latest/text" TargetMode="External"/><Relationship Id="rId567" Type="http://schemas.openxmlformats.org/officeDocument/2006/relationships/hyperlink" Target="https://www.legislation.gov.au/latest/C2016C00186" TargetMode="External"/><Relationship Id="rId99" Type="http://schemas.openxmlformats.org/officeDocument/2006/relationships/hyperlink" Target="https://www.legislation.gov.au/F2015L01475/latest/text" TargetMode="External"/><Relationship Id="rId122" Type="http://schemas.openxmlformats.org/officeDocument/2006/relationships/hyperlink" Target="https://www.legislation.gov.au/latest/F2015L01475" TargetMode="External"/><Relationship Id="rId164" Type="http://schemas.openxmlformats.org/officeDocument/2006/relationships/hyperlink" Target="https://www.legislation.gov.au/C2004A01224/" TargetMode="External"/><Relationship Id="rId371" Type="http://schemas.openxmlformats.org/officeDocument/2006/relationships/hyperlink" Target="https://www.legislation.gov.au/C2004A01224/" TargetMode="External"/><Relationship Id="rId427" Type="http://schemas.openxmlformats.org/officeDocument/2006/relationships/hyperlink" Target="https://www.legislation.gov.au/latest/C2016C00186" TargetMode="External"/><Relationship Id="rId469" Type="http://schemas.openxmlformats.org/officeDocument/2006/relationships/hyperlink" Target="https://www.legislation.gov.au/latest/C2016C00186" TargetMode="External"/><Relationship Id="rId634" Type="http://schemas.openxmlformats.org/officeDocument/2006/relationships/hyperlink" Target="http://www.comlaw.gov.au/Current/C2013C00032" TargetMode="External"/><Relationship Id="rId676" Type="http://schemas.openxmlformats.org/officeDocument/2006/relationships/hyperlink" Target="https://www.legislation.gov.au/latest/C2016C00151" TargetMode="External"/><Relationship Id="rId26" Type="http://schemas.openxmlformats.org/officeDocument/2006/relationships/hyperlink" Target="https://www.legislation.gov.au/C2004A01224/" TargetMode="External"/><Relationship Id="rId231" Type="http://schemas.openxmlformats.org/officeDocument/2006/relationships/hyperlink" Target="https://www.naa.gov.au/information-management/records-authorities/types-records-authorities/general-records-authority-31" TargetMode="External"/><Relationship Id="rId273" Type="http://schemas.openxmlformats.org/officeDocument/2006/relationships/hyperlink" Target="https://www.legislation.gov.au/C2004A01224/" TargetMode="External"/><Relationship Id="rId329" Type="http://schemas.openxmlformats.org/officeDocument/2006/relationships/hyperlink" Target="mailto:compilations@opc.gov.au" TargetMode="External"/><Relationship Id="rId480" Type="http://schemas.openxmlformats.org/officeDocument/2006/relationships/hyperlink" Target="https://www.legislation.gov.au/latest/C2016C00186" TargetMode="External"/><Relationship Id="rId536" Type="http://schemas.openxmlformats.org/officeDocument/2006/relationships/hyperlink" Target="https://www.legislation.gov.au/latest/C2016C00186" TargetMode="External"/><Relationship Id="rId701" Type="http://schemas.openxmlformats.org/officeDocument/2006/relationships/hyperlink" Target="https://lodge.legislation.gov.au" TargetMode="External"/><Relationship Id="rId68" Type="http://schemas.openxmlformats.org/officeDocument/2006/relationships/hyperlink" Target="https://www.legislation.gov.au/C2004A01224/" TargetMode="External"/><Relationship Id="rId133" Type="http://schemas.openxmlformats.org/officeDocument/2006/relationships/hyperlink" Target="https://www.opc.gov.au/drafting-resources/instrument-resources" TargetMode="External"/><Relationship Id="rId175" Type="http://schemas.openxmlformats.org/officeDocument/2006/relationships/hyperlink" Target="https://www.legislation.gov.au/C2004A01224/" TargetMode="External"/><Relationship Id="rId340" Type="http://schemas.openxmlformats.org/officeDocument/2006/relationships/hyperlink" Target="https://www.legislation.gov.au/C2004A01224/latest/text" TargetMode="External"/><Relationship Id="rId578" Type="http://schemas.openxmlformats.org/officeDocument/2006/relationships/hyperlink" Target="http://www.comlaw.gov.au/Current/C2013C00032" TargetMode="External"/><Relationship Id="rId200" Type="http://schemas.openxmlformats.org/officeDocument/2006/relationships/hyperlink" Target="https://www.legislation.gov.au/C1901A00002/latest/text" TargetMode="External"/><Relationship Id="rId382" Type="http://schemas.openxmlformats.org/officeDocument/2006/relationships/hyperlink" Target="https://www.legislation.gov.au/latest/F2016L00229" TargetMode="External"/><Relationship Id="rId438" Type="http://schemas.openxmlformats.org/officeDocument/2006/relationships/hyperlink" Target="http://www.comlaw.gov.au/Current/C2013C00032" TargetMode="External"/><Relationship Id="rId603" Type="http://schemas.openxmlformats.org/officeDocument/2006/relationships/hyperlink" Target="http://www.comlaw.gov.au/Current/C2013C00032" TargetMode="External"/><Relationship Id="rId645" Type="http://schemas.openxmlformats.org/officeDocument/2006/relationships/hyperlink" Target="https://www.legislation.gov.au/C2004A01224/latest/text" TargetMode="External"/><Relationship Id="rId687" Type="http://schemas.openxmlformats.org/officeDocument/2006/relationships/hyperlink" Target="https://www.pmc.gov.au/resources/legislation-handbook" TargetMode="External"/><Relationship Id="rId242" Type="http://schemas.openxmlformats.org/officeDocument/2006/relationships/hyperlink" Target="https://www.legislation.gov.au/F2016L00229/latest/text" TargetMode="External"/><Relationship Id="rId284" Type="http://schemas.openxmlformats.org/officeDocument/2006/relationships/hyperlink" Target="https://www.legislation.gov.au/F2016L00229/latest/text" TargetMode="External"/><Relationship Id="rId491" Type="http://schemas.openxmlformats.org/officeDocument/2006/relationships/hyperlink" Target="https://www.legislation.gov.au/C2004A01224/latest/text" TargetMode="External"/><Relationship Id="rId505" Type="http://schemas.openxmlformats.org/officeDocument/2006/relationships/hyperlink" Target="https://www.legislation.gov.au/latest/C2016C00186" TargetMode="External"/><Relationship Id="rId712" Type="http://schemas.openxmlformats.org/officeDocument/2006/relationships/hyperlink" Target="mailto:human.rights@aph.gov.au" TargetMode="External"/><Relationship Id="rId37" Type="http://schemas.openxmlformats.org/officeDocument/2006/relationships/hyperlink" Target="https://www.legislation.gov.au/C2004A01224/" TargetMode="External"/><Relationship Id="rId79" Type="http://schemas.openxmlformats.org/officeDocument/2006/relationships/hyperlink" Target="https://www.legislation.gov.au/F2015L01475/latest/text" TargetMode="External"/><Relationship Id="rId102" Type="http://schemas.openxmlformats.org/officeDocument/2006/relationships/hyperlink" Target="https://www.legislation.gov.au/latest/F2015L01475" TargetMode="External"/><Relationship Id="rId144" Type="http://schemas.openxmlformats.org/officeDocument/2006/relationships/hyperlink" Target="https://www.legislation.gov.au/C2004A01224/" TargetMode="External"/><Relationship Id="rId547" Type="http://schemas.openxmlformats.org/officeDocument/2006/relationships/hyperlink" Target="https://www.legislation.gov.au/latest/F2015L01475" TargetMode="External"/><Relationship Id="rId589" Type="http://schemas.openxmlformats.org/officeDocument/2006/relationships/hyperlink" Target="http://www.comlaw.gov.au/Current/C2013C00032" TargetMode="External"/><Relationship Id="rId90" Type="http://schemas.openxmlformats.org/officeDocument/2006/relationships/hyperlink" Target="https://www.legislation.gov.au/latest/F2015L01475" TargetMode="External"/><Relationship Id="rId186" Type="http://schemas.openxmlformats.org/officeDocument/2006/relationships/hyperlink" Target="https://www.opc.gov.au/publications/amending-forms-manual" TargetMode="External"/><Relationship Id="rId351" Type="http://schemas.openxmlformats.org/officeDocument/2006/relationships/hyperlink" Target="https://www.legislation.gov.au/C2004A01224/" TargetMode="External"/><Relationship Id="rId393" Type="http://schemas.openxmlformats.org/officeDocument/2006/relationships/hyperlink" Target="https://www.legislation.gov.au/latest/C2016C00186" TargetMode="External"/><Relationship Id="rId407" Type="http://schemas.openxmlformats.org/officeDocument/2006/relationships/hyperlink" Target="https://www.legislation.gov.au/C2004A01224/" TargetMode="External"/><Relationship Id="rId449" Type="http://schemas.openxmlformats.org/officeDocument/2006/relationships/hyperlink" Target="http://www.comlaw.gov.au/Current/C2013C00032" TargetMode="External"/><Relationship Id="rId614" Type="http://schemas.openxmlformats.org/officeDocument/2006/relationships/hyperlink" Target="https://www.legislation.gov.au/latest/C2016C00186" TargetMode="External"/><Relationship Id="rId656" Type="http://schemas.openxmlformats.org/officeDocument/2006/relationships/hyperlink" Target="https://www.legislation.gov.au/C2004A01224/latest/text" TargetMode="External"/><Relationship Id="rId211" Type="http://schemas.openxmlformats.org/officeDocument/2006/relationships/hyperlink" Target="https://www.legislation.gov.au/C2004A03712/latest/text" TargetMode="External"/><Relationship Id="rId253" Type="http://schemas.openxmlformats.org/officeDocument/2006/relationships/hyperlink" Target="https://www.legislation.gov.au/C2004A01224/" TargetMode="External"/><Relationship Id="rId295" Type="http://schemas.openxmlformats.org/officeDocument/2006/relationships/hyperlink" Target="https://www.legislation.gov.au/F2016L00229/latest/text" TargetMode="External"/><Relationship Id="rId309" Type="http://schemas.openxmlformats.org/officeDocument/2006/relationships/hyperlink" Target="https://www.legislation.gov.au/latest/F2016L00229" TargetMode="External"/><Relationship Id="rId460" Type="http://schemas.openxmlformats.org/officeDocument/2006/relationships/hyperlink" Target="http://www.comlaw.gov.au/Current/C2013C00032" TargetMode="External"/><Relationship Id="rId516" Type="http://schemas.openxmlformats.org/officeDocument/2006/relationships/hyperlink" Target="https://www.legislation.gov.au/latest/C2016C00186" TargetMode="External"/><Relationship Id="rId698" Type="http://schemas.openxmlformats.org/officeDocument/2006/relationships/hyperlink" Target="mailto:compilations@opc.gov.au" TargetMode="External"/><Relationship Id="rId48" Type="http://schemas.openxmlformats.org/officeDocument/2006/relationships/hyperlink" Target="https://www.legislation.gov.au/C2004A01224/" TargetMode="External"/><Relationship Id="rId113" Type="http://schemas.openxmlformats.org/officeDocument/2006/relationships/hyperlink" Target="https://www.legislation.gov.au/C2004A01224/" TargetMode="External"/><Relationship Id="rId320" Type="http://schemas.openxmlformats.org/officeDocument/2006/relationships/image" Target="media/image10.png"/><Relationship Id="rId558" Type="http://schemas.openxmlformats.org/officeDocument/2006/relationships/hyperlink" Target="http://www.comlaw.gov.au/Current/C2013C00032" TargetMode="External"/><Relationship Id="rId155" Type="http://schemas.openxmlformats.org/officeDocument/2006/relationships/image" Target="media/image5.png"/><Relationship Id="rId197" Type="http://schemas.openxmlformats.org/officeDocument/2006/relationships/hyperlink" Target="https://www.legislation.gov.au/C2004A01224/" TargetMode="External"/><Relationship Id="rId362" Type="http://schemas.openxmlformats.org/officeDocument/2006/relationships/hyperlink" Target="mailto:lodge@legislation.gov.au" TargetMode="External"/><Relationship Id="rId418" Type="http://schemas.openxmlformats.org/officeDocument/2006/relationships/hyperlink" Target="https://www.legislation.gov.au/latest/C2016C00151" TargetMode="External"/><Relationship Id="rId625" Type="http://schemas.openxmlformats.org/officeDocument/2006/relationships/hyperlink" Target="https://www.legislation.gov.au/latest/C2016C00186" TargetMode="External"/><Relationship Id="rId222" Type="http://schemas.openxmlformats.org/officeDocument/2006/relationships/hyperlink" Target="https://www.legislation.gov.au/F2016L00229/latest/text" TargetMode="External"/><Relationship Id="rId264" Type="http://schemas.openxmlformats.org/officeDocument/2006/relationships/hyperlink" Target="https://www.legislation.gov.au/C2004A01224/" TargetMode="External"/><Relationship Id="rId471" Type="http://schemas.openxmlformats.org/officeDocument/2006/relationships/hyperlink" Target="https://www.legislation.gov.au/C2004A01224/" TargetMode="External"/><Relationship Id="rId667" Type="http://schemas.openxmlformats.org/officeDocument/2006/relationships/hyperlink" Target="mailto:sunsetting@ag.gov.au" TargetMode="External"/><Relationship Id="rId17" Type="http://schemas.openxmlformats.org/officeDocument/2006/relationships/hyperlink" Target="https://www.legislation.gov.au/C2004A01224/" TargetMode="External"/><Relationship Id="rId59" Type="http://schemas.openxmlformats.org/officeDocument/2006/relationships/hyperlink" Target="https://www.legislation.gov.au/C2004A01224/" TargetMode="External"/><Relationship Id="rId124" Type="http://schemas.openxmlformats.org/officeDocument/2006/relationships/hyperlink" Target="https://www.legislation.gov.au/C2004A01224/" TargetMode="External"/><Relationship Id="rId527" Type="http://schemas.openxmlformats.org/officeDocument/2006/relationships/hyperlink" Target="http://www.comlaw.gov.au/Current/C2013C00032" TargetMode="External"/><Relationship Id="rId569" Type="http://schemas.openxmlformats.org/officeDocument/2006/relationships/hyperlink" Target="http://www.comlaw.gov.au/Current/C2013C00032" TargetMode="External"/><Relationship Id="rId70" Type="http://schemas.openxmlformats.org/officeDocument/2006/relationships/hyperlink" Target="https://www.legislation.gov.au/C2004A01224/" TargetMode="External"/><Relationship Id="rId166" Type="http://schemas.openxmlformats.org/officeDocument/2006/relationships/hyperlink" Target="https://www.legislation.gov.au/C2004A01224/" TargetMode="External"/><Relationship Id="rId331" Type="http://schemas.openxmlformats.org/officeDocument/2006/relationships/hyperlink" Target="https://www.legislation.gov.au/C2004A01224/" TargetMode="External"/><Relationship Id="rId373" Type="http://schemas.openxmlformats.org/officeDocument/2006/relationships/hyperlink" Target="https://www.legislation.gov.au/F2016L00229/latest/text" TargetMode="External"/><Relationship Id="rId429" Type="http://schemas.openxmlformats.org/officeDocument/2006/relationships/hyperlink" Target="https://www.legislation.gov.au/C2004A01224/latest/text" TargetMode="External"/><Relationship Id="rId580" Type="http://schemas.openxmlformats.org/officeDocument/2006/relationships/hyperlink" Target="https://www.legislation.gov.au/latest/C2016C00186" TargetMode="External"/><Relationship Id="rId636" Type="http://schemas.openxmlformats.org/officeDocument/2006/relationships/hyperlink" Target="https://www.legislation.gov.au/latest/C2016C00186" TargetMode="External"/><Relationship Id="rId1" Type="http://schemas.openxmlformats.org/officeDocument/2006/relationships/customXml" Target="../customXml/item1.xml"/><Relationship Id="rId233" Type="http://schemas.openxmlformats.org/officeDocument/2006/relationships/hyperlink" Target="https://www.legislation.gov.au/F2016L00229/latest/text" TargetMode="External"/><Relationship Id="rId440" Type="http://schemas.openxmlformats.org/officeDocument/2006/relationships/hyperlink" Target="https://www.legislation.gov.au/latest/C2016C00186" TargetMode="External"/><Relationship Id="rId678" Type="http://schemas.openxmlformats.org/officeDocument/2006/relationships/hyperlink" Target="https://www.legislation.gov.au/F2015L01475/latest/text" TargetMode="External"/><Relationship Id="rId28" Type="http://schemas.openxmlformats.org/officeDocument/2006/relationships/hyperlink" Target="https://www.legislation.gov.au/C1903A00018/latest/text" TargetMode="External"/><Relationship Id="rId275" Type="http://schemas.openxmlformats.org/officeDocument/2006/relationships/hyperlink" Target="https://www.legislation.gov.au/C2004A01224/" TargetMode="External"/><Relationship Id="rId300" Type="http://schemas.openxmlformats.org/officeDocument/2006/relationships/hyperlink" Target="https://lodge.legislation.gov.au/" TargetMode="External"/><Relationship Id="rId482" Type="http://schemas.openxmlformats.org/officeDocument/2006/relationships/hyperlink" Target="http://www.comlaw.gov.au/Current/C2013C00032" TargetMode="External"/><Relationship Id="rId538" Type="http://schemas.openxmlformats.org/officeDocument/2006/relationships/hyperlink" Target="http://www.comlaw.gov.au/Current/C2013C00032" TargetMode="External"/><Relationship Id="rId703" Type="http://schemas.openxmlformats.org/officeDocument/2006/relationships/hyperlink" Target="mailto:table.office.reps@aph.gov.au" TargetMode="External"/><Relationship Id="rId81" Type="http://schemas.openxmlformats.org/officeDocument/2006/relationships/hyperlink" Target="https://www.legislation.gov.au/C2004A01224/" TargetMode="External"/><Relationship Id="rId135" Type="http://schemas.openxmlformats.org/officeDocument/2006/relationships/hyperlink" Target="https://www.legislation.gov.au/C2004A01224/" TargetMode="External"/><Relationship Id="rId177" Type="http://schemas.openxmlformats.org/officeDocument/2006/relationships/hyperlink" Target="https://www.legislation.gov.au/latest/C2016C00151" TargetMode="External"/><Relationship Id="rId342" Type="http://schemas.openxmlformats.org/officeDocument/2006/relationships/hyperlink" Target="https://www.legislation.gov.au/F2016L00229/latest/text" TargetMode="External"/><Relationship Id="rId384" Type="http://schemas.openxmlformats.org/officeDocument/2006/relationships/hyperlink" Target="https://www.legislation.gov.au/latest/F2016L00229" TargetMode="External"/><Relationship Id="rId591" Type="http://schemas.openxmlformats.org/officeDocument/2006/relationships/hyperlink" Target="https://www.legislation.gov.au/latest/C2016C00186" TargetMode="External"/><Relationship Id="rId605" Type="http://schemas.openxmlformats.org/officeDocument/2006/relationships/hyperlink" Target="https://www.legislation.gov.au/latest/C2016C00186" TargetMode="External"/><Relationship Id="rId202" Type="http://schemas.openxmlformats.org/officeDocument/2006/relationships/hyperlink" Target="https://www.legislation.gov.au/C2004A01224/" TargetMode="External"/><Relationship Id="rId244" Type="http://schemas.openxmlformats.org/officeDocument/2006/relationships/hyperlink" Target="https://www.legislation.gov.au/F2016L00229/latest/text" TargetMode="External"/><Relationship Id="rId647" Type="http://schemas.openxmlformats.org/officeDocument/2006/relationships/hyperlink" Target="https://www.legislation.gov.au/latest/C2016C00186" TargetMode="External"/><Relationship Id="rId689" Type="http://schemas.openxmlformats.org/officeDocument/2006/relationships/hyperlink" Target="https://www.opc.gov.au/drafting-resources/drafting-directions" TargetMode="External"/><Relationship Id="rId39" Type="http://schemas.openxmlformats.org/officeDocument/2006/relationships/header" Target="header4.xml"/><Relationship Id="rId286" Type="http://schemas.openxmlformats.org/officeDocument/2006/relationships/hyperlink" Target="https://www.legislation.gov.au/C2004A01224/" TargetMode="External"/><Relationship Id="rId451" Type="http://schemas.openxmlformats.org/officeDocument/2006/relationships/hyperlink" Target="https://www.legislation.gov.au/C1901A00002/latest/text" TargetMode="External"/><Relationship Id="rId493" Type="http://schemas.openxmlformats.org/officeDocument/2006/relationships/hyperlink" Target="https://www.legislation.gov.au/latest/C2016C00186" TargetMode="External"/><Relationship Id="rId507" Type="http://schemas.openxmlformats.org/officeDocument/2006/relationships/hyperlink" Target="http://www.comlaw.gov.au/Current/C2013C00032" TargetMode="External"/><Relationship Id="rId549" Type="http://schemas.openxmlformats.org/officeDocument/2006/relationships/hyperlink" Target="http://www.comlaw.gov.au/Current/C2013C00032" TargetMode="External"/><Relationship Id="rId714" Type="http://schemas.openxmlformats.org/officeDocument/2006/relationships/footer" Target="footer7.xml"/><Relationship Id="rId50" Type="http://schemas.openxmlformats.org/officeDocument/2006/relationships/hyperlink" Target="https://www.legislation.gov.au/C2004A01224/" TargetMode="External"/><Relationship Id="rId104" Type="http://schemas.openxmlformats.org/officeDocument/2006/relationships/hyperlink" Target="https://www.legislation.gov.au/latest/F2015L01475" TargetMode="External"/><Relationship Id="rId146" Type="http://schemas.openxmlformats.org/officeDocument/2006/relationships/image" Target="media/image3.png"/><Relationship Id="rId188" Type="http://schemas.openxmlformats.org/officeDocument/2006/relationships/hyperlink" Target="https://www.legislation.gov.au/C2004A01224/" TargetMode="External"/><Relationship Id="rId311" Type="http://schemas.openxmlformats.org/officeDocument/2006/relationships/image" Target="media/image7.png"/><Relationship Id="rId353" Type="http://schemas.openxmlformats.org/officeDocument/2006/relationships/hyperlink" Target="https://www.legislation.gov.au/C2004A01224/" TargetMode="External"/><Relationship Id="rId395" Type="http://schemas.openxmlformats.org/officeDocument/2006/relationships/hyperlink" Target="https://www.legislation.gov.au/C2004A01224/" TargetMode="External"/><Relationship Id="rId409" Type="http://schemas.openxmlformats.org/officeDocument/2006/relationships/hyperlink" Target="https://www.legislation.gov.au/C2004A01224/" TargetMode="External"/><Relationship Id="rId560" Type="http://schemas.openxmlformats.org/officeDocument/2006/relationships/hyperlink" Target="https://www.legislation.gov.au/latest/C2016C00186" TargetMode="External"/><Relationship Id="rId92" Type="http://schemas.openxmlformats.org/officeDocument/2006/relationships/hyperlink" Target="https://www.legislation.gov.au/latest/F2015L01475" TargetMode="External"/><Relationship Id="rId213" Type="http://schemas.openxmlformats.org/officeDocument/2006/relationships/hyperlink" Target="https://www.legislation.gov.au/F2016L00229/latest/text" TargetMode="External"/><Relationship Id="rId420" Type="http://schemas.openxmlformats.org/officeDocument/2006/relationships/hyperlink" Target="http://www.comlaw.gov.au/Current/C2004A01224" TargetMode="External"/><Relationship Id="rId616" Type="http://schemas.openxmlformats.org/officeDocument/2006/relationships/hyperlink" Target="https://www.comlaw.gov.au/Current/F2015L01475/" TargetMode="External"/><Relationship Id="rId658" Type="http://schemas.openxmlformats.org/officeDocument/2006/relationships/hyperlink" Target="https://www.legislation.gov.au/latest/C2016C00186" TargetMode="External"/><Relationship Id="rId255" Type="http://schemas.openxmlformats.org/officeDocument/2006/relationships/hyperlink" Target="https://www.legislation.gov.au/C2004A01224/" TargetMode="External"/><Relationship Id="rId297" Type="http://schemas.openxmlformats.org/officeDocument/2006/relationships/hyperlink" Target="https://www.legislation.gov.au/F2016L00229/latest/text" TargetMode="External"/><Relationship Id="rId462" Type="http://schemas.openxmlformats.org/officeDocument/2006/relationships/hyperlink" Target="https://www.legislation.gov.au/latest/C2016C00186" TargetMode="External"/><Relationship Id="rId518" Type="http://schemas.openxmlformats.org/officeDocument/2006/relationships/hyperlink" Target="http://www.comlaw.gov.au/Current/C2013C00032" TargetMode="External"/><Relationship Id="rId115" Type="http://schemas.openxmlformats.org/officeDocument/2006/relationships/hyperlink" Target="https://www.legislation.gov.au/C2004A01224/" TargetMode="External"/><Relationship Id="rId157" Type="http://schemas.openxmlformats.org/officeDocument/2006/relationships/hyperlink" Target="https://www.legislation.gov.au/C2004A01224/" TargetMode="External"/><Relationship Id="rId322" Type="http://schemas.openxmlformats.org/officeDocument/2006/relationships/image" Target="media/image11.png"/><Relationship Id="rId364" Type="http://schemas.openxmlformats.org/officeDocument/2006/relationships/hyperlink" Target="https://www.legislation.gov.au/latest/F2016L00229" TargetMode="External"/><Relationship Id="rId61" Type="http://schemas.openxmlformats.org/officeDocument/2006/relationships/hyperlink" Target="https://www.legislation.gov.au/latest/F2015L01475" TargetMode="External"/><Relationship Id="rId199" Type="http://schemas.openxmlformats.org/officeDocument/2006/relationships/hyperlink" Target="https://www.legislation.gov.au/C2004A01224/" TargetMode="External"/><Relationship Id="rId571" Type="http://schemas.openxmlformats.org/officeDocument/2006/relationships/hyperlink" Target="https://www.legislation.gov.au/latest/C2016C00186" TargetMode="External"/><Relationship Id="rId627" Type="http://schemas.openxmlformats.org/officeDocument/2006/relationships/hyperlink" Target="https://lodge.legislation.gov.au" TargetMode="External"/><Relationship Id="rId669" Type="http://schemas.openxmlformats.org/officeDocument/2006/relationships/hyperlink" Target="http://www.comlaw.gov.au/Current/C2013C00032" TargetMode="External"/><Relationship Id="rId19" Type="http://schemas.openxmlformats.org/officeDocument/2006/relationships/hyperlink" Target="https://www.legislation.gov.au/F2016L00229/latest/text" TargetMode="External"/><Relationship Id="rId224" Type="http://schemas.openxmlformats.org/officeDocument/2006/relationships/header" Target="header6.xml"/><Relationship Id="rId266" Type="http://schemas.openxmlformats.org/officeDocument/2006/relationships/hyperlink" Target="https://www.legislation.gov.au/C2004A01224/" TargetMode="External"/><Relationship Id="rId431" Type="http://schemas.openxmlformats.org/officeDocument/2006/relationships/hyperlink" Target="https://www.legislation.gov.au/C2004A01224/" TargetMode="External"/><Relationship Id="rId473" Type="http://schemas.openxmlformats.org/officeDocument/2006/relationships/hyperlink" Target="http://www.comlaw.gov.au/Current/C2013C00032" TargetMode="External"/><Relationship Id="rId529" Type="http://schemas.openxmlformats.org/officeDocument/2006/relationships/hyperlink" Target="https://www.legislation.gov.au/C2004A01224/latest/text" TargetMode="External"/><Relationship Id="rId680" Type="http://schemas.openxmlformats.org/officeDocument/2006/relationships/hyperlink" Target="https://www.ag.gov.au/rights-and-protections/human-rights-and-anti-discrimination/human-rights-scrutiny" TargetMode="External"/><Relationship Id="rId30" Type="http://schemas.openxmlformats.org/officeDocument/2006/relationships/hyperlink" Target="https://www.legislation.gov.au/C2015A00010/" TargetMode="External"/><Relationship Id="rId126" Type="http://schemas.openxmlformats.org/officeDocument/2006/relationships/hyperlink" Target="https://www.legislation.gov.au/F2016L00229/latest/text" TargetMode="External"/><Relationship Id="rId168" Type="http://schemas.openxmlformats.org/officeDocument/2006/relationships/hyperlink" Target="https://www.legislation.gov.au/C2004A01224/" TargetMode="External"/><Relationship Id="rId333" Type="http://schemas.openxmlformats.org/officeDocument/2006/relationships/hyperlink" Target="mailto:lodge@legislation.gov.au" TargetMode="External"/><Relationship Id="rId540" Type="http://schemas.openxmlformats.org/officeDocument/2006/relationships/hyperlink" Target="https://www.legislation.gov.au/latest/C2016C00186" TargetMode="External"/><Relationship Id="rId72" Type="http://schemas.openxmlformats.org/officeDocument/2006/relationships/hyperlink" Target="https://www.legislation.gov.au/C2004A01224/" TargetMode="External"/><Relationship Id="rId375" Type="http://schemas.openxmlformats.org/officeDocument/2006/relationships/hyperlink" Target="https://www.legislation.gov.au/C2004A03712/latest/text" TargetMode="External"/><Relationship Id="rId582" Type="http://schemas.openxmlformats.org/officeDocument/2006/relationships/hyperlink" Target="http://www.comlaw.gov.au/Current/C2013C00032" TargetMode="External"/><Relationship Id="rId638" Type="http://schemas.openxmlformats.org/officeDocument/2006/relationships/hyperlink" Target="http://www.comlaw.gov.au/Current/C2013C00032" TargetMode="External"/><Relationship Id="rId3" Type="http://schemas.openxmlformats.org/officeDocument/2006/relationships/styles" Target="styles.xml"/><Relationship Id="rId235" Type="http://schemas.openxmlformats.org/officeDocument/2006/relationships/hyperlink" Target="mailto:lodge@legislation.gov.au" TargetMode="External"/><Relationship Id="rId277" Type="http://schemas.openxmlformats.org/officeDocument/2006/relationships/hyperlink" Target="mailto:compilations@opc.gov.au" TargetMode="External"/><Relationship Id="rId400" Type="http://schemas.openxmlformats.org/officeDocument/2006/relationships/hyperlink" Target="https://www.legislation.gov.au/C1901A00002/latest/text" TargetMode="External"/><Relationship Id="rId442" Type="http://schemas.openxmlformats.org/officeDocument/2006/relationships/hyperlink" Target="http://www.comlaw.gov.au/Current/C2013C00032" TargetMode="External"/><Relationship Id="rId484" Type="http://schemas.openxmlformats.org/officeDocument/2006/relationships/hyperlink" Target="https://www.legislation.gov.au/F2016L00229/latest/text" TargetMode="External"/><Relationship Id="rId705" Type="http://schemas.openxmlformats.org/officeDocument/2006/relationships/hyperlink" Target="mailto:adminlaw@ag.gov.au" TargetMode="External"/><Relationship Id="rId137" Type="http://schemas.openxmlformats.org/officeDocument/2006/relationships/hyperlink" Target="https://www.legislation.gov.au/latest/C2016C00151" TargetMode="External"/><Relationship Id="rId302" Type="http://schemas.openxmlformats.org/officeDocument/2006/relationships/hyperlink" Target="https://www.legislation.gov.au/latest/F2016L00229" TargetMode="External"/><Relationship Id="rId344" Type="http://schemas.openxmlformats.org/officeDocument/2006/relationships/hyperlink" Target="mailto:lodge@legislation.gov.au" TargetMode="External"/><Relationship Id="rId691" Type="http://schemas.openxmlformats.org/officeDocument/2006/relationships/hyperlink" Target="https://www.opc.gov.au/publications/opcs-drafting-services-guide-clients" TargetMode="External"/><Relationship Id="rId41" Type="http://schemas.openxmlformats.org/officeDocument/2006/relationships/footer" Target="footer5.xml"/><Relationship Id="rId83" Type="http://schemas.openxmlformats.org/officeDocument/2006/relationships/hyperlink" Target="https://www.comlaw.gov.au/Current/F2015L01475/" TargetMode="External"/><Relationship Id="rId179" Type="http://schemas.openxmlformats.org/officeDocument/2006/relationships/hyperlink" Target="https://www.legislation.gov.au/C1901A00002/latest/text" TargetMode="External"/><Relationship Id="rId386" Type="http://schemas.openxmlformats.org/officeDocument/2006/relationships/hyperlink" Target="https://www.legislation.gov.au/terms-of-use" TargetMode="External"/><Relationship Id="rId551" Type="http://schemas.openxmlformats.org/officeDocument/2006/relationships/hyperlink" Target="https://www.legislation.gov.au/C2004A01224/" TargetMode="External"/><Relationship Id="rId593" Type="http://schemas.openxmlformats.org/officeDocument/2006/relationships/hyperlink" Target="http://www.comlaw.gov.au/Current/C2013C00032" TargetMode="External"/><Relationship Id="rId607" Type="http://schemas.openxmlformats.org/officeDocument/2006/relationships/hyperlink" Target="https://www.legislation.gov.au/C2004A01224/latest/text" TargetMode="External"/><Relationship Id="rId649" Type="http://schemas.openxmlformats.org/officeDocument/2006/relationships/hyperlink" Target="https://www.legislation.gov.au/C2004A01224/latest/text" TargetMode="External"/><Relationship Id="rId190" Type="http://schemas.openxmlformats.org/officeDocument/2006/relationships/hyperlink" Target="https://www.legislation.gov.au/latest/C2016C00151" TargetMode="External"/><Relationship Id="rId204" Type="http://schemas.openxmlformats.org/officeDocument/2006/relationships/hyperlink" Target="https://www.comlaw.gov.au/Current/F2015L01475/" TargetMode="External"/><Relationship Id="rId246" Type="http://schemas.openxmlformats.org/officeDocument/2006/relationships/hyperlink" Target="https://www.legislation.gov.au/F2016L00229/latest/text" TargetMode="External"/><Relationship Id="rId288" Type="http://schemas.openxmlformats.org/officeDocument/2006/relationships/hyperlink" Target="https://www.legislation.gov.au/C2004A01224/" TargetMode="External"/><Relationship Id="rId411" Type="http://schemas.openxmlformats.org/officeDocument/2006/relationships/hyperlink" Target="https://www.legislation.gov.au/C2004A01224/" TargetMode="External"/><Relationship Id="rId453" Type="http://schemas.openxmlformats.org/officeDocument/2006/relationships/hyperlink" Target="https://www.legislation.gov.au/C2004A05251/latest/text" TargetMode="External"/><Relationship Id="rId509" Type="http://schemas.openxmlformats.org/officeDocument/2006/relationships/hyperlink" Target="https://www.legislation.gov.au/C1901A00002/latest/text" TargetMode="External"/><Relationship Id="rId660" Type="http://schemas.openxmlformats.org/officeDocument/2006/relationships/hyperlink" Target="https://www.legislation.gov.au/C2004A01224/" TargetMode="External"/><Relationship Id="rId106" Type="http://schemas.openxmlformats.org/officeDocument/2006/relationships/hyperlink" Target="https://www.legislation.gov.au/C2004A01224/" TargetMode="External"/><Relationship Id="rId313" Type="http://schemas.openxmlformats.org/officeDocument/2006/relationships/hyperlink" Target="http://www.legislation.gov.au/Feedback" TargetMode="External"/><Relationship Id="rId495" Type="http://schemas.openxmlformats.org/officeDocument/2006/relationships/hyperlink" Target="http://www.comlaw.gov.au/Current/C2013C00032" TargetMode="External"/><Relationship Id="rId716" Type="http://schemas.openxmlformats.org/officeDocument/2006/relationships/footer" Target="footer8.xml"/><Relationship Id="rId10" Type="http://schemas.openxmlformats.org/officeDocument/2006/relationships/image" Target="media/image2.png"/><Relationship Id="rId52" Type="http://schemas.openxmlformats.org/officeDocument/2006/relationships/hyperlink" Target="https://www.legislation.gov.au/C2004A01224/" TargetMode="External"/><Relationship Id="rId94" Type="http://schemas.openxmlformats.org/officeDocument/2006/relationships/hyperlink" Target="https://www.legislation.gov.au/latest/F2015L01475" TargetMode="External"/><Relationship Id="rId148" Type="http://schemas.openxmlformats.org/officeDocument/2006/relationships/hyperlink" Target="https://www.legislation.gov.au/C2004A01224/" TargetMode="External"/><Relationship Id="rId355" Type="http://schemas.openxmlformats.org/officeDocument/2006/relationships/hyperlink" Target="https://www.legislation.gov.au/C2004A01224/" TargetMode="External"/><Relationship Id="rId397" Type="http://schemas.openxmlformats.org/officeDocument/2006/relationships/hyperlink" Target="https://www.legislation.gov.au/F2017L00369/latest/text" TargetMode="External"/><Relationship Id="rId520" Type="http://schemas.openxmlformats.org/officeDocument/2006/relationships/hyperlink" Target="https://www.legislation.gov.au/C2004A01224/latest/text" TargetMode="External"/><Relationship Id="rId562" Type="http://schemas.openxmlformats.org/officeDocument/2006/relationships/hyperlink" Target="http://www.comlaw.gov.au/Current/C2013C00032" TargetMode="External"/><Relationship Id="rId618" Type="http://schemas.openxmlformats.org/officeDocument/2006/relationships/hyperlink" Target="mailto:adminlaw@ag.gov.au" TargetMode="External"/><Relationship Id="rId215" Type="http://schemas.openxmlformats.org/officeDocument/2006/relationships/hyperlink" Target="mailto:compilations@opc.gov.au" TargetMode="External"/><Relationship Id="rId257" Type="http://schemas.openxmlformats.org/officeDocument/2006/relationships/hyperlink" Target="https://www.legislation.gov.au/C2004A01224/" TargetMode="External"/><Relationship Id="rId422" Type="http://schemas.openxmlformats.org/officeDocument/2006/relationships/hyperlink" Target="http://www.comlaw.gov.au/Current/C2004A01224" TargetMode="External"/><Relationship Id="rId464" Type="http://schemas.openxmlformats.org/officeDocument/2006/relationships/hyperlink" Target="http://www.comlaw.gov.au/Current/C2013C00032" TargetMode="External"/><Relationship Id="rId299" Type="http://schemas.openxmlformats.org/officeDocument/2006/relationships/hyperlink" Target="https://www.legislation.gov.au/C2004A01224/" TargetMode="External"/><Relationship Id="rId63" Type="http://schemas.openxmlformats.org/officeDocument/2006/relationships/hyperlink" Target="https://www.legislation.gov.au/C2004A01224/" TargetMode="External"/><Relationship Id="rId159" Type="http://schemas.openxmlformats.org/officeDocument/2006/relationships/hyperlink" Target="https://www.legislation.gov.au/F2015L01475/latest/text" TargetMode="External"/><Relationship Id="rId366" Type="http://schemas.openxmlformats.org/officeDocument/2006/relationships/hyperlink" Target="mailto:lodge@legislation.gov.au" TargetMode="External"/><Relationship Id="rId573" Type="http://schemas.openxmlformats.org/officeDocument/2006/relationships/hyperlink" Target="https://www.legislation.gov.au/C2004A01224/latest/text" TargetMode="External"/><Relationship Id="rId226" Type="http://schemas.openxmlformats.org/officeDocument/2006/relationships/hyperlink" Target="https://www.opc.gov.au/drafting-resources/instrument-resources" TargetMode="External"/><Relationship Id="rId433" Type="http://schemas.openxmlformats.org/officeDocument/2006/relationships/hyperlink" Target="http://www.comlaw.gov.au/Current/C2013C00032" TargetMode="External"/><Relationship Id="rId640" Type="http://schemas.openxmlformats.org/officeDocument/2006/relationships/hyperlink" Target="https://www.legislation.gov.au/latest/C2016C00186" TargetMode="External"/><Relationship Id="rId74" Type="http://schemas.openxmlformats.org/officeDocument/2006/relationships/hyperlink" Target="https://www.legislation.gov.au/C2004A01224/" TargetMode="External"/><Relationship Id="rId377" Type="http://schemas.openxmlformats.org/officeDocument/2006/relationships/hyperlink" Target="https://www.legislation.gov.au/F2016L00229/latest/text" TargetMode="External"/><Relationship Id="rId500" Type="http://schemas.openxmlformats.org/officeDocument/2006/relationships/hyperlink" Target="https://www.legislation.gov.au/C2004A01224/latest/text" TargetMode="External"/><Relationship Id="rId584" Type="http://schemas.openxmlformats.org/officeDocument/2006/relationships/hyperlink" Target="https://www.legislation.gov.au/C2004A01224/latest/text" TargetMode="External"/><Relationship Id="rId5" Type="http://schemas.openxmlformats.org/officeDocument/2006/relationships/webSettings" Target="webSettings.xml"/><Relationship Id="rId237" Type="http://schemas.openxmlformats.org/officeDocument/2006/relationships/hyperlink" Target="https://www.legislation.gov.au/F2016L00229/latest/text" TargetMode="External"/><Relationship Id="rId444" Type="http://schemas.openxmlformats.org/officeDocument/2006/relationships/hyperlink" Target="https://www.legislation.gov.au/C2011A00186/latest/text" TargetMode="External"/><Relationship Id="rId651" Type="http://schemas.openxmlformats.org/officeDocument/2006/relationships/hyperlink" Target="https://www.legislation.gov.au/latest/C2016C00186" TargetMode="External"/><Relationship Id="rId290" Type="http://schemas.openxmlformats.org/officeDocument/2006/relationships/hyperlink" Target="https://www.legislation.gov.au/C2004A01224/" TargetMode="External"/><Relationship Id="rId304" Type="http://schemas.openxmlformats.org/officeDocument/2006/relationships/hyperlink" Target="https://www.legislation.gov.au/latest/F2016L00229" TargetMode="External"/><Relationship Id="rId388" Type="http://schemas.openxmlformats.org/officeDocument/2006/relationships/hyperlink" Target="https://www.legislation.gov.au/terms-of-use" TargetMode="External"/><Relationship Id="rId511" Type="http://schemas.openxmlformats.org/officeDocument/2006/relationships/hyperlink" Target="https://www.legislation.gov.au/C2004A01224/latest/text" TargetMode="External"/><Relationship Id="rId609" Type="http://schemas.openxmlformats.org/officeDocument/2006/relationships/hyperlink" Target="https://www.legislation.gov.au/latest/C2016C00186" TargetMode="External"/><Relationship Id="rId85" Type="http://schemas.openxmlformats.org/officeDocument/2006/relationships/hyperlink" Target="https://www.legislation.gov.au/C2004A01224/" TargetMode="External"/><Relationship Id="rId150" Type="http://schemas.openxmlformats.org/officeDocument/2006/relationships/hyperlink" Target="https://www.legislation.gov.au/C2004A01224/" TargetMode="External"/><Relationship Id="rId595" Type="http://schemas.openxmlformats.org/officeDocument/2006/relationships/hyperlink" Target="https://www.legislation.gov.au/C2004A01224/latest/text" TargetMode="External"/><Relationship Id="rId248" Type="http://schemas.openxmlformats.org/officeDocument/2006/relationships/hyperlink" Target="https://www.legislation.gov.au/F2016L00229/latest/text" TargetMode="External"/><Relationship Id="rId455" Type="http://schemas.openxmlformats.org/officeDocument/2006/relationships/hyperlink" Target="https://www.legislation.gov.au/C2004A01224/latest/text" TargetMode="External"/><Relationship Id="rId662" Type="http://schemas.openxmlformats.org/officeDocument/2006/relationships/hyperlink" Target="http://www.comlaw.gov.au/Current/C2013C00032" TargetMode="External"/><Relationship Id="rId12" Type="http://schemas.openxmlformats.org/officeDocument/2006/relationships/hyperlink" Target="https://www.legislation.gov.au/C2004A01224/" TargetMode="External"/><Relationship Id="rId108" Type="http://schemas.openxmlformats.org/officeDocument/2006/relationships/hyperlink" Target="https://www.legislation.gov.au/C2004A01224/" TargetMode="External"/><Relationship Id="rId315" Type="http://schemas.openxmlformats.org/officeDocument/2006/relationships/hyperlink" Target="mailto:lodge@legislation.gov.au" TargetMode="External"/><Relationship Id="rId522" Type="http://schemas.openxmlformats.org/officeDocument/2006/relationships/hyperlink" Target="https://www.legislation.gov.au/latest/C2016C00186" TargetMode="External"/><Relationship Id="rId96" Type="http://schemas.openxmlformats.org/officeDocument/2006/relationships/hyperlink" Target="https://www.legislation.gov.au/latest/F2015L01475" TargetMode="External"/><Relationship Id="rId161" Type="http://schemas.openxmlformats.org/officeDocument/2006/relationships/hyperlink" Target="https://www.legislation.gov.au/latest/F2015L01475" TargetMode="External"/><Relationship Id="rId399" Type="http://schemas.openxmlformats.org/officeDocument/2006/relationships/hyperlink" Target="https://www.legislation.gov.au/C2004A01224/" TargetMode="External"/><Relationship Id="rId259" Type="http://schemas.openxmlformats.org/officeDocument/2006/relationships/hyperlink" Target="https://www.legislation.gov.au/C2004A04633/latest/text" TargetMode="External"/><Relationship Id="rId466" Type="http://schemas.openxmlformats.org/officeDocument/2006/relationships/hyperlink" Target="https://www.legislation.gov.au/C2004A01224/latest/text" TargetMode="External"/><Relationship Id="rId673" Type="http://schemas.openxmlformats.org/officeDocument/2006/relationships/header" Target="header13.xml"/><Relationship Id="rId23" Type="http://schemas.openxmlformats.org/officeDocument/2006/relationships/footer" Target="footer2.xml"/><Relationship Id="rId119" Type="http://schemas.openxmlformats.org/officeDocument/2006/relationships/hyperlink" Target="https://www.legislation.gov.au/F2015L01475/latest/text" TargetMode="External"/><Relationship Id="rId326" Type="http://schemas.openxmlformats.org/officeDocument/2006/relationships/hyperlink" Target="mailto:lodge@legislation.gov.au" TargetMode="External"/><Relationship Id="rId533" Type="http://schemas.openxmlformats.org/officeDocument/2006/relationships/hyperlink" Target="https://www.legislation.gov.au/C2004A01224/latest/text" TargetMode="External"/><Relationship Id="rId172" Type="http://schemas.openxmlformats.org/officeDocument/2006/relationships/hyperlink" Target="https://www.legislation.gov.au/C2004A01224/" TargetMode="External"/><Relationship Id="rId477" Type="http://schemas.openxmlformats.org/officeDocument/2006/relationships/hyperlink" Target="https://www.legislation.gov.au/latest/C2016C00186" TargetMode="External"/><Relationship Id="rId600" Type="http://schemas.openxmlformats.org/officeDocument/2006/relationships/hyperlink" Target="https://www.legislation.gov.au/C2004A01224/" TargetMode="External"/><Relationship Id="rId684" Type="http://schemas.openxmlformats.org/officeDocument/2006/relationships/hyperlink" Target="https://www.apsacademy.gov.au/aps-craft/strategy-policy-evaluation/delivering-great-policy" TargetMode="External"/><Relationship Id="rId337" Type="http://schemas.openxmlformats.org/officeDocument/2006/relationships/hyperlink" Target="https://www.legislation.gov.au/latest/F2016L00229" TargetMode="External"/><Relationship Id="rId34" Type="http://schemas.openxmlformats.org/officeDocument/2006/relationships/hyperlink" Target="https://www.legislation.gov.au/C2004A01224/" TargetMode="External"/><Relationship Id="rId544" Type="http://schemas.openxmlformats.org/officeDocument/2006/relationships/hyperlink" Target="https://www.legislation.gov.au/latest/C2016C00186" TargetMode="External"/><Relationship Id="rId183" Type="http://schemas.openxmlformats.org/officeDocument/2006/relationships/hyperlink" Target="https://www.legislation.gov.au/C1901A00002/latest/text" TargetMode="External"/><Relationship Id="rId390" Type="http://schemas.openxmlformats.org/officeDocument/2006/relationships/hyperlink" Target="mailto:lodge@legislation.gov.au" TargetMode="External"/><Relationship Id="rId404" Type="http://schemas.openxmlformats.org/officeDocument/2006/relationships/hyperlink" Target="https://www.legislation.gov.au/C2004A01224/" TargetMode="External"/><Relationship Id="rId611" Type="http://schemas.openxmlformats.org/officeDocument/2006/relationships/hyperlink" Target="https://www.legislation.gov.au/C2004A01224/" TargetMode="External"/><Relationship Id="rId250" Type="http://schemas.openxmlformats.org/officeDocument/2006/relationships/hyperlink" Target="https://lodge.legislation.gov.au" TargetMode="External"/><Relationship Id="rId488" Type="http://schemas.openxmlformats.org/officeDocument/2006/relationships/hyperlink" Target="http://www.comlaw.gov.au/Current/C2013C00032" TargetMode="External"/><Relationship Id="rId695" Type="http://schemas.openxmlformats.org/officeDocument/2006/relationships/header" Target="header16.xml"/><Relationship Id="rId709" Type="http://schemas.openxmlformats.org/officeDocument/2006/relationships/hyperlink" Target="mailto:helpdesk-OIA@pmc.gov.au" TargetMode="External"/><Relationship Id="rId45" Type="http://schemas.openxmlformats.org/officeDocument/2006/relationships/hyperlink" Target="https://www.legislation.gov.au/F2015L01475/latest/text" TargetMode="External"/><Relationship Id="rId110" Type="http://schemas.openxmlformats.org/officeDocument/2006/relationships/hyperlink" Target="https://www.legislation.gov.au/C2004A01224/" TargetMode="External"/><Relationship Id="rId348" Type="http://schemas.openxmlformats.org/officeDocument/2006/relationships/hyperlink" Target="mailto:lodge@legislation.gov.au" TargetMode="External"/><Relationship Id="rId555" Type="http://schemas.openxmlformats.org/officeDocument/2006/relationships/hyperlink" Target="http://www.comlaw.gov.au/Current/C2013C00032" TargetMode="External"/><Relationship Id="rId194" Type="http://schemas.openxmlformats.org/officeDocument/2006/relationships/hyperlink" Target="https://www.legislation.gov.au/C2004A01224/" TargetMode="External"/><Relationship Id="rId208" Type="http://schemas.openxmlformats.org/officeDocument/2006/relationships/hyperlink" Target="https://www.legislation.gov.au/C2004A01224/" TargetMode="External"/><Relationship Id="rId415" Type="http://schemas.openxmlformats.org/officeDocument/2006/relationships/hyperlink" Target="mailto:helpdesk-OIA@pmc.gov.au" TargetMode="External"/><Relationship Id="rId622" Type="http://schemas.openxmlformats.org/officeDocument/2006/relationships/hyperlink" Target="https://www.legislation.gov.au/C2004A01224/latest/text" TargetMode="External"/><Relationship Id="rId261" Type="http://schemas.openxmlformats.org/officeDocument/2006/relationships/hyperlink" Target="https://www.legislation.gov.au/C2004A01224/" TargetMode="External"/><Relationship Id="rId499" Type="http://schemas.openxmlformats.org/officeDocument/2006/relationships/hyperlink" Target="https://www.legislation.gov.au/latest/C2016C00186" TargetMode="External"/><Relationship Id="rId56" Type="http://schemas.openxmlformats.org/officeDocument/2006/relationships/hyperlink" Target="https://www.legislation.gov.au/C2004A01224/" TargetMode="External"/><Relationship Id="rId359" Type="http://schemas.openxmlformats.org/officeDocument/2006/relationships/hyperlink" Target="https://www.legislation.gov.au/C2004A01224/" TargetMode="External"/><Relationship Id="rId566" Type="http://schemas.openxmlformats.org/officeDocument/2006/relationships/hyperlink" Target="http://www.comlaw.gov.au/Current/C2013C00032" TargetMode="External"/><Relationship Id="rId121" Type="http://schemas.openxmlformats.org/officeDocument/2006/relationships/hyperlink" Target="https://www.legislation.gov.au/F2015L01475/latest/text" TargetMode="External"/><Relationship Id="rId219" Type="http://schemas.openxmlformats.org/officeDocument/2006/relationships/hyperlink" Target="https://www.legislation.gov.au/F2016L00229/latest/text" TargetMode="External"/><Relationship Id="rId426" Type="http://schemas.openxmlformats.org/officeDocument/2006/relationships/hyperlink" Target="https://www.legislation.gov.au/C2004A01224/latest/text" TargetMode="External"/><Relationship Id="rId633" Type="http://schemas.openxmlformats.org/officeDocument/2006/relationships/hyperlink" Target="https://www.legislation.gov.au/C2004A01224/latest/text" TargetMode="External"/><Relationship Id="rId67" Type="http://schemas.openxmlformats.org/officeDocument/2006/relationships/hyperlink" Target="https://www.legislation.gov.au/C2004A01224/" TargetMode="External"/><Relationship Id="rId272" Type="http://schemas.openxmlformats.org/officeDocument/2006/relationships/hyperlink" Target="https://www.legislation.gov.au/C2004A01224/" TargetMode="External"/><Relationship Id="rId577" Type="http://schemas.openxmlformats.org/officeDocument/2006/relationships/hyperlink" Target="https://www.legislation.gov.au/C2004A01224/latest/text" TargetMode="External"/><Relationship Id="rId700" Type="http://schemas.openxmlformats.org/officeDocument/2006/relationships/hyperlink" Target="mailto:sunsetting@opc.gov.au" TargetMode="External"/><Relationship Id="rId132" Type="http://schemas.openxmlformats.org/officeDocument/2006/relationships/hyperlink" Target="https://www.opc.gov.au/drafting-resources/client-advisers" TargetMode="External"/><Relationship Id="rId437" Type="http://schemas.openxmlformats.org/officeDocument/2006/relationships/hyperlink" Target="http://www.comlaw.gov.au/Current/C2013C00032" TargetMode="External"/><Relationship Id="rId644" Type="http://schemas.openxmlformats.org/officeDocument/2006/relationships/hyperlink" Target="https://www.legislation.gov.au/latest/C2016C00186" TargetMode="External"/><Relationship Id="rId283" Type="http://schemas.openxmlformats.org/officeDocument/2006/relationships/hyperlink" Target="https://www.legislation.gov.au/F2016L00229/latest/text" TargetMode="External"/><Relationship Id="rId490" Type="http://schemas.openxmlformats.org/officeDocument/2006/relationships/hyperlink" Target="https://www.legislation.gov.au/latest/C2016C00186" TargetMode="External"/><Relationship Id="rId504" Type="http://schemas.openxmlformats.org/officeDocument/2006/relationships/hyperlink" Target="http://www.comlaw.gov.au/Current/C2013C00032" TargetMode="External"/><Relationship Id="rId711" Type="http://schemas.openxmlformats.org/officeDocument/2006/relationships/hyperlink" Target="mailto:tabling@pmc.gov.au" TargetMode="External"/><Relationship Id="rId78" Type="http://schemas.openxmlformats.org/officeDocument/2006/relationships/hyperlink" Target="https://www.legislation.gov.au/C2004A01224/" TargetMode="External"/><Relationship Id="rId143" Type="http://schemas.openxmlformats.org/officeDocument/2006/relationships/hyperlink" Target="https://www.legislation.gov.au/C2004A01224/" TargetMode="External"/><Relationship Id="rId350" Type="http://schemas.openxmlformats.org/officeDocument/2006/relationships/hyperlink" Target="https://www.legislation.gov.au/C2004A01224/" TargetMode="External"/><Relationship Id="rId588" Type="http://schemas.openxmlformats.org/officeDocument/2006/relationships/hyperlink" Target="https://www.legislation.gov.au/C2004A01224/latest/text" TargetMode="External"/><Relationship Id="rId9" Type="http://schemas.openxmlformats.org/officeDocument/2006/relationships/customXml" Target="ink/ink1.xml"/><Relationship Id="rId210" Type="http://schemas.openxmlformats.org/officeDocument/2006/relationships/hyperlink" Target="https://www.opc.gov.au/drafting-resources/drafting-directions" TargetMode="External"/><Relationship Id="rId448" Type="http://schemas.openxmlformats.org/officeDocument/2006/relationships/hyperlink" Target="http://www.comlaw.gov.au/Current/C2013C00032" TargetMode="External"/><Relationship Id="rId655" Type="http://schemas.openxmlformats.org/officeDocument/2006/relationships/hyperlink" Target="https://www.legislation.gov.au/latest/C2016C00186" TargetMode="External"/><Relationship Id="rId294" Type="http://schemas.openxmlformats.org/officeDocument/2006/relationships/hyperlink" Target="https://www.legislation.gov.au/F2016L00229/latest/text" TargetMode="External"/><Relationship Id="rId308" Type="http://schemas.openxmlformats.org/officeDocument/2006/relationships/hyperlink" Target="https://www.legislation.gov.au/F2016L00229/latest/text" TargetMode="External"/><Relationship Id="rId515" Type="http://schemas.openxmlformats.org/officeDocument/2006/relationships/hyperlink" Target="http://www.comlaw.gov.au/Current/C2013C00032" TargetMode="External"/><Relationship Id="rId89" Type="http://schemas.openxmlformats.org/officeDocument/2006/relationships/hyperlink" Target="https://www.legislation.gov.au/F2015L01475/latest/text" TargetMode="External"/><Relationship Id="rId154" Type="http://schemas.openxmlformats.org/officeDocument/2006/relationships/image" Target="media/image4.png"/><Relationship Id="rId361" Type="http://schemas.openxmlformats.org/officeDocument/2006/relationships/hyperlink" Target="mailto:lodge@legislation.gov.au" TargetMode="External"/><Relationship Id="rId599" Type="http://schemas.openxmlformats.org/officeDocument/2006/relationships/header" Target="header12.xml"/><Relationship Id="rId459" Type="http://schemas.openxmlformats.org/officeDocument/2006/relationships/hyperlink" Target="https://www.legislation.gov.au/C2004A01224/latest/text" TargetMode="External"/><Relationship Id="rId666" Type="http://schemas.openxmlformats.org/officeDocument/2006/relationships/hyperlink" Target="https://www.legislation.gov.au/latest/C2016C00186" TargetMode="External"/><Relationship Id="rId16" Type="http://schemas.openxmlformats.org/officeDocument/2006/relationships/hyperlink" Target="mailto:lodge@legislation.gov.au" TargetMode="External"/><Relationship Id="rId221" Type="http://schemas.openxmlformats.org/officeDocument/2006/relationships/hyperlink" Target="https://www.opc.gov.au/drafting-resources/drafting-directions" TargetMode="External"/><Relationship Id="rId319" Type="http://schemas.openxmlformats.org/officeDocument/2006/relationships/hyperlink" Target="https://www.legislation.gov.au/latest/F2016L00229" TargetMode="External"/><Relationship Id="rId526" Type="http://schemas.openxmlformats.org/officeDocument/2006/relationships/hyperlink" Target="http://www.comlaw.gov.au/Current/C2013C00032" TargetMode="External"/><Relationship Id="rId165" Type="http://schemas.openxmlformats.org/officeDocument/2006/relationships/hyperlink" Target="https://www.legislation.gov.au/C2004A01224/" TargetMode="External"/><Relationship Id="rId372" Type="http://schemas.openxmlformats.org/officeDocument/2006/relationships/hyperlink" Target="https://www.legislation.gov.au/C2004A01224/" TargetMode="External"/><Relationship Id="rId677" Type="http://schemas.openxmlformats.org/officeDocument/2006/relationships/hyperlink" Target="https://www.legislation.gov.au/C2004A01224/" TargetMode="External"/><Relationship Id="rId232" Type="http://schemas.openxmlformats.org/officeDocument/2006/relationships/hyperlink" Target="https://lodge.legislation.gov.au" TargetMode="External"/><Relationship Id="rId27" Type="http://schemas.openxmlformats.org/officeDocument/2006/relationships/hyperlink" Target="https://www.legislation.gov.au/C2004A01224/" TargetMode="External"/><Relationship Id="rId537" Type="http://schemas.openxmlformats.org/officeDocument/2006/relationships/hyperlink" Target="https://www.legislation.gov.au/C2004A01224/latest/text" TargetMode="External"/><Relationship Id="rId80" Type="http://schemas.openxmlformats.org/officeDocument/2006/relationships/hyperlink" Target="https://www.legislation.gov.au/latest/F2015L01475" TargetMode="External"/><Relationship Id="rId176" Type="http://schemas.openxmlformats.org/officeDocument/2006/relationships/hyperlink" Target="https://www.legislation.gov.au/C1901A00002/latest/text" TargetMode="External"/><Relationship Id="rId383" Type="http://schemas.openxmlformats.org/officeDocument/2006/relationships/hyperlink" Target="https://www.legislation.gov.au/F2016L00229/latest/text" TargetMode="External"/><Relationship Id="rId590" Type="http://schemas.openxmlformats.org/officeDocument/2006/relationships/hyperlink" Target="http://www.comlaw.gov.au/Current/C2013C00032" TargetMode="External"/><Relationship Id="rId604" Type="http://schemas.openxmlformats.org/officeDocument/2006/relationships/hyperlink" Target="http://www.comlaw.gov.au/Current/C2013C00032" TargetMode="External"/><Relationship Id="rId243" Type="http://schemas.openxmlformats.org/officeDocument/2006/relationships/hyperlink" Target="https://www.legislation.gov.au/C2004A01224/" TargetMode="External"/><Relationship Id="rId450" Type="http://schemas.openxmlformats.org/officeDocument/2006/relationships/hyperlink" Target="https://www.legislation.gov.au/latest/C2016C00186" TargetMode="External"/><Relationship Id="rId688" Type="http://schemas.openxmlformats.org/officeDocument/2006/relationships/hyperlink" Target="https://www.opc.gov.au/drafting-resources/client-advisers" TargetMode="External"/><Relationship Id="rId38" Type="http://schemas.openxmlformats.org/officeDocument/2006/relationships/hyperlink" Target="https://www.legislation.gov.au/C2004A01224/" TargetMode="External"/><Relationship Id="rId103" Type="http://schemas.openxmlformats.org/officeDocument/2006/relationships/hyperlink" Target="https://www.legislation.gov.au/F2015L01475/latest/text" TargetMode="External"/><Relationship Id="rId310" Type="http://schemas.openxmlformats.org/officeDocument/2006/relationships/image" Target="media/image6.png"/><Relationship Id="rId548" Type="http://schemas.openxmlformats.org/officeDocument/2006/relationships/hyperlink" Target="https://www.legislation.gov.au/C2004A01224/latest/text" TargetMode="External"/><Relationship Id="rId91" Type="http://schemas.openxmlformats.org/officeDocument/2006/relationships/hyperlink" Target="https://www.legislation.gov.au/F2015L01475/latest/text" TargetMode="External"/><Relationship Id="rId187" Type="http://schemas.openxmlformats.org/officeDocument/2006/relationships/hyperlink" Target="https://www.legislation.gov.au/C2004A01224/" TargetMode="External"/><Relationship Id="rId394" Type="http://schemas.openxmlformats.org/officeDocument/2006/relationships/hyperlink" Target="https://www.legislation.gov.au/C2004A01224/" TargetMode="External"/><Relationship Id="rId408" Type="http://schemas.openxmlformats.org/officeDocument/2006/relationships/hyperlink" Target="https://www.legislation.gov.au/C2004A01224/" TargetMode="External"/><Relationship Id="rId615" Type="http://schemas.openxmlformats.org/officeDocument/2006/relationships/hyperlink" Target="https://www.legislation.gov.au/F2015L01475/latest/text" TargetMode="External"/><Relationship Id="rId254" Type="http://schemas.openxmlformats.org/officeDocument/2006/relationships/hyperlink" Target="https://www.legislation.gov.au/C2004A01224/" TargetMode="External"/><Relationship Id="rId699" Type="http://schemas.openxmlformats.org/officeDocument/2006/relationships/hyperlink" Target="mailto:lodge@legislation.gov.au" TargetMode="External"/><Relationship Id="rId49" Type="http://schemas.openxmlformats.org/officeDocument/2006/relationships/hyperlink" Target="https://www.legislation.gov.au/C2004A01224/" TargetMode="External"/><Relationship Id="rId114" Type="http://schemas.openxmlformats.org/officeDocument/2006/relationships/hyperlink" Target="https://www.legislation.gov.au/F2015L01475/latest/text" TargetMode="External"/><Relationship Id="rId461" Type="http://schemas.openxmlformats.org/officeDocument/2006/relationships/hyperlink" Target="http://www.comlaw.gov.au/Current/C2013C00032" TargetMode="External"/><Relationship Id="rId559" Type="http://schemas.openxmlformats.org/officeDocument/2006/relationships/hyperlink" Target="http://www.comlaw.gov.au/Current/C2013C00032" TargetMode="External"/><Relationship Id="rId198" Type="http://schemas.openxmlformats.org/officeDocument/2006/relationships/hyperlink" Target="https://www.legislation.gov.au/C2004A01224/" TargetMode="External"/><Relationship Id="rId321" Type="http://schemas.openxmlformats.org/officeDocument/2006/relationships/hyperlink" Target="https://www.legislation.gov.au/C2004A01224/" TargetMode="External"/><Relationship Id="rId419" Type="http://schemas.openxmlformats.org/officeDocument/2006/relationships/hyperlink" Target="https://www.legislation.gov.au/C2004A01224/latest/text" TargetMode="External"/><Relationship Id="rId626" Type="http://schemas.openxmlformats.org/officeDocument/2006/relationships/hyperlink" Target="https://www.legislation.gov.au/C2004A01224/latest/text" TargetMode="External"/><Relationship Id="rId265" Type="http://schemas.openxmlformats.org/officeDocument/2006/relationships/hyperlink" Target="https://www.legislation.gov.au/C2004A01224/" TargetMode="External"/><Relationship Id="rId472" Type="http://schemas.openxmlformats.org/officeDocument/2006/relationships/hyperlink" Target="https://www.legislation.gov.au/C2004A01224/latest/text" TargetMode="External"/><Relationship Id="rId125" Type="http://schemas.openxmlformats.org/officeDocument/2006/relationships/hyperlink" Target="https://www.legislation.gov.au/C2004A01224/" TargetMode="External"/><Relationship Id="rId332" Type="http://schemas.openxmlformats.org/officeDocument/2006/relationships/hyperlink" Target="mailto:compilations@opc.gov.au" TargetMode="External"/><Relationship Id="rId637" Type="http://schemas.openxmlformats.org/officeDocument/2006/relationships/hyperlink" Target="https://www.legislation.gov.au/C2004A01224/latest/text" TargetMode="External"/><Relationship Id="rId276" Type="http://schemas.openxmlformats.org/officeDocument/2006/relationships/hyperlink" Target="mailto:lodge@legislation.gov.au" TargetMode="External"/><Relationship Id="rId483" Type="http://schemas.openxmlformats.org/officeDocument/2006/relationships/hyperlink" Target="https://www.legislation.gov.au/latest/C2016C00186" TargetMode="External"/><Relationship Id="rId690" Type="http://schemas.openxmlformats.org/officeDocument/2006/relationships/hyperlink" Target="https://www.opc.gov.au/drafting-resources/drafting-general" TargetMode="External"/><Relationship Id="rId704" Type="http://schemas.openxmlformats.org/officeDocument/2006/relationships/hyperlink" Target="mailto:table.legislation.sen@aph.gov.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dta.gov.au/help-and-advice/guides-and-tools/commonwealth-library-deposit-and-free-issue-schemes" TargetMode="External"/><Relationship Id="rId18" Type="http://schemas.openxmlformats.org/officeDocument/2006/relationships/hyperlink" Target="https://www.ag.gov.au/legal-system/administrative-law/legislation-act-2003" TargetMode="External"/><Relationship Id="rId26" Type="http://schemas.openxmlformats.org/officeDocument/2006/relationships/hyperlink" Target="https://www.pmc.gov.au/publications/guidance-caretaker-conventions" TargetMode="External"/><Relationship Id="rId39" Type="http://schemas.openxmlformats.org/officeDocument/2006/relationships/hyperlink" Target="https://www.aph.gov.au/Parliamentary_Business/Bills_Legislation/Disallowance_Alert" TargetMode="External"/><Relationship Id="rId21" Type="http://schemas.openxmlformats.org/officeDocument/2006/relationships/hyperlink" Target="https://oia.pmc.gov.au/resources/forms-and-templates/australian-government-impact-analysis-preliminary-assessment-form" TargetMode="External"/><Relationship Id="rId34" Type="http://schemas.openxmlformats.org/officeDocument/2006/relationships/hyperlink" Target="https://www.aph.gov.au/Parliamentary_Business/Committees/Joint/Human_Rights" TargetMode="External"/><Relationship Id="rId42" Type="http://schemas.openxmlformats.org/officeDocument/2006/relationships/hyperlink" Target="https://www.ag.gov.au/legal-system/administrative-law/legislation-act-2003" TargetMode="External"/><Relationship Id="rId47" Type="http://schemas.openxmlformats.org/officeDocument/2006/relationships/hyperlink" Target="https://www.ag.gov.au/legal-system/administrative-law/legislation-act-2003" TargetMode="External"/><Relationship Id="rId50" Type="http://schemas.openxmlformats.org/officeDocument/2006/relationships/hyperlink" Target="https://www.ag.gov.au/LegalSystem/AdministrativeLaw/Pages/LegislationAct2003.aspx" TargetMode="External"/><Relationship Id="rId55" Type="http://schemas.openxmlformats.org/officeDocument/2006/relationships/hyperlink" Target="https://www.pmc.gov.au/resources/tabling-guidelines" TargetMode="External"/><Relationship Id="rId7" Type="http://schemas.openxmlformats.org/officeDocument/2006/relationships/hyperlink" Target="https://parlinfo.aph.gov.au/" TargetMode="External"/><Relationship Id="rId2" Type="http://schemas.openxmlformats.org/officeDocument/2006/relationships/hyperlink" Target="https://www.ag.gov.au/legal-system/publications/report-35-rule-making-commonwealth-agencies-1992" TargetMode="External"/><Relationship Id="rId16" Type="http://schemas.openxmlformats.org/officeDocument/2006/relationships/hyperlink" Target="http://www.comlaw.gov.au/Current/C2014C00044" TargetMode="External"/><Relationship Id="rId29" Type="http://schemas.openxmlformats.org/officeDocument/2006/relationships/hyperlink" Target="https://oia.pmc.gov.au/resources/guidance-impact-analysis/australian-government-guide-policy-impact-analysis" TargetMode="External"/><Relationship Id="rId11" Type="http://schemas.openxmlformats.org/officeDocument/2006/relationships/hyperlink" Target="https://www.opc.gov.au/sites/default/files/2024-04/Fact%20Sheet%20-%20Amending%20Instruments_0.pdf" TargetMode="External"/><Relationship Id="rId24" Type="http://schemas.openxmlformats.org/officeDocument/2006/relationships/hyperlink" Target="https://oia.pmc.gov.au/resources/guidance-impact-analysis/australian-government-guide-policy-impact-analysis" TargetMode="External"/><Relationship Id="rId32" Type="http://schemas.openxmlformats.org/officeDocument/2006/relationships/hyperlink" Target="https://www.aph.gov.au/Parliamentary_Business/Committees/Senate/Regulations_and_Ordinances" TargetMode="External"/><Relationship Id="rId37" Type="http://schemas.openxmlformats.org/officeDocument/2006/relationships/hyperlink" Target="https://www.aph.gov.au/Parliamentary_Business/Chamber_documents/HoR/Votes_and_Proceedings" TargetMode="External"/><Relationship Id="rId40" Type="http://schemas.openxmlformats.org/officeDocument/2006/relationships/hyperlink" Target="http://www.austlii.edu.au/au/cases/cth/HCA/1943/21.html" TargetMode="External"/><Relationship Id="rId45" Type="http://schemas.openxmlformats.org/officeDocument/2006/relationships/hyperlink" Target="https://www.pmc.gov.au/resources/tabling-guidelines" TargetMode="External"/><Relationship Id="rId53" Type="http://schemas.openxmlformats.org/officeDocument/2006/relationships/hyperlink" Target="https://www.ag.gov.au/legal-system/administrative-law/legislation-act-2003" TargetMode="External"/><Relationship Id="rId58" Type="http://schemas.openxmlformats.org/officeDocument/2006/relationships/hyperlink" Target="https://www.pmc.gov.au/resources/legislation-handbook" TargetMode="External"/><Relationship Id="rId5" Type="http://schemas.openxmlformats.org/officeDocument/2006/relationships/hyperlink" Target="https://www.opc.gov.au/sites/default/files/2023-09/Fact%20Sheet%20-%20Legislative%20Instruments.pdf" TargetMode="External"/><Relationship Id="rId19" Type="http://schemas.openxmlformats.org/officeDocument/2006/relationships/hyperlink" Target="https://www.pmc.gov.au/resources/federal-executive-council-handbook-2021" TargetMode="External"/><Relationship Id="rId4" Type="http://schemas.openxmlformats.org/officeDocument/2006/relationships/hyperlink" Target="https://www.ag.gov.au/legal-system/publications/report-operation-sunsetting-provisions-legislation-act-2003" TargetMode="External"/><Relationship Id="rId9" Type="http://schemas.openxmlformats.org/officeDocument/2006/relationships/hyperlink" Target="https://www.opc.gov.au/sites/default/files/2024-04/Essentials%20of%20a%20legislative%20instrument.pdf" TargetMode="External"/><Relationship Id="rId14" Type="http://schemas.openxmlformats.org/officeDocument/2006/relationships/hyperlink" Target="https://www.ag.gov.au/legal-system/publications/guide-framing-commonwealth-offences-infringement-notices-and-enforcement-powers" TargetMode="External"/><Relationship Id="rId22" Type="http://schemas.openxmlformats.org/officeDocument/2006/relationships/hyperlink" Target="https://oia.pmc.gov.au/resources/guidance-impact-analysis/australian-government-guide-policy-impact-analysis" TargetMode="External"/><Relationship Id="rId27" Type="http://schemas.openxmlformats.org/officeDocument/2006/relationships/hyperlink" Target="https://www.pmc.gov.au/resources/federal-executive-council-handbook-2021" TargetMode="External"/><Relationship Id="rId30" Type="http://schemas.openxmlformats.org/officeDocument/2006/relationships/hyperlink" Target="https://www.ag.gov.au/legal-system/publications/what-decisions-should-be-subject-merit-review-1999" TargetMode="External"/><Relationship Id="rId35" Type="http://schemas.openxmlformats.org/officeDocument/2006/relationships/hyperlink" Target="https://www.ag.gov.au/legal-system/administrative-law/legislation-act-2003" TargetMode="External"/><Relationship Id="rId43" Type="http://schemas.openxmlformats.org/officeDocument/2006/relationships/hyperlink" Target="https://www.ag.gov.au/legal-system/administrative-law/legislation-act-2003" TargetMode="External"/><Relationship Id="rId48" Type="http://schemas.openxmlformats.org/officeDocument/2006/relationships/hyperlink" Target="https://www.ag.gov.au/LegalSystem/AdministrativeLaw/Pages/LegislationAct2003.aspx" TargetMode="External"/><Relationship Id="rId56" Type="http://schemas.openxmlformats.org/officeDocument/2006/relationships/hyperlink" Target="https://www.opc.gov.au/sites/default/files/2024-01/Instrument%20Drafting%20Guidance%20Note%20No.%201.4%20-%20Timeframes%20for%20the%20development%20of%20instruments_0.pdf" TargetMode="External"/><Relationship Id="rId8" Type="http://schemas.openxmlformats.org/officeDocument/2006/relationships/hyperlink" Target="https://www.pmc.gov.au/resources/legislation-handbook" TargetMode="External"/><Relationship Id="rId51" Type="http://schemas.openxmlformats.org/officeDocument/2006/relationships/hyperlink" Target="https://www.ag.gov.au/legal-system/administrative-law/legislation-act-2003" TargetMode="External"/><Relationship Id="rId3" Type="http://schemas.openxmlformats.org/officeDocument/2006/relationships/hyperlink" Target="https://www.ag.gov.au/legal-system/administrative-law/legislation-act-2003" TargetMode="External"/><Relationship Id="rId12" Type="http://schemas.openxmlformats.org/officeDocument/2006/relationships/hyperlink" Target="https://www.ag.gov.au/legal-system/administrative-law/legislation-act-2003" TargetMode="External"/><Relationship Id="rId17" Type="http://schemas.openxmlformats.org/officeDocument/2006/relationships/hyperlink" Target="https://www.ag.gov.au/LegalSystem/AdministrativeLaw/Pages/LegislationAct2003.aspx" TargetMode="External"/><Relationship Id="rId25" Type="http://schemas.openxmlformats.org/officeDocument/2006/relationships/hyperlink" Target="https://oia.pmc.gov.au/" TargetMode="External"/><Relationship Id="rId33" Type="http://schemas.openxmlformats.org/officeDocument/2006/relationships/hyperlink" Target="https://www.ag.gov.au/rights-and-protections/human-rights-and-anti-discrimination/human-rights-scrutiny" TargetMode="External"/><Relationship Id="rId38" Type="http://schemas.openxmlformats.org/officeDocument/2006/relationships/hyperlink" Target="https://www.pmc.gov.au/resources/tabling-guidelines" TargetMode="External"/><Relationship Id="rId46" Type="http://schemas.openxmlformats.org/officeDocument/2006/relationships/hyperlink" Target="https://www.legislation.gov.au/legislative-instruments/sunsetting" TargetMode="External"/><Relationship Id="rId20" Type="http://schemas.openxmlformats.org/officeDocument/2006/relationships/hyperlink" Target="https://www.aph.gov.au/Parliamentary_Business/Committees/Senate/Regulations_and_Ordinances" TargetMode="External"/><Relationship Id="rId41" Type="http://schemas.openxmlformats.org/officeDocument/2006/relationships/hyperlink" Target="http://www.judgments.fedcourt.gov.au/judgments/Judgments/fca/single/2015/2015fca0834" TargetMode="External"/><Relationship Id="rId54" Type="http://schemas.openxmlformats.org/officeDocument/2006/relationships/hyperlink" Target="https://www.pmc.gov.au/sites/default/files/publications/pmc-tabling-guidelines.pdf" TargetMode="External"/><Relationship Id="rId1" Type="http://schemas.openxmlformats.org/officeDocument/2006/relationships/hyperlink" Target="https://www.pmc.gov.au/resources/legislation-handbook" TargetMode="External"/><Relationship Id="rId6" Type="http://schemas.openxmlformats.org/officeDocument/2006/relationships/hyperlink" Target="https://www.aph.gov.au/Parliamentary_Business/Bills_Legislation" TargetMode="External"/><Relationship Id="rId15" Type="http://schemas.openxmlformats.org/officeDocument/2006/relationships/hyperlink" Target="https://www.protectivesecurity.gov.au/system/files/2024-11/pspf-release-2024.pdf" TargetMode="External"/><Relationship Id="rId23" Type="http://schemas.openxmlformats.org/officeDocument/2006/relationships/hyperlink" Target="https://oia.pmc.gov.au/resources/guidance-oia-procedures/sunsetting-legislative-instruments" TargetMode="External"/><Relationship Id="rId28" Type="http://schemas.openxmlformats.org/officeDocument/2006/relationships/hyperlink" Target="https://www.ag.gov.au/rights-and-protections/human-rights-and-anti-discrimination/human-rights-scrutiny" TargetMode="External"/><Relationship Id="rId36" Type="http://schemas.openxmlformats.org/officeDocument/2006/relationships/hyperlink" Target="https://www.aph.gov.au/Parliamentary_Business/Chamber_documents/Senate_chamber_documents/Journals_of_the_Senate" TargetMode="External"/><Relationship Id="rId49" Type="http://schemas.openxmlformats.org/officeDocument/2006/relationships/hyperlink" Target="https://www.ag.gov.au/legal-system/administrative-law/legislation-act-2003" TargetMode="External"/><Relationship Id="rId57" Type="http://schemas.openxmlformats.org/officeDocument/2006/relationships/hyperlink" Target="https://www.pmc.gov.au/resource-centre/government/legislation-handbook" TargetMode="External"/><Relationship Id="rId10" Type="http://schemas.openxmlformats.org/officeDocument/2006/relationships/hyperlink" Target="https://www.pmc.gov.au/resources/federal-executive-council-handbook-2021" TargetMode="External"/><Relationship Id="rId31" Type="http://schemas.openxmlformats.org/officeDocument/2006/relationships/hyperlink" Target="https://www.ag.gov.au/legal-system/publications/guide-framing-commonwealth-offences-infringement-notices-and-enforcement-powers" TargetMode="External"/><Relationship Id="rId44" Type="http://schemas.openxmlformats.org/officeDocument/2006/relationships/hyperlink" Target="https://www.legislation.gov.au/help-and-resources/understanding-legislation/sunsetting-lists" TargetMode="External"/><Relationship Id="rId52" Type="http://schemas.openxmlformats.org/officeDocument/2006/relationships/hyperlink" Target="https://www.ag.gov.au/LegalSystem/AdministrativeLaw/Pages/LegislationAct200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Memos\m_intnal.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07T04:43:43.662"/>
    </inkml:context>
    <inkml:brush xml:id="br0">
      <inkml:brushProperty name="width" value="0.05" units="cm"/>
      <inkml:brushProperty name="height" value="0.05" units="cm"/>
    </inkml:brush>
  </inkml:definitions>
  <inkml:trace contextRef="#ctx0" brushRef="#br0">15 846 3329,'0'0'3519,"0"0"-2556,0 0-712,0 0-63,-11 4-431,8-2 6196,5 18-1328,225-370-3909,-141 228-726,29-32-77,-115 155 86,0-1 0,0 1 0,0-1 0,0 1 0,0-1-1,0 1 1,0-1 0,0 1 0,0-1 0,1 1 0,-1-1 0,0 0 0,0 1-1,0-1 1,1 1 0,-1-1 0,0 0 0,1 1 0,-1-1 0,0 0 0,1 1-1,-1-1 1,0 0 0,1 1 0,-1-1 0,1 0 0,-1 0 0,1 0 0,-1 1 0,0-1-1,1 0 1,-1 0 0,1 0 0,-1 0 0,1 0 0,-1 0 0,1 0 0,-1 0-1,1 0 1,-1 0 0,1 0 0,-1 0 0,1 0 0,-1 0 0,0-1 0,1 1 0,-1 0-1,1 0 1,-1 0 0,1-1 0,-1 1 0,0 0 0,1-1 0,-1 1 0,0 0-1,1-1 1,-1 1 0,0 0 0,1-1 0,-1 1 0,0-1 0,0 1 0,1 0-1,-1-1 1,0 1 0,0-1 0,0 1 0,0-1 0,0 0 1,-1 43 40,1-39-36,-9 51 82,-2-2 0,-3 1 0,-2-2 0,-2 0 0,-5 6-86,10-22 14,-161 384-2159,166-391 144,20-51-221,2-8 2298,263-508 1959,-216 455-1009,-61 84-1017,1 0 1,-1 0 0,1 0 0,-1 0 0,1-1 0,-1 1 0,1 0 0,-1 0-1,1 0 1,-1 0 0,1 0 0,-1 0 0,0 0 0,1 1 0,-1-1 0,1 0-1,-1 0 1,1 0 0,-1 0 0,1 1 0,-1-1 0,1 0 0,-1 0 0,0 1-1,1-1 1,-1 0 0,0 1 0,1-1 0,-1 0 0,0 1 0,1-1 0,-1 1-1,0-1 1,0 0 0,1 1 0,-1-1 0,0 1 0,0-1 0,0 1 0,0-1 0,1 1-1,-1-1 1,0 1 0,0-1 0,0 1 0,0-1 0,0 1 0,0-1 0,-1 1-1,1-1 1,0 1 0,0-1 0,0 0 0,0 1 0,0-1 0,-1 1 0,1-1-1,0 1 1,0-1 0,-1 0 0,1 1 0,0-1 0,-1 1 0,1-1 0,0 0-1,-1 1 1,1-1-10,0 9 113,-44 426 1562,37-278-2083,7-156 377,0 0 0,1 0 0,-1-1 0,0 1 0,0 0 0,0-1 1,1 1-1,-1 0 0,0 0 0,1-1 0,-1 1 0,1-1 0,-1 1 0,1 0 0,-1-1 0,1 1 0,-1-1 0,1 1 0,-1-1 0,1 1 0,0-1 0,-1 0 0,1 1 0,0-1 0,-1 0 0,1 1 0,0-1 0,0 0 0,-1 0 0,1 0 0,0 0 0,0 0 1,-1 0-1,1 0 0,0 0 0,0 0 0,-1 0 0,1 0 0,0 0 0,0 0 0,-1-1 0,1 1 0,0 0 0,-1 0 0,1-1 0,0 1 0,-1-1 0,1 1 0,0-1 0,-1 1 0,1-1 0,-1 1 0,1-1 0,-1 1 0,1-1 0,-1 1 0,0-1 0,1 0 1,-1 1-1,1-2 31,16-13-51,-1-1 0,0-1 0,-1 0 0,-1-1 0,0-1 0,6-11 51,-8 11 21,165-261 1757,-98 172-244,-69 113-1325,-3 152 499,-7 297 74,9-353-1684,-8-99 773,0-1 0,0 1 0,0 0 0,0-1 0,1 0 0,-1 1-1,1-1 1,-1 0 0,1 1 0,-1-1 0,1 0 0,0 0 0,-1 0-1,1-1 1,0 1 0,0 0 0,0-1 0,0 1 0,0-1 0,0 1 0,-1-1-1,1 0 1,0 0 0,0 0 0,0 0 0,0 0 0,0-1 0,0 1 0,0 0-1,0-1 1,0 0 0,0 1 0,-1-1 0,1 0 0,0 0 0,0 0-1,-1 0 1,1 0 0,-1 0 0,1-1 0,0 0 129,12-13-481,-2-1 0,0 0 0,-1-1 0,-1 0 0,0 0 0,-1-1 0,-1-1 0,-1 1 0,3-14 481,-5 18-288,65-204-4416,-48 128-65</inkml:trace>
  <inkml:trace contextRef="#ctx0" brushRef="#br0" timeOffset="1">1495 0 10722,'-9'19'1543,"-58"134"102,-21 47 66,-8-3 1,-104 155-1712,145-278-335,54-72 320,1-3-25,-1 0 1,1 1-1,0-1 0,0 0 1,-1 1-1,1-1 0,0 0 1,-1 1-1,1-1 0,-1 1 1,1-1-1,-1 1 0,1-1 1,-1 1-1,0-1 1,1 1-1,-1-1 0,1 1 1,-1 0-1,0-1 0,1 1 1,-1 0-1,0 0 0,0-1 1,1 1-1,-1 0 0,0 0 1,0 0-1,1 0 0,-1 0 1,0 0-1,1 0 1,-1 0-1,0 0 0,0 0 1,1 1-1,-1-1 0,0 0 1,1 0-1,-1 1 0,0-1 1,1 0-1,-1 1 0,0-1 1,1 1-1,-1-1 0,1 1 1,-1-1-1,1 1 1,-1 0 39,8-545-385,-5 507 1209,6 55-138,-4 25-655,2-2 0,2 1 0,2-1 0,2 0 0,1-1 0,3-1-1,0 0 1,3-1 0,1-1 0,2 0 0,1-2 0,2-1 0,1-1 0,2-1 0,1-1 0,2-2 0,20 15-31,-24-26-7,0-1 1,2-2 0,-1-1 0,2-1-1,0-1 1,1-2 0,-1-1-1,2-2 1,-1 0 0,1-3 0,0 0-1,0-2 1,27-2 6,-48-1-52,1 0 0,-1-1 0,0-1 0,0 1 0,0-2 0,0 0 0,0 0 0,-1-1 0,1 0 0,-1-1 0,-1 0 0,1 0 0,-1-1 0,1-1 52,210-191-3427,-124 95-962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44F6-3D23-4D92-BD76-51DFC55A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m_intnal</Template>
  <TotalTime>0</TotalTime>
  <Pages>102</Pages>
  <Words>32493</Words>
  <Characters>171927</Characters>
  <Application>Microsoft Office Word</Application>
  <DocSecurity>0</DocSecurity>
  <PresentationFormat/>
  <Lines>3173</Lines>
  <Paragraphs>1451</Paragraphs>
  <ScaleCrop>false</ScaleCrop>
  <HeadingPairs>
    <vt:vector size="2" baseType="variant">
      <vt:variant>
        <vt:lpstr>Title</vt:lpstr>
      </vt:variant>
      <vt:variant>
        <vt:i4>1</vt:i4>
      </vt:variant>
    </vt:vector>
  </HeadingPairs>
  <TitlesOfParts>
    <vt:vector size="1" baseType="lpstr">
      <vt:lpstr>Instruments Handbook</vt:lpstr>
    </vt:vector>
  </TitlesOfParts>
  <Manager/>
  <Company/>
  <LinksUpToDate>false</LinksUpToDate>
  <CharactersWithSpaces>202903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2024-12-17T00:11:00Z</dcterms:created>
  <dcterms:modified xsi:type="dcterms:W3CDTF">2024-12-17T00:11:00Z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DLM">
    <vt:lpwstr> </vt:lpwstr>
  </property>
  <property fmtid="{D5CDD505-2E9C-101B-9397-08002B2CF9AE}" pid="4" name="DoNotAsk">
    <vt:lpwstr>0</vt:lpwstr>
  </property>
  <property fmtid="{D5CDD505-2E9C-101B-9397-08002B2CF9AE}" pid="5" name="ChangedTitle">
    <vt:lpwstr/>
  </property>
  <property fmtid="{D5CDD505-2E9C-101B-9397-08002B2CF9AE}" pid="6" name="Type">
    <vt:lpwstr>M</vt:lpwstr>
  </property>
</Properties>
</file>