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B33" w:rsidRPr="00B04B33" w:rsidRDefault="00B04B33" w:rsidP="00B04B33">
      <w:pPr>
        <w:keepNext/>
        <w:spacing w:before="240" w:after="60" w:line="240" w:lineRule="auto"/>
        <w:outlineLvl w:val="0"/>
        <w:rPr>
          <w:rFonts w:ascii="Arial" w:eastAsia="Times New Roman" w:hAnsi="Arial" w:cs="Times New Roman"/>
          <w:b/>
          <w:kern w:val="28"/>
          <w:sz w:val="36"/>
          <w:lang w:eastAsia="en-AU"/>
        </w:rPr>
      </w:pPr>
      <w:bookmarkStart w:id="0" w:name="_Hlk110593326"/>
      <w:r w:rsidRPr="00B04B33">
        <w:rPr>
          <w:rFonts w:ascii="Arial" w:eastAsia="Times New Roman" w:hAnsi="Arial" w:cs="Times New Roman"/>
          <w:b/>
          <w:noProof/>
          <w:kern w:val="28"/>
          <w:sz w:val="20"/>
          <w:lang w:eastAsia="en-AU"/>
        </w:rPr>
        <w:drawing>
          <wp:inline distT="0" distB="0" distL="0" distR="0" wp14:anchorId="23024BFB" wp14:editId="2A299D13">
            <wp:extent cx="3393152" cy="1009498"/>
            <wp:effectExtent l="0" t="0" r="0" b="635"/>
            <wp:docPr id="3" name="Picture 3" descr="OPC/Commonwealth logo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77" cy="102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B33" w:rsidRPr="00B04B33" w:rsidRDefault="00B04B33" w:rsidP="00037921">
      <w:pPr>
        <w:keepNext/>
        <w:spacing w:before="240" w:after="60" w:line="240" w:lineRule="auto"/>
        <w:outlineLvl w:val="0"/>
        <w:rPr>
          <w:rFonts w:ascii="Arial" w:eastAsia="Times New Roman" w:hAnsi="Arial" w:cs="Times New Roman"/>
          <w:b/>
          <w:kern w:val="28"/>
          <w:sz w:val="36"/>
          <w:lang w:eastAsia="en-AU"/>
        </w:rPr>
      </w:pPr>
      <w:r w:rsidRPr="00B04B33">
        <w:rPr>
          <w:rFonts w:ascii="Arial" w:eastAsia="Times New Roman" w:hAnsi="Arial" w:cs="Times New Roman"/>
          <w:b/>
          <w:kern w:val="28"/>
          <w:sz w:val="36"/>
          <w:lang w:eastAsia="en-AU"/>
        </w:rPr>
        <w:t>Instrument Drafting Guidance Note No. 1.</w:t>
      </w:r>
      <w:r>
        <w:rPr>
          <w:rFonts w:ascii="Arial" w:eastAsia="Times New Roman" w:hAnsi="Arial" w:cs="Times New Roman"/>
          <w:b/>
          <w:kern w:val="28"/>
          <w:sz w:val="36"/>
          <w:lang w:eastAsia="en-AU"/>
        </w:rPr>
        <w:t>4</w:t>
      </w:r>
    </w:p>
    <w:p w:rsidR="00B04B33" w:rsidRPr="00B04B33" w:rsidRDefault="007C2EDD" w:rsidP="00037921">
      <w:pPr>
        <w:keepNext/>
        <w:spacing w:before="240" w:after="60" w:line="240" w:lineRule="auto"/>
        <w:outlineLvl w:val="0"/>
        <w:rPr>
          <w:rFonts w:ascii="Arial" w:eastAsia="Times New Roman" w:hAnsi="Arial" w:cs="Times New Roman"/>
          <w:b/>
          <w:kern w:val="28"/>
          <w:sz w:val="36"/>
          <w:lang w:eastAsia="en-AU"/>
        </w:rPr>
      </w:pPr>
      <w:r w:rsidRPr="007C2EDD">
        <w:rPr>
          <w:rFonts w:ascii="Arial" w:eastAsia="Times New Roman" w:hAnsi="Arial" w:cs="Times New Roman"/>
          <w:b/>
          <w:kern w:val="28"/>
          <w:sz w:val="36"/>
          <w:lang w:eastAsia="en-AU"/>
        </w:rPr>
        <w:t>Timeframes for the development of instruments</w:t>
      </w:r>
    </w:p>
    <w:p w:rsidR="00B04B33" w:rsidRPr="00B04B33" w:rsidRDefault="00B04B33" w:rsidP="00B04B33">
      <w:pPr>
        <w:spacing w:before="240" w:line="240" w:lineRule="auto"/>
        <w:rPr>
          <w:rFonts w:eastAsia="Times New Roman" w:cs="Times New Roman"/>
          <w:b/>
          <w:sz w:val="24"/>
          <w:lang w:eastAsia="en-AU"/>
        </w:rPr>
      </w:pPr>
    </w:p>
    <w:p w:rsidR="00B04B33" w:rsidRPr="00B04B33" w:rsidRDefault="00B04B33" w:rsidP="00037921">
      <w:pPr>
        <w:spacing w:before="240" w:line="240" w:lineRule="auto"/>
        <w:rPr>
          <w:rFonts w:eastAsia="Times New Roman" w:cs="Times New Roman"/>
          <w:b/>
          <w:sz w:val="24"/>
          <w:lang w:eastAsia="en-AU"/>
        </w:rPr>
      </w:pPr>
      <w:r w:rsidRPr="00B04B33">
        <w:rPr>
          <w:rFonts w:eastAsia="Times New Roman" w:cs="Times New Roman"/>
          <w:b/>
          <w:sz w:val="24"/>
          <w:lang w:eastAsia="en-AU"/>
        </w:rPr>
        <w:t>Document release 1.0</w:t>
      </w:r>
    </w:p>
    <w:p w:rsidR="00B04B33" w:rsidRPr="00B04B33" w:rsidRDefault="00B04B33" w:rsidP="00B04B33">
      <w:pPr>
        <w:spacing w:line="240" w:lineRule="auto"/>
        <w:rPr>
          <w:rFonts w:eastAsia="Times New Roman" w:cs="Times New Roman"/>
          <w:b/>
          <w:sz w:val="24"/>
          <w:lang w:eastAsia="en-AU"/>
        </w:rPr>
      </w:pPr>
      <w:r w:rsidRPr="00B04B33">
        <w:rPr>
          <w:rFonts w:eastAsia="Times New Roman" w:cs="Times New Roman"/>
          <w:b/>
          <w:sz w:val="24"/>
          <w:lang w:eastAsia="en-AU"/>
        </w:rPr>
        <w:t>Issued</w:t>
      </w:r>
      <w:r w:rsidR="007C2EDD">
        <w:rPr>
          <w:rFonts w:eastAsia="Times New Roman" w:cs="Times New Roman"/>
          <w:b/>
          <w:sz w:val="24"/>
          <w:lang w:eastAsia="en-AU"/>
        </w:rPr>
        <w:t xml:space="preserve"> January</w:t>
      </w:r>
      <w:r w:rsidRPr="00B04B33">
        <w:rPr>
          <w:rFonts w:eastAsia="Times New Roman" w:cs="Times New Roman"/>
          <w:b/>
          <w:sz w:val="24"/>
          <w:lang w:eastAsia="en-AU"/>
        </w:rPr>
        <w:t xml:space="preserve"> 202</w:t>
      </w:r>
      <w:r w:rsidR="007C2EDD">
        <w:rPr>
          <w:rFonts w:eastAsia="Times New Roman" w:cs="Times New Roman"/>
          <w:b/>
          <w:sz w:val="24"/>
          <w:lang w:eastAsia="en-AU"/>
        </w:rPr>
        <w:t>4</w:t>
      </w:r>
    </w:p>
    <w:bookmarkEnd w:id="0"/>
    <w:p w:rsidR="00B04B33" w:rsidRPr="00037921" w:rsidRDefault="00037921" w:rsidP="00037921">
      <w:pPr>
        <w:pStyle w:val="Head2"/>
      </w:pPr>
      <w:r w:rsidRPr="004064F3">
        <w:t>Purpose of this document</w:t>
      </w:r>
    </w:p>
    <w:p w:rsidR="005A53BC" w:rsidRPr="005A53BC" w:rsidRDefault="005A53BC" w:rsidP="005A53BC">
      <w:pPr>
        <w:numPr>
          <w:ilvl w:val="0"/>
          <w:numId w:val="13"/>
        </w:numPr>
        <w:spacing w:before="240" w:line="240" w:lineRule="auto"/>
        <w:rPr>
          <w:rFonts w:eastAsia="Times New Roman" w:cs="Times New Roman"/>
          <w:sz w:val="24"/>
          <w:lang w:eastAsia="en-AU"/>
        </w:rPr>
      </w:pPr>
      <w:r w:rsidRPr="005A53BC">
        <w:rPr>
          <w:rFonts w:eastAsia="Times New Roman" w:cs="Times New Roman"/>
          <w:sz w:val="24"/>
          <w:lang w:eastAsia="en-AU"/>
        </w:rPr>
        <w:t>The purpose of this document is t</w:t>
      </w:r>
      <w:bookmarkStart w:id="1" w:name="_GoBack"/>
      <w:r w:rsidRPr="005A53BC">
        <w:rPr>
          <w:rFonts w:eastAsia="Times New Roman" w:cs="Times New Roman"/>
          <w:sz w:val="24"/>
          <w:lang w:eastAsia="en-AU"/>
        </w:rPr>
        <w:t xml:space="preserve">o assist agencies to plan for the development of instruments. </w:t>
      </w:r>
    </w:p>
    <w:bookmarkEnd w:id="1"/>
    <w:p w:rsidR="005A53BC" w:rsidRPr="005A53BC" w:rsidRDefault="005A53BC" w:rsidP="005A53BC">
      <w:pPr>
        <w:numPr>
          <w:ilvl w:val="0"/>
          <w:numId w:val="13"/>
        </w:numPr>
        <w:spacing w:before="240" w:line="240" w:lineRule="auto"/>
        <w:rPr>
          <w:rFonts w:eastAsia="Times New Roman" w:cs="Times New Roman"/>
          <w:sz w:val="24"/>
          <w:lang w:eastAsia="en-AU"/>
        </w:rPr>
      </w:pPr>
      <w:r w:rsidRPr="005A53BC">
        <w:rPr>
          <w:rFonts w:eastAsia="Times New Roman" w:cs="Times New Roman"/>
          <w:sz w:val="24"/>
          <w:lang w:eastAsia="en-AU"/>
        </w:rPr>
        <w:t>Attachment A sets out OPC’s advice about the estimated timeframes for the development of instruments based on their characteristics. It also sets out the factors that will result in a longer timeframe being needed and the risks of developing instruments within a compressed timeframe.</w:t>
      </w:r>
    </w:p>
    <w:p w:rsidR="005A53BC" w:rsidRPr="005A53BC" w:rsidRDefault="005A53BC" w:rsidP="005A53BC">
      <w:pPr>
        <w:numPr>
          <w:ilvl w:val="0"/>
          <w:numId w:val="13"/>
        </w:numPr>
        <w:spacing w:before="240" w:line="240" w:lineRule="auto"/>
        <w:rPr>
          <w:rFonts w:eastAsia="Times New Roman" w:cs="Times New Roman"/>
          <w:sz w:val="24"/>
          <w:lang w:eastAsia="en-AU"/>
        </w:rPr>
      </w:pPr>
      <w:r w:rsidRPr="005A53BC">
        <w:rPr>
          <w:rFonts w:eastAsia="Times New Roman" w:cs="Times New Roman"/>
          <w:sz w:val="24"/>
          <w:lang w:eastAsia="en-AU"/>
        </w:rPr>
        <w:t>Agencies should contact the OPC instrument client adviser on (02) 6120 1390 if they would like to discuss the timeframe for the development of a particular instrument.</w:t>
      </w:r>
    </w:p>
    <w:p w:rsidR="005A53BC" w:rsidRDefault="005A53BC" w:rsidP="00174846">
      <w:pPr>
        <w:pStyle w:val="Head1"/>
      </w:pPr>
    </w:p>
    <w:p w:rsidR="005A53BC" w:rsidRDefault="005A53BC">
      <w:pPr>
        <w:spacing w:line="240" w:lineRule="auto"/>
        <w:rPr>
          <w:rFonts w:ascii="Arial" w:eastAsia="Times New Roman" w:hAnsi="Arial" w:cs="Times New Roman"/>
          <w:b/>
          <w:kern w:val="28"/>
          <w:sz w:val="36"/>
          <w:lang w:eastAsia="en-AU"/>
        </w:rPr>
      </w:pPr>
      <w:r>
        <w:br w:type="page"/>
      </w:r>
    </w:p>
    <w:p w:rsidR="00C850C0" w:rsidRDefault="00C850C0" w:rsidP="0031148E">
      <w:pPr>
        <w:pStyle w:val="Head2"/>
        <w:pageBreakBefore/>
        <w:spacing w:before="0" w:after="0"/>
        <w:jc w:val="right"/>
        <w:rPr>
          <w:sz w:val="24"/>
          <w:szCs w:val="24"/>
        </w:rPr>
        <w:sectPr w:rsidR="00C850C0" w:rsidSect="003D087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425" w:right="1440" w:bottom="1440" w:left="1440" w:header="720" w:footer="720" w:gutter="0"/>
          <w:cols w:space="708"/>
          <w:docGrid w:linePitch="360"/>
        </w:sectPr>
      </w:pPr>
    </w:p>
    <w:p w:rsidR="0031148E" w:rsidRPr="00647BB2" w:rsidRDefault="0031148E" w:rsidP="0031148E">
      <w:pPr>
        <w:pStyle w:val="Head2"/>
        <w:pageBreakBefore/>
        <w:spacing w:before="0" w:after="0"/>
        <w:jc w:val="right"/>
        <w:rPr>
          <w:sz w:val="24"/>
          <w:szCs w:val="24"/>
        </w:rPr>
      </w:pPr>
      <w:r w:rsidRPr="00647BB2">
        <w:rPr>
          <w:sz w:val="24"/>
          <w:szCs w:val="24"/>
        </w:rPr>
        <w:lastRenderedPageBreak/>
        <w:t>ATTACHMENT A</w:t>
      </w:r>
    </w:p>
    <w:p w:rsidR="0031148E" w:rsidRPr="0031148E" w:rsidRDefault="000337F7" w:rsidP="0031148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Tim</w:t>
      </w:r>
      <w:r w:rsidR="0031148E" w:rsidRPr="0031148E">
        <w:rPr>
          <w:rFonts w:ascii="Calibri" w:eastAsia="Calibri" w:hAnsi="Calibri" w:cs="Times New Roman"/>
          <w:b/>
          <w:sz w:val="32"/>
          <w:szCs w:val="32"/>
        </w:rPr>
        <w:t>eframes for the development of instruments</w:t>
      </w:r>
    </w:p>
    <w:tbl>
      <w:tblPr>
        <w:tblStyle w:val="GridTable5Dark1"/>
        <w:tblW w:w="4952" w:type="pct"/>
        <w:tblLook w:val="04A0" w:firstRow="1" w:lastRow="0" w:firstColumn="1" w:lastColumn="0" w:noHBand="0" w:noVBand="1"/>
      </w:tblPr>
      <w:tblGrid>
        <w:gridCol w:w="1924"/>
        <w:gridCol w:w="5082"/>
        <w:gridCol w:w="4887"/>
        <w:gridCol w:w="4887"/>
        <w:gridCol w:w="4883"/>
      </w:tblGrid>
      <w:tr w:rsidR="000337F7" w:rsidRPr="0031148E" w:rsidTr="00704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pct"/>
            <w:shd w:val="clear" w:color="auto" w:fill="002060"/>
            <w:vAlign w:val="center"/>
          </w:tcPr>
          <w:p w:rsidR="0031148E" w:rsidRPr="0031148E" w:rsidRDefault="0031148E" w:rsidP="0031148E">
            <w:pPr>
              <w:spacing w:line="240" w:lineRule="auto"/>
              <w:rPr>
                <w:rFonts w:eastAsia="Calibri"/>
              </w:rPr>
            </w:pPr>
            <w:r w:rsidRPr="0031148E">
              <w:rPr>
                <w:rFonts w:eastAsia="Calibri"/>
              </w:rPr>
              <w:t xml:space="preserve">Estimated timeframe </w:t>
            </w:r>
          </w:p>
        </w:tc>
        <w:tc>
          <w:tcPr>
            <w:tcW w:w="1173" w:type="pct"/>
            <w:shd w:val="clear" w:color="auto" w:fill="002060"/>
            <w:vAlign w:val="center"/>
          </w:tcPr>
          <w:p w:rsidR="0031148E" w:rsidRPr="0031148E" w:rsidRDefault="0031148E" w:rsidP="003114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31148E">
              <w:rPr>
                <w:rFonts w:eastAsia="Calibri"/>
              </w:rPr>
              <w:t>Characteristics</w:t>
            </w:r>
          </w:p>
        </w:tc>
        <w:tc>
          <w:tcPr>
            <w:tcW w:w="1128" w:type="pct"/>
            <w:shd w:val="clear" w:color="auto" w:fill="002060"/>
            <w:vAlign w:val="center"/>
          </w:tcPr>
          <w:p w:rsidR="0031148E" w:rsidRPr="0031148E" w:rsidRDefault="0031148E" w:rsidP="0031148E">
            <w:pPr>
              <w:spacing w:before="60" w:after="60" w:line="240" w:lineRule="auto"/>
              <w:ind w:left="4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31148E">
              <w:rPr>
                <w:rFonts w:eastAsia="Calibri"/>
              </w:rPr>
              <w:t>What the estimated timeframe does and does not allow for</w:t>
            </w:r>
          </w:p>
        </w:tc>
        <w:tc>
          <w:tcPr>
            <w:tcW w:w="1128" w:type="pct"/>
            <w:shd w:val="clear" w:color="auto" w:fill="002060"/>
            <w:vAlign w:val="center"/>
          </w:tcPr>
          <w:p w:rsidR="0031148E" w:rsidRPr="0031148E" w:rsidRDefault="0031148E" w:rsidP="0031148E">
            <w:pPr>
              <w:spacing w:before="60" w:after="60" w:line="240" w:lineRule="auto"/>
              <w:ind w:left="4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31148E">
              <w:rPr>
                <w:rFonts w:eastAsia="Calibri"/>
              </w:rPr>
              <w:t>Other factors that will result in a longer timeframe being needed</w:t>
            </w:r>
          </w:p>
        </w:tc>
        <w:tc>
          <w:tcPr>
            <w:tcW w:w="1127" w:type="pct"/>
            <w:shd w:val="clear" w:color="auto" w:fill="002060"/>
            <w:vAlign w:val="center"/>
          </w:tcPr>
          <w:p w:rsidR="0031148E" w:rsidRPr="0031148E" w:rsidRDefault="0031148E" w:rsidP="0031148E">
            <w:pPr>
              <w:spacing w:before="60" w:after="60" w:line="240" w:lineRule="auto"/>
              <w:ind w:left="4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31148E">
              <w:rPr>
                <w:rFonts w:eastAsia="Calibri"/>
              </w:rPr>
              <w:t>Urgent instruments</w:t>
            </w:r>
          </w:p>
        </w:tc>
      </w:tr>
      <w:tr w:rsidR="0031148E" w:rsidRPr="0031148E" w:rsidTr="00311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pct"/>
            <w:tcBorders>
              <w:bottom w:val="single" w:sz="4" w:space="0" w:color="FFFFFF"/>
            </w:tcBorders>
            <w:shd w:val="clear" w:color="auto" w:fill="92D050"/>
            <w:vAlign w:val="center"/>
          </w:tcPr>
          <w:p w:rsidR="0031148E" w:rsidRPr="0031148E" w:rsidRDefault="0031148E" w:rsidP="0031148E">
            <w:pPr>
              <w:spacing w:line="240" w:lineRule="auto"/>
              <w:rPr>
                <w:rFonts w:eastAsia="Calibri"/>
              </w:rPr>
            </w:pPr>
            <w:r w:rsidRPr="0031148E">
              <w:rPr>
                <w:rFonts w:eastAsia="Calibri"/>
              </w:rPr>
              <w:t>At least 6 weeks</w:t>
            </w:r>
          </w:p>
        </w:tc>
        <w:tc>
          <w:tcPr>
            <w:tcW w:w="1173" w:type="pct"/>
            <w:tcBorders>
              <w:bottom w:val="single" w:sz="4" w:space="0" w:color="FFFFFF"/>
            </w:tcBorders>
            <w:shd w:val="clear" w:color="auto" w:fill="92D050"/>
          </w:tcPr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FFFFFF"/>
              </w:rPr>
            </w:pPr>
            <w:r w:rsidRPr="0031148E">
              <w:rPr>
                <w:rFonts w:eastAsia="Calibri" w:cs="Calibri"/>
                <w:color w:val="FFFFFF"/>
              </w:rPr>
              <w:t>small instrument of up to 5 pages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FFFFFF"/>
              </w:rPr>
            </w:pPr>
            <w:r w:rsidRPr="0031148E">
              <w:rPr>
                <w:rFonts w:eastAsia="Calibri" w:cs="Calibri"/>
                <w:color w:val="FFFFFF"/>
              </w:rPr>
              <w:t>easy to identify what provisions/amendments are needed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FFFFFF"/>
              </w:rPr>
            </w:pPr>
            <w:r w:rsidRPr="0031148E">
              <w:rPr>
                <w:rFonts w:eastAsia="Calibri" w:cs="Calibri"/>
                <w:color w:val="FFFFFF"/>
              </w:rPr>
              <w:t>some analysis or research may be required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FFFFFF"/>
              </w:rPr>
            </w:pPr>
            <w:r w:rsidRPr="0031148E">
              <w:rPr>
                <w:rFonts w:eastAsia="Calibri" w:cs="Calibri"/>
                <w:color w:val="FFFFFF"/>
              </w:rPr>
              <w:t>involves applying well</w:t>
            </w:r>
            <w:r w:rsidRPr="0031148E">
              <w:rPr>
                <w:rFonts w:eastAsia="Calibri" w:cs="Calibri"/>
                <w:color w:val="FFFFFF"/>
              </w:rPr>
              <w:noBreakHyphen/>
              <w:t>established drafting precedents or practices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FFFFFF"/>
              </w:rPr>
            </w:pPr>
            <w:r w:rsidRPr="0031148E">
              <w:rPr>
                <w:rFonts w:eastAsia="Calibri" w:cs="Calibri"/>
                <w:color w:val="FFFFFF"/>
              </w:rPr>
              <w:t>only 1 to 3 drafts required to finalise the instrument</w:t>
            </w:r>
          </w:p>
        </w:tc>
        <w:tc>
          <w:tcPr>
            <w:tcW w:w="1128" w:type="pct"/>
            <w:vMerge w:val="restart"/>
            <w:shd w:val="clear" w:color="auto" w:fill="D9D9D9"/>
          </w:tcPr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</w:rPr>
            </w:pPr>
            <w:r w:rsidRPr="0031148E">
              <w:rPr>
                <w:rFonts w:eastAsia="Calibri"/>
                <w:b/>
                <w:bCs/>
              </w:rPr>
              <w:t xml:space="preserve">The estimated timeframe for the development of an instrument starts when drafting instructions are received by OPC. </w:t>
            </w:r>
          </w:p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</w:rPr>
            </w:pPr>
            <w:r w:rsidRPr="0031148E">
              <w:rPr>
                <w:rFonts w:eastAsia="Calibri"/>
                <w:bCs/>
              </w:rPr>
              <w:t>It allows for: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 xml:space="preserve">drafting of the instrument (for more information, see </w:t>
            </w:r>
            <w:hyperlink r:id="rId14" w:history="1">
              <w:r w:rsidRPr="0031148E">
                <w:rPr>
                  <w:rFonts w:eastAsia="Calibri" w:cs="Calibri"/>
                  <w:color w:val="0000FF"/>
                  <w:u w:val="single"/>
                </w:rPr>
                <w:t>OPC’s drafting services: a guide for clients</w:t>
              </w:r>
            </w:hyperlink>
            <w:r w:rsidRPr="0031148E">
              <w:rPr>
                <w:rFonts w:eastAsia="Calibri" w:cs="Calibri"/>
              </w:rPr>
              <w:t xml:space="preserve">) 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clarification and refinement of the policy objectives by the instructing agency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 xml:space="preserve">the instructing agency’s capacity to respond to drafts and to issue additional instructions as required 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 xml:space="preserve">referral of provisions to other agencies for consideration (allow at least 7 business days) (for more information about the referral requirements, see </w:t>
            </w:r>
            <w:hyperlink r:id="rId15" w:history="1">
              <w:r w:rsidRPr="0031148E">
                <w:rPr>
                  <w:rFonts w:eastAsia="Calibri" w:cs="Calibri"/>
                  <w:color w:val="0000FF"/>
                  <w:u w:val="single"/>
                </w:rPr>
                <w:t>Drafting Direction 4.2</w:t>
              </w:r>
            </w:hyperlink>
            <w:r w:rsidRPr="0031148E">
              <w:rPr>
                <w:rFonts w:eastAsia="Calibri" w:cs="Calibri"/>
              </w:rPr>
              <w:t>)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 xml:space="preserve">editorial checking (allow 1 business day for small instruments, 3-5 business days for medium instruments and 5-10 business days for large or very large instruments)  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preparation of instrument for signature by maker (allow 2 business days)</w:t>
            </w:r>
          </w:p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</w:rPr>
            </w:pPr>
          </w:p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FF0000"/>
              </w:rPr>
            </w:pPr>
            <w:r w:rsidRPr="0031148E">
              <w:rPr>
                <w:rFonts w:eastAsia="Calibri"/>
                <w:bCs/>
                <w:color w:val="FF0000"/>
              </w:rPr>
              <w:t>The estimated timeframe do</w:t>
            </w:r>
            <w:r w:rsidRPr="0031148E">
              <w:rPr>
                <w:rFonts w:eastAsia="Calibri" w:cs="Calibri"/>
                <w:color w:val="FF0000"/>
              </w:rPr>
              <w:t xml:space="preserve">es </w:t>
            </w:r>
            <w:r w:rsidRPr="0031148E">
              <w:rPr>
                <w:rFonts w:eastAsia="Calibri" w:cs="Calibri"/>
                <w:b/>
                <w:color w:val="FF0000"/>
                <w:u w:val="single"/>
              </w:rPr>
              <w:t>not</w:t>
            </w:r>
            <w:r w:rsidRPr="0031148E">
              <w:rPr>
                <w:rFonts w:eastAsia="Calibri" w:cs="Calibri"/>
                <w:color w:val="FF0000"/>
              </w:rPr>
              <w:t xml:space="preserve"> allow for:</w:t>
            </w:r>
          </w:p>
          <w:p w:rsidR="0031148E" w:rsidRPr="0031148E" w:rsidRDefault="0031148E" w:rsidP="0031148E">
            <w:pPr>
              <w:numPr>
                <w:ilvl w:val="0"/>
                <w:numId w:val="17"/>
              </w:num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FF0000"/>
              </w:rPr>
            </w:pPr>
            <w:r w:rsidRPr="0031148E">
              <w:rPr>
                <w:rFonts w:eastAsia="Calibri" w:cs="Calibri"/>
                <w:color w:val="FF0000"/>
              </w:rPr>
              <w:t>the time needed for an exposure draft process or other consultation requirements (whether internal or external)</w:t>
            </w:r>
          </w:p>
          <w:p w:rsidR="0031148E" w:rsidRPr="0031148E" w:rsidRDefault="0031148E" w:rsidP="0031148E">
            <w:pPr>
              <w:numPr>
                <w:ilvl w:val="0"/>
                <w:numId w:val="17"/>
              </w:num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FF0000"/>
              </w:rPr>
            </w:pPr>
            <w:r w:rsidRPr="0031148E">
              <w:rPr>
                <w:rFonts w:eastAsia="Calibri" w:cs="Calibri"/>
                <w:color w:val="FF0000"/>
              </w:rPr>
              <w:t>the time needed to obtain agency or Ministerial clearances</w:t>
            </w:r>
          </w:p>
          <w:p w:rsidR="0031148E" w:rsidRPr="0031148E" w:rsidRDefault="0031148E" w:rsidP="0031148E">
            <w:pPr>
              <w:numPr>
                <w:ilvl w:val="0"/>
                <w:numId w:val="17"/>
              </w:numPr>
              <w:spacing w:before="120"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FF0000"/>
              </w:rPr>
            </w:pPr>
            <w:r w:rsidRPr="0031148E">
              <w:rPr>
                <w:rFonts w:eastAsia="Calibri" w:cs="Calibri"/>
                <w:color w:val="FF0000"/>
              </w:rPr>
              <w:t>the time needed for any other factors mentioned in the next column</w:t>
            </w:r>
          </w:p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</w:rPr>
            </w:pPr>
          </w:p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/>
                <w:bCs/>
              </w:rPr>
              <w:t xml:space="preserve">For more information about judging the size and complexity of an instrument, see </w:t>
            </w:r>
            <w:hyperlink r:id="rId16" w:history="1">
              <w:r w:rsidRPr="0031148E">
                <w:rPr>
                  <w:rFonts w:eastAsia="Calibri"/>
                  <w:bCs/>
                  <w:color w:val="0000FF"/>
                  <w:u w:val="single"/>
                </w:rPr>
                <w:t>Instrument Drafting Guidance Note 1.3</w:t>
              </w:r>
            </w:hyperlink>
            <w:r w:rsidRPr="0031148E">
              <w:rPr>
                <w:rFonts w:eastAsia="Calibri"/>
                <w:bCs/>
              </w:rPr>
              <w:t>.</w:t>
            </w:r>
          </w:p>
          <w:p w:rsidR="0031148E" w:rsidRPr="0031148E" w:rsidRDefault="0031148E" w:rsidP="0031148E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</w:p>
          <w:p w:rsidR="0031148E" w:rsidRPr="0031148E" w:rsidRDefault="0031148E" w:rsidP="0031148E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</w:rPr>
            </w:pPr>
          </w:p>
        </w:tc>
        <w:tc>
          <w:tcPr>
            <w:tcW w:w="1128" w:type="pct"/>
            <w:vMerge w:val="restart"/>
            <w:shd w:val="clear" w:color="auto" w:fill="D9D9D9"/>
          </w:tcPr>
          <w:p w:rsidR="0031148E" w:rsidRPr="0031148E" w:rsidRDefault="0031148E" w:rsidP="0031148E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bCs/>
              </w:rPr>
            </w:pPr>
            <w:r w:rsidRPr="0031148E">
              <w:rPr>
                <w:rFonts w:eastAsia="Calibri" w:cs="Calibri"/>
                <w:b/>
                <w:bCs/>
              </w:rPr>
              <w:t>There are many other factors that can affect the estimated timeframe for the development of an instrument. In many cases, these factors will result in a longer timeframe being needed.</w:t>
            </w:r>
          </w:p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These factors include: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bCs/>
              </w:rPr>
            </w:pPr>
            <w:r w:rsidRPr="0031148E">
              <w:rPr>
                <w:rFonts w:eastAsia="Calibri" w:cs="Calibri"/>
                <w:bCs/>
              </w:rPr>
              <w:t>an exposure draft process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bCs/>
              </w:rPr>
            </w:pPr>
            <w:r w:rsidRPr="0031148E">
              <w:rPr>
                <w:rFonts w:eastAsia="Calibri" w:cs="Calibri"/>
              </w:rPr>
              <w:t>consultation requirements for the instrument (whether internal or external)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requiring legal advice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</w:rPr>
            </w:pPr>
            <w:r w:rsidRPr="0031148E">
              <w:rPr>
                <w:rFonts w:eastAsia="Calibri" w:cs="Calibri"/>
                <w:bCs/>
              </w:rPr>
              <w:t>competing legislative priorities for OPC and the instructing agency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 xml:space="preserve">how clear and well-developed the drafting instructions are (for more information about instructions, see </w:t>
            </w:r>
            <w:hyperlink r:id="rId17" w:history="1">
              <w:r w:rsidRPr="0031148E">
                <w:rPr>
                  <w:rFonts w:eastAsia="Calibri" w:cs="Calibri"/>
                  <w:color w:val="0000FF"/>
                  <w:u w:val="single"/>
                </w:rPr>
                <w:t>OPC’s drafting services: a guide for clients</w:t>
              </w:r>
            </w:hyperlink>
            <w:r w:rsidRPr="0031148E">
              <w:rPr>
                <w:rFonts w:eastAsia="Calibri" w:cs="Calibri"/>
              </w:rPr>
              <w:t xml:space="preserve">) 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how clear and well developed the policy objectives are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changes in the policy objectives or approach once drafting has started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the instructing agency’s timeliness in responding to drafts and issuing additional instructions as required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the need for substantial consequential amendments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the need for substantial transitional, application and saving provisions</w:t>
            </w:r>
          </w:p>
          <w:p w:rsidR="0031148E" w:rsidRPr="0031148E" w:rsidRDefault="0031148E" w:rsidP="0031148E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</w:rPr>
            </w:pPr>
          </w:p>
          <w:p w:rsidR="0031148E" w:rsidRPr="0031148E" w:rsidRDefault="0031148E" w:rsidP="0031148E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</w:rPr>
            </w:pPr>
          </w:p>
        </w:tc>
        <w:tc>
          <w:tcPr>
            <w:tcW w:w="1127" w:type="pct"/>
            <w:vMerge w:val="restart"/>
            <w:shd w:val="clear" w:color="auto" w:fill="D9D9D9"/>
          </w:tcPr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bCs/>
              </w:rPr>
            </w:pPr>
            <w:r w:rsidRPr="0031148E">
              <w:rPr>
                <w:rFonts w:eastAsia="Calibri" w:cs="Calibri"/>
                <w:b/>
                <w:bCs/>
              </w:rPr>
              <w:t>If the instrument is urgent, OPC can work with you to ensure it is developed within the required timeframe.</w:t>
            </w:r>
          </w:p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However, the overall quality of the instrument may be impacted by a compressed timeframe because of the following: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reduced capacity to identify the best legislative solution and to identify and solve problems, gaps or other issues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reduced capacity to identify policy, legal or implementation issues, to seek legal advice and to consult others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reduced capacity to complete drafting and editorial checks</w:t>
            </w:r>
          </w:p>
          <w:p w:rsidR="0031148E" w:rsidRPr="0031148E" w:rsidRDefault="0031148E" w:rsidP="0031148E">
            <w:pPr>
              <w:spacing w:before="120" w:after="12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  <w:bCs/>
              </w:rPr>
              <w:t>The following are some of the risks that come with developing an instrument in a compressed timeframe:</w:t>
            </w:r>
          </w:p>
          <w:p w:rsidR="0031148E" w:rsidRPr="0031148E" w:rsidRDefault="0031148E" w:rsidP="0031148E">
            <w:pPr>
              <w:numPr>
                <w:ilvl w:val="0"/>
                <w:numId w:val="16"/>
              </w:numPr>
              <w:spacing w:before="120" w:after="120" w:line="240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increased likelihood of unintended consequences or ineffective provisions</w:t>
            </w:r>
          </w:p>
          <w:p w:rsidR="0031148E" w:rsidRPr="0031148E" w:rsidRDefault="0031148E" w:rsidP="0031148E">
            <w:pPr>
              <w:numPr>
                <w:ilvl w:val="0"/>
                <w:numId w:val="16"/>
              </w:numPr>
              <w:spacing w:before="120" w:after="120" w:line="240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increased likelihood of amendments being needed in the future</w:t>
            </w:r>
          </w:p>
          <w:p w:rsidR="0031148E" w:rsidRPr="0031148E" w:rsidRDefault="0031148E" w:rsidP="0031148E">
            <w:pPr>
              <w:numPr>
                <w:ilvl w:val="0"/>
                <w:numId w:val="16"/>
              </w:numPr>
              <w:spacing w:before="120" w:after="120" w:line="240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increased likelihood of adverse comments from the Senate Standing Committee for the Scrutiny of Delegated Legislation, stakeholders and others</w:t>
            </w:r>
          </w:p>
          <w:p w:rsidR="0031148E" w:rsidRPr="0031148E" w:rsidRDefault="0031148E" w:rsidP="0031148E">
            <w:pPr>
              <w:numPr>
                <w:ilvl w:val="0"/>
                <w:numId w:val="16"/>
              </w:numPr>
              <w:spacing w:before="120" w:after="120" w:line="240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increased risk of disallowance in some cases</w:t>
            </w:r>
          </w:p>
          <w:p w:rsidR="0031148E" w:rsidRPr="0031148E" w:rsidRDefault="0031148E" w:rsidP="0031148E">
            <w:pPr>
              <w:spacing w:before="120" w:after="120" w:line="240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</w:p>
          <w:p w:rsidR="0031148E" w:rsidRPr="0031148E" w:rsidRDefault="0031148E" w:rsidP="0031148E">
            <w:pPr>
              <w:spacing w:before="120" w:after="12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bCs/>
              </w:rPr>
            </w:pPr>
          </w:p>
        </w:tc>
      </w:tr>
      <w:tr w:rsidR="0031148E" w:rsidRPr="0031148E" w:rsidTr="0031148E">
        <w:trPr>
          <w:trHeight w:val="2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pct"/>
            <w:shd w:val="clear" w:color="auto" w:fill="FFC000"/>
            <w:vAlign w:val="center"/>
          </w:tcPr>
          <w:p w:rsidR="0031148E" w:rsidRPr="0031148E" w:rsidRDefault="0031148E" w:rsidP="0031148E">
            <w:pPr>
              <w:spacing w:line="240" w:lineRule="auto"/>
              <w:rPr>
                <w:rFonts w:eastAsia="Calibri"/>
              </w:rPr>
            </w:pPr>
            <w:r w:rsidRPr="0031148E">
              <w:rPr>
                <w:rFonts w:eastAsia="Calibri"/>
              </w:rPr>
              <w:t>At least 4 months</w:t>
            </w:r>
          </w:p>
        </w:tc>
        <w:tc>
          <w:tcPr>
            <w:tcW w:w="1173" w:type="pct"/>
            <w:shd w:val="clear" w:color="auto" w:fill="FFC000"/>
          </w:tcPr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FFFFFF"/>
              </w:rPr>
            </w:pPr>
            <w:r w:rsidRPr="0031148E">
              <w:rPr>
                <w:rFonts w:eastAsia="Calibri" w:cs="Calibri"/>
                <w:color w:val="FFFFFF"/>
              </w:rPr>
              <w:t>medium instrument of up to 15 pages or large instrument of up to 50 pages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FFFFFF"/>
              </w:rPr>
            </w:pPr>
            <w:r w:rsidRPr="0031148E">
              <w:rPr>
                <w:rFonts w:eastAsia="Calibri" w:cs="Calibri"/>
                <w:color w:val="FFFFFF"/>
              </w:rPr>
              <w:t>reasonable amount of analysis or research required to identify what provisions/amendments are needed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FFFFFF"/>
              </w:rPr>
            </w:pPr>
            <w:r w:rsidRPr="0031148E">
              <w:rPr>
                <w:rFonts w:eastAsia="Calibri" w:cs="Calibri"/>
                <w:color w:val="FFFFFF"/>
              </w:rPr>
              <w:t xml:space="preserve">reasonable amount of work may be required to clarify the policy objectives 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FFFFFF"/>
              </w:rPr>
            </w:pPr>
            <w:r w:rsidRPr="0031148E">
              <w:rPr>
                <w:rFonts w:eastAsia="Calibri" w:cs="Calibri"/>
                <w:color w:val="FFFFFF"/>
              </w:rPr>
              <w:t>involves a degree of original or novel drafting or the careful application of drafting precedents and practices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FFFFFF"/>
              </w:rPr>
            </w:pPr>
            <w:r w:rsidRPr="0031148E">
              <w:rPr>
                <w:rFonts w:eastAsia="Calibri" w:cs="Calibri"/>
                <w:color w:val="FFFFFF"/>
              </w:rPr>
              <w:t>raises some constitutional or legal issues and/or some political or other sensitivities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FFFFFF"/>
              </w:rPr>
            </w:pPr>
            <w:r w:rsidRPr="0031148E">
              <w:rPr>
                <w:rFonts w:eastAsia="Calibri" w:cs="Calibri"/>
                <w:color w:val="FFFFFF"/>
              </w:rPr>
              <w:t>may require 12 to 15 drafts to finalise the instrument</w:t>
            </w:r>
          </w:p>
        </w:tc>
        <w:tc>
          <w:tcPr>
            <w:tcW w:w="1128" w:type="pct"/>
            <w:vMerge/>
            <w:shd w:val="clear" w:color="auto" w:fill="D9D9D9"/>
          </w:tcPr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/>
                <w:bCs/>
              </w:rPr>
            </w:pPr>
          </w:p>
        </w:tc>
        <w:tc>
          <w:tcPr>
            <w:tcW w:w="1128" w:type="pct"/>
            <w:vMerge/>
            <w:shd w:val="clear" w:color="auto" w:fill="D9D9D9"/>
          </w:tcPr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/>
                <w:bCs/>
              </w:rPr>
            </w:pPr>
          </w:p>
        </w:tc>
        <w:tc>
          <w:tcPr>
            <w:tcW w:w="1127" w:type="pct"/>
            <w:vMerge/>
            <w:shd w:val="clear" w:color="auto" w:fill="D9D9D9"/>
          </w:tcPr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/>
                <w:bCs/>
              </w:rPr>
            </w:pPr>
          </w:p>
        </w:tc>
      </w:tr>
      <w:tr w:rsidR="0031148E" w:rsidRPr="0031148E" w:rsidTr="00311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pct"/>
            <w:shd w:val="clear" w:color="auto" w:fill="C00000"/>
            <w:vAlign w:val="center"/>
          </w:tcPr>
          <w:p w:rsidR="0031148E" w:rsidRPr="0031148E" w:rsidRDefault="0031148E" w:rsidP="0031148E">
            <w:pPr>
              <w:spacing w:line="240" w:lineRule="auto"/>
              <w:rPr>
                <w:rFonts w:eastAsia="Calibri"/>
              </w:rPr>
            </w:pPr>
            <w:r w:rsidRPr="0031148E">
              <w:rPr>
                <w:rFonts w:eastAsia="Calibri"/>
              </w:rPr>
              <w:t>6 to 18 months</w:t>
            </w:r>
          </w:p>
        </w:tc>
        <w:tc>
          <w:tcPr>
            <w:tcW w:w="1173" w:type="pct"/>
            <w:shd w:val="clear" w:color="auto" w:fill="C00000"/>
          </w:tcPr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 xml:space="preserve">large instrument of 16 to 50 pages or very large instrument of more than 50 pages 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 xml:space="preserve">significant amount of analysis or research required to identify appropriate legislative solution 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significant amount of work may be required to clarify the policy objectives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involves a high degree of original or novel drafting or the careful application of drafting precedents and practices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raises significant constitutional or legal issues and/or significant political or other sensitivities</w:t>
            </w:r>
          </w:p>
          <w:p w:rsidR="0031148E" w:rsidRPr="0031148E" w:rsidRDefault="0031148E" w:rsidP="0031148E">
            <w:pPr>
              <w:numPr>
                <w:ilvl w:val="0"/>
                <w:numId w:val="15"/>
              </w:numPr>
              <w:spacing w:before="120" w:after="120" w:line="240" w:lineRule="auto"/>
              <w:ind w:left="402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31148E">
              <w:rPr>
                <w:rFonts w:eastAsia="Calibri" w:cs="Calibri"/>
              </w:rPr>
              <w:t>may require 15 or more drafts to finalise the instrument</w:t>
            </w:r>
          </w:p>
        </w:tc>
        <w:tc>
          <w:tcPr>
            <w:tcW w:w="1128" w:type="pct"/>
            <w:vMerge/>
            <w:shd w:val="clear" w:color="auto" w:fill="D9D9D9"/>
          </w:tcPr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bCs/>
              </w:rPr>
            </w:pPr>
          </w:p>
        </w:tc>
        <w:tc>
          <w:tcPr>
            <w:tcW w:w="1128" w:type="pct"/>
            <w:vMerge/>
            <w:shd w:val="clear" w:color="auto" w:fill="D9D9D9"/>
          </w:tcPr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bCs/>
              </w:rPr>
            </w:pPr>
          </w:p>
        </w:tc>
        <w:tc>
          <w:tcPr>
            <w:tcW w:w="1127" w:type="pct"/>
            <w:vMerge/>
            <w:shd w:val="clear" w:color="auto" w:fill="D9D9D9"/>
          </w:tcPr>
          <w:p w:rsidR="0031148E" w:rsidRPr="0031148E" w:rsidRDefault="0031148E" w:rsidP="0031148E">
            <w:pPr>
              <w:spacing w:before="120" w:after="120" w:line="240" w:lineRule="auto"/>
              <w:ind w:left="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bCs/>
              </w:rPr>
            </w:pPr>
          </w:p>
        </w:tc>
      </w:tr>
    </w:tbl>
    <w:p w:rsidR="0031148E" w:rsidRPr="0031148E" w:rsidRDefault="0031148E" w:rsidP="0031148E">
      <w:pPr>
        <w:spacing w:after="200" w:line="276" w:lineRule="auto"/>
        <w:rPr>
          <w:rFonts w:ascii="Calibri" w:eastAsia="Calibri" w:hAnsi="Calibri" w:cs="Times New Roman"/>
          <w:szCs w:val="22"/>
        </w:rPr>
      </w:pPr>
    </w:p>
    <w:p w:rsidR="008E17F3" w:rsidRPr="00174846" w:rsidRDefault="008E17F3" w:rsidP="00174846">
      <w:pPr>
        <w:pStyle w:val="Head1"/>
      </w:pPr>
    </w:p>
    <w:sectPr w:rsidR="008E17F3" w:rsidRPr="00174846" w:rsidSect="000337F7">
      <w:pgSz w:w="23811" w:h="16838" w:orient="landscape" w:code="8"/>
      <w:pgMar w:top="567" w:right="1077" w:bottom="709" w:left="107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B33" w:rsidRDefault="00B04B33" w:rsidP="008E17F3">
      <w:pPr>
        <w:spacing w:line="240" w:lineRule="auto"/>
      </w:pPr>
      <w:r>
        <w:separator/>
      </w:r>
    </w:p>
  </w:endnote>
  <w:endnote w:type="continuationSeparator" w:id="0">
    <w:p w:rsidR="00B04B33" w:rsidRDefault="00B04B33" w:rsidP="008E17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EC00CD-D011-453D-B42C-75E9C7F5A581}"/>
    <w:embedBold r:id="rId2" w:fontKey="{5EB9E89B-04FB-4C54-BA44-C82365982704}"/>
    <w:embedItalic r:id="rId3" w:fontKey="{677847F8-6E3E-4E8D-ACF9-FD084D8EC7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7F3" w:rsidRDefault="006E2E9F" w:rsidP="008E17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E17F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17F3" w:rsidRDefault="008E17F3" w:rsidP="008E17F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7F3" w:rsidRDefault="00477DEC" w:rsidP="008E17F3">
    <w:pPr>
      <w:pStyle w:val="Footer"/>
      <w:tabs>
        <w:tab w:val="clear" w:pos="4153"/>
        <w:tab w:val="clear" w:pos="8306"/>
        <w:tab w:val="left" w:pos="7680"/>
      </w:tabs>
      <w:ind w:right="27"/>
      <w:rPr>
        <w:sz w:val="16"/>
      </w:rPr>
    </w:pPr>
    <w:r w:rsidRPr="00477DEC">
      <w:rPr>
        <w:b/>
        <w:noProof/>
        <w:sz w:val="16"/>
        <w:lang w:val="en-US"/>
      </w:rPr>
      <mc:AlternateContent>
        <mc:Choice Requires="wps">
          <w:drawing>
            <wp:anchor distT="0" distB="0" distL="114300" distR="114300" simplePos="0" relativeHeight="251661312" behindDoc="1" locked="1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73003" cy="395785"/>
              <wp:effectExtent l="0" t="0" r="0" b="4445"/>
              <wp:wrapNone/>
              <wp:docPr id="1" name="Text Box 1" descr="Sec-Footerprimar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3003" cy="395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DEC" w:rsidRPr="00324EB0" w:rsidRDefault="00477DEC" w:rsidP="00271A4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9047FC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9047FC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9047FC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9047FC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9047FC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Sec-Footerprimary" style="position:absolute;margin-left:0;margin-top:0;width:454.55pt;height:31.15pt;z-index:-2516551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5zBQMAAJwGAAAOAAAAZHJzL2Uyb0RvYy54bWysVd1v2jAQf5+0/8HyO02A8BHUUNFWmSah&#10;thqd+mwcB6w6tmcbCKv2v+/sBArtHtZpPDjn833f747Lq7oSaMuM5UpmuHsRY8QkVQWXqwx/f8w7&#10;Y4ysI7IgQkmW4T2z+Gr6+dPlTk9YT62VKJhBYETayU5neO2cnkSRpWtWEXuhNJPwWCpTEQdXs4oK&#10;Q3ZgvRJRL46H0U6ZQhtFmbXAvW0e8TTYL0tG3X1ZWuaQyDDE5sJpwrn0ZzS9JJOVIXrNaRsG+Yco&#10;KsIlOD2auiWOoI3h70xVnBplVekuqKoiVZacspADZNON32SzWBPNQi5QHKuPZbL/zyy92z4YxAvo&#10;HUaSVNCiR1Y7dK1qBJyCWQrVWjDayZVyzGjDK2L2vm47bSegvtBgwNWg4G20fAtMX466NJX/QqII&#10;3qED+2PVvRsKzMFo1I/jPkYU3vrpYDQeeDPRq7Y21n1hqkKeyLCBroZik+3cukb0IOKdWSV4kXMh&#10;wsWsljfCoC0BBOTh11o/ExMS7TI87A/iYFkqr9+YFtLbYQFMjT+41Q7IwIcsQqNf0m4via97aScf&#10;jkedJE8GnXQUjztxN71Oh3GSJrf5L2+9m0zWvCiYnHPJDqDrJn/X1Bb+DVwC7M4CP0vKF+WY+1IQ&#10;+vw+9eg8nFB3yO7wDVlGvtVNSwPl9oL53IX8xkoAT+isZ4SxZUeXhFImXQAFdDNIe6kSSvsRxVbe&#10;qzZd+IjyUSN4VtIdlSsulQndfhN28XwIuWzkoRgneXvS1cu6nZoW8UtV7GEQjAKAAsytpjmH8s+J&#10;dQ/EwE4BJuxJdw9HKRSATbUURmtlfv6J7+UBFfCK0Q52VIbtjw0xDCPxVcISSLtJ4pdauCSDUQ8u&#10;5vRlefoiN9WNgiGAsYboAunlnTiQpVHVE6zTmfcKT0RS8J1hdyBvXLM5YR1TNpsFIVhjmri5XGjq&#10;Tfsqe9g91k/E6HZgHQDqTh22GZm8mdtG1mtKNds4VfIw1L7OTVXb+sMKDLBs17Xfsaf3IPX6pzL9&#10;DQAA//8DAFBLAwQUAAYACAAAACEATjFmLdkAAAAEAQAADwAAAGRycy9kb3ducmV2LnhtbEyPQWsC&#10;MRCF74X+hzCF3mp2tUjdblZKoVehaj3HzXSzNJksSdTVX99pL3oZeLzHe9/Uy9E7ccSY+kAKykkB&#10;AqkNpqdOwXbz8fQCImVNRrtAqOCMCZbN/V2tKxNO9InHde4El1CqtAKb81BJmVqLXqdJGJDY+w7R&#10;68wydtJEfeJy7+S0KObS6554weoB3y22P+uDV7Dr/GX3VQ7RGu+eaXU5b7ahV+rxYXx7BZFxzNcw&#10;/OEzOjTMtA8HMkk4BfxI/r/sLYpFCWKvYD6dgWxqeQvf/AIAAP//AwBQSwECLQAUAAYACAAAACEA&#10;toM4kv4AAADhAQAAEwAAAAAAAAAAAAAAAAAAAAAAW0NvbnRlbnRfVHlwZXNdLnhtbFBLAQItABQA&#10;BgAIAAAAIQA4/SH/1gAAAJQBAAALAAAAAAAAAAAAAAAAAC8BAABfcmVscy8ucmVsc1BLAQItABQA&#10;BgAIAAAAIQBMds5zBQMAAJwGAAAOAAAAAAAAAAAAAAAAAC4CAABkcnMvZTJvRG9jLnhtbFBLAQIt&#10;ABQABgAIAAAAIQBOMWYt2QAAAAQBAAAPAAAAAAAAAAAAAAAAAF8FAABkcnMvZG93bnJldi54bWxQ&#10;SwUGAAAAAAQABADzAAAAZQYAAAAA&#10;" stroked="f" strokeweight=".5pt">
              <v:textbox>
                <w:txbxContent>
                  <w:p w:rsidR="00477DEC" w:rsidRPr="00324EB0" w:rsidRDefault="00477DEC" w:rsidP="00271A4F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9047FC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9047FC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9047FC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9047FC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9047FC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8E17F3">
      <w:rPr>
        <w:sz w:val="16"/>
      </w:rPr>
      <w:t>[</w:t>
    </w:r>
    <w:r w:rsidR="006E2E9F" w:rsidRPr="00766393">
      <w:rPr>
        <w:sz w:val="16"/>
        <w:szCs w:val="16"/>
      </w:rPr>
      <w:fldChar w:fldCharType="begin"/>
    </w:r>
    <w:r w:rsidR="00766393" w:rsidRPr="00766393">
      <w:rPr>
        <w:sz w:val="16"/>
        <w:szCs w:val="16"/>
      </w:rPr>
      <w:instrText xml:space="preserve"> FILENAME \* Upper\p </w:instrText>
    </w:r>
    <w:r w:rsidR="006E2E9F" w:rsidRPr="00766393">
      <w:rPr>
        <w:sz w:val="16"/>
        <w:szCs w:val="16"/>
      </w:rPr>
      <w:fldChar w:fldCharType="separate"/>
    </w:r>
    <w:r w:rsidR="009047FC">
      <w:rPr>
        <w:noProof/>
        <w:sz w:val="16"/>
        <w:szCs w:val="16"/>
      </w:rPr>
      <w:t>Q:\WORD\SUNDRY\S23QV101.DOCX</w:t>
    </w:r>
    <w:r w:rsidR="006E2E9F" w:rsidRPr="00766393">
      <w:rPr>
        <w:sz w:val="16"/>
        <w:szCs w:val="16"/>
      </w:rPr>
      <w:fldChar w:fldCharType="end"/>
    </w:r>
    <w:r w:rsidR="008E17F3" w:rsidRPr="00766393">
      <w:rPr>
        <w:sz w:val="16"/>
        <w:szCs w:val="16"/>
      </w:rPr>
      <w:t>] [</w:t>
    </w:r>
    <w:r w:rsidR="006E2E9F" w:rsidRPr="00766393">
      <w:rPr>
        <w:sz w:val="16"/>
        <w:szCs w:val="16"/>
      </w:rPr>
      <w:fldChar w:fldCharType="begin"/>
    </w:r>
    <w:r w:rsidR="008E17F3" w:rsidRPr="00766393">
      <w:rPr>
        <w:sz w:val="16"/>
        <w:szCs w:val="16"/>
      </w:rPr>
      <w:instrText xml:space="preserve"> DATE \@ "d-MMM-yy" \* MERGEFORMAT </w:instrText>
    </w:r>
    <w:r w:rsidR="006E2E9F" w:rsidRPr="00766393">
      <w:rPr>
        <w:sz w:val="16"/>
        <w:szCs w:val="16"/>
      </w:rPr>
      <w:fldChar w:fldCharType="separate"/>
    </w:r>
    <w:r w:rsidR="003D64DD">
      <w:rPr>
        <w:noProof/>
        <w:sz w:val="16"/>
        <w:szCs w:val="16"/>
      </w:rPr>
      <w:t>23-Jan-24</w:t>
    </w:r>
    <w:r w:rsidR="006E2E9F" w:rsidRPr="00766393">
      <w:rPr>
        <w:sz w:val="16"/>
        <w:szCs w:val="16"/>
      </w:rPr>
      <w:fldChar w:fldCharType="end"/>
    </w:r>
    <w:r w:rsidR="008E17F3">
      <w:rPr>
        <w:sz w:val="16"/>
      </w:rPr>
      <w:t>] [</w:t>
    </w:r>
    <w:r w:rsidR="006E2E9F">
      <w:rPr>
        <w:sz w:val="16"/>
      </w:rPr>
      <w:fldChar w:fldCharType="begin"/>
    </w:r>
    <w:r w:rsidR="008E17F3">
      <w:rPr>
        <w:sz w:val="16"/>
      </w:rPr>
      <w:instrText xml:space="preserve"> TIME \@ "h:mm AM/PM" \* MERGEFORMAT </w:instrText>
    </w:r>
    <w:r w:rsidR="006E2E9F">
      <w:rPr>
        <w:sz w:val="16"/>
      </w:rPr>
      <w:fldChar w:fldCharType="separate"/>
    </w:r>
    <w:r w:rsidR="003D64DD">
      <w:rPr>
        <w:noProof/>
        <w:sz w:val="16"/>
      </w:rPr>
      <w:t>9:51 AM</w:t>
    </w:r>
    <w:r w:rsidR="006E2E9F">
      <w:rPr>
        <w:sz w:val="16"/>
      </w:rPr>
      <w:fldChar w:fldCharType="end"/>
    </w:r>
    <w:r w:rsidR="008E17F3">
      <w:rPr>
        <w:sz w:val="16"/>
      </w:rPr>
      <w:t>]</w:t>
    </w:r>
    <w:r w:rsidR="008E17F3">
      <w:rPr>
        <w:sz w:val="16"/>
      </w:rPr>
      <w:tab/>
    </w:r>
    <w:r w:rsidR="008E17F3">
      <w:rPr>
        <w:sz w:val="16"/>
      </w:rPr>
      <w:tab/>
    </w:r>
    <w:r w:rsidR="008E17F3">
      <w:t xml:space="preserve">Page  </w:t>
    </w:r>
    <w:r w:rsidR="005327A0">
      <w:fldChar w:fldCharType="begin"/>
    </w:r>
    <w:r w:rsidR="005327A0">
      <w:instrText xml:space="preserve"> PAGE  \* MERGEFORMAT </w:instrText>
    </w:r>
    <w:r w:rsidR="005327A0">
      <w:fldChar w:fldCharType="separate"/>
    </w:r>
    <w:r w:rsidR="00174846">
      <w:rPr>
        <w:noProof/>
      </w:rPr>
      <w:t>1</w:t>
    </w:r>
    <w:r w:rsidR="005327A0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875" w:rsidRDefault="003D08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B33" w:rsidRDefault="00B04B33" w:rsidP="008E17F3">
      <w:pPr>
        <w:spacing w:line="240" w:lineRule="auto"/>
      </w:pPr>
      <w:r>
        <w:separator/>
      </w:r>
    </w:p>
  </w:footnote>
  <w:footnote w:type="continuationSeparator" w:id="0">
    <w:p w:rsidR="00B04B33" w:rsidRDefault="00B04B33" w:rsidP="008E17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875" w:rsidRDefault="003D08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DEC" w:rsidRDefault="00477DEC">
    <w:pPr>
      <w:pStyle w:val="Header"/>
    </w:pPr>
    <w:r w:rsidRPr="00324EB0">
      <w:rPr>
        <w:b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1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73003" cy="395785"/>
              <wp:effectExtent l="0" t="0" r="0" b="4445"/>
              <wp:wrapNone/>
              <wp:docPr id="107" name="Text Box 107" descr="Sec-Headerprimar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3003" cy="395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DEC" w:rsidRPr="00324EB0" w:rsidRDefault="00477DEC" w:rsidP="00271A4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9047FC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9047FC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9047FC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9047FC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3D64DD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26" type="#_x0000_t202" alt="Sec-Headerprimary" style="position:absolute;margin-left:0;margin-top:-25pt;width:454.55pt;height:31.15pt;z-index:-2516572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SaBAMAAJkGAAAOAAAAZHJzL2Uyb0RvYy54bWysVd1v2jAQf5+0/8HyO02A8BHUUNFWbJNQ&#10;W41OfTaOA1Yd27MNhE3733d2EgrtHtZpPDjn+77fnY/Lq6oUaMeM5UpmuHsRY8QkVTmX6wx/e5x3&#10;xhhZR2ROhJIswwdm8dX044fLvZ6wntookTODwIm0k73O8MY5PYkiSzesJPZCaSZBWChTEgdXs45y&#10;Q/bgvRRRL46H0V6ZXBtFmbXAva2FeBr8FwWj7r4oLHNIZBhyc+E04Vz5M5peksnaEL3htEmD/EMW&#10;JeESgh5d3RJH0NbwN65KTo2yqnAXVJWRKgpOWagBqunGr6pZbohmoRYAx+ojTPb/uaV3uweDeA69&#10;i0cYSVJCkx5Z5dC1qlDg5cxSQGzJaOczI9AubXhJzMFjt9d2Ai6WGpy4CkzAT8u3wPSQVIUp/ReK&#10;RSCHLhyOyPtAFJiD0agfx32MKMj66WA0Hng30Yu1NtZ9YqpEnsiwgc4GwMluYV2t2qr4YFYJns+5&#10;EOFi1qsbYdCOwBTMw6/xfqYmJNpneNgfxMGzVN6+di2k98PCQNXx4FY5IAMfqgjN/pl2e0l83Us7&#10;8+F41EnmyaCTjuJxJ+6m1+kwTtLkdv7Le+8mkw3PcyYXXLJ28LrJ3zW2eQL1yITRO0v8rCgPyrH2&#10;lSD0+W3p0Xk6AXeorv2GKiPf6rqlgXIHwXztQn5lBQxQ6KxnhKfLjiEJpUy6MBTQzaDttQqA9j2G&#10;jb43rbvwHuOjRYispDsal1wqE7r9Ku38uU25qPUBjJO6PemqVdU8gZXKD/ACjILJhPm2ms454L4g&#10;1j0QAwsFmLAk3T0chVAwZaqhMNoo8+NPfK8P4wBSjPawoDJsv2+JYRiJLxI2QNpNEr/RwiUZjHpw&#10;MaeS1alEbssbBdPfDdkF0us70ZKFUeUT7NKZjwoiIinEzrBryRtXr03YxZTNZkEJdpgmbiGXmnrX&#10;Hl4/b4/VEzG6eakOJulOtauMTF492FrXW0o12zpV8PCaPcA1qg3wsP/CPDa72i/Y03vQevlHmf4G&#10;AAD//wMAUEsDBBQABgAIAAAAIQBGQcmG2wAAAAcBAAAPAAAAZHJzL2Rvd25yZXYueG1sTI/NTsMw&#10;EITvSLyDtUjcWjvlRzTEqRASVyTa0rMbL3GEvY5st0379CwnuM1qRjPfNqspeHHElIdIGqq5AoHU&#10;RTtQr2G7eZs9gcjFkDU+Emo4Y4ZVe33VmNrGE33gcV16wSWUa6PBlTLWUubOYTB5Hkck9r5iCqbw&#10;mXppkzlxefByodSjDGYgXnBmxFeH3ff6EDTs+nDZfVZjcjb4e3q/nDfbOGh9ezO9PIMoOJW/MPzi&#10;Mzq0zLSPB7JZeA38SNEwe1As2F6qZQViz7nFHci2kf/52x8AAAD//wMAUEsBAi0AFAAGAAgAAAAh&#10;ALaDOJL+AAAA4QEAABMAAAAAAAAAAAAAAAAAAAAAAFtDb250ZW50X1R5cGVzXS54bWxQSwECLQAU&#10;AAYACAAAACEAOP0h/9YAAACUAQAACwAAAAAAAAAAAAAAAAAvAQAAX3JlbHMvLnJlbHNQSwECLQAU&#10;AAYACAAAACEACDYEmgQDAACZBgAADgAAAAAAAAAAAAAAAAAuAgAAZHJzL2Uyb0RvYy54bWxQSwEC&#10;LQAUAAYACAAAACEARkHJhtsAAAAHAQAADwAAAAAAAAAAAAAAAABeBQAAZHJzL2Rvd25yZXYueG1s&#10;UEsFBgAAAAAEAAQA8wAAAGYGAAAAAA==&#10;" stroked="f" strokeweight=".5pt">
              <v:textbox>
                <w:txbxContent>
                  <w:p w:rsidR="00477DEC" w:rsidRPr="00324EB0" w:rsidRDefault="00477DEC" w:rsidP="00271A4F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9047FC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9047FC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9047FC"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9047FC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3D64DD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875" w:rsidRDefault="003D08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8886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DAB1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D6E7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66F9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7A32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76A6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36AC7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E6F9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7087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DA57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10FE7"/>
    <w:multiLevelType w:val="hybridMultilevel"/>
    <w:tmpl w:val="8A9E3BD8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044D280E"/>
    <w:multiLevelType w:val="hybridMultilevel"/>
    <w:tmpl w:val="CD583116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1B03710E"/>
    <w:multiLevelType w:val="multilevel"/>
    <w:tmpl w:val="6F7076BC"/>
    <w:styleLink w:val="OPCBodyList"/>
    <w:lvl w:ilvl="0">
      <w:start w:val="1"/>
      <w:numFmt w:val="decimal"/>
      <w:pStyle w:val="BodyNum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BodyPara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pStyle w:val="BodyPara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pStyle w:val="BodySubPara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3F101AFA"/>
    <w:multiLevelType w:val="hybridMultilevel"/>
    <w:tmpl w:val="63C610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ED4EA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E5C5713"/>
    <w:multiLevelType w:val="hybridMultilevel"/>
    <w:tmpl w:val="A482A4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5"/>
  </w:num>
  <w:num w:numId="13">
    <w:abstractNumId w:val="12"/>
  </w:num>
  <w:num w:numId="14">
    <w:abstractNumId w:val="14"/>
  </w:num>
  <w:num w:numId="15">
    <w:abstractNumId w:val="16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B33"/>
    <w:rsid w:val="000136AF"/>
    <w:rsid w:val="00022B7E"/>
    <w:rsid w:val="000337F7"/>
    <w:rsid w:val="00036B0B"/>
    <w:rsid w:val="00037921"/>
    <w:rsid w:val="00056743"/>
    <w:rsid w:val="000614BF"/>
    <w:rsid w:val="000C604C"/>
    <w:rsid w:val="000D05EF"/>
    <w:rsid w:val="0010745C"/>
    <w:rsid w:val="00166C2F"/>
    <w:rsid w:val="00174846"/>
    <w:rsid w:val="001939E1"/>
    <w:rsid w:val="00195382"/>
    <w:rsid w:val="001C69C4"/>
    <w:rsid w:val="001E3590"/>
    <w:rsid w:val="001E7407"/>
    <w:rsid w:val="00253D1B"/>
    <w:rsid w:val="00295FBA"/>
    <w:rsid w:val="002970D7"/>
    <w:rsid w:val="00297ECB"/>
    <w:rsid w:val="002D043A"/>
    <w:rsid w:val="002D6A8E"/>
    <w:rsid w:val="00311448"/>
    <w:rsid w:val="0031148E"/>
    <w:rsid w:val="00352B0F"/>
    <w:rsid w:val="00360FB0"/>
    <w:rsid w:val="003B5735"/>
    <w:rsid w:val="003D0875"/>
    <w:rsid w:val="003D0BFE"/>
    <w:rsid w:val="003D5700"/>
    <w:rsid w:val="003D64DD"/>
    <w:rsid w:val="003D6F8A"/>
    <w:rsid w:val="003E4160"/>
    <w:rsid w:val="004116CD"/>
    <w:rsid w:val="00424CA9"/>
    <w:rsid w:val="0044291A"/>
    <w:rsid w:val="00450A86"/>
    <w:rsid w:val="004560FB"/>
    <w:rsid w:val="004653F8"/>
    <w:rsid w:val="00477DEC"/>
    <w:rsid w:val="00496F97"/>
    <w:rsid w:val="00516B8D"/>
    <w:rsid w:val="005327A0"/>
    <w:rsid w:val="00537FBC"/>
    <w:rsid w:val="00584811"/>
    <w:rsid w:val="00594161"/>
    <w:rsid w:val="00594749"/>
    <w:rsid w:val="005A53BC"/>
    <w:rsid w:val="00600219"/>
    <w:rsid w:val="00616299"/>
    <w:rsid w:val="006207A3"/>
    <w:rsid w:val="006279B8"/>
    <w:rsid w:val="00677CC2"/>
    <w:rsid w:val="00680F77"/>
    <w:rsid w:val="0069207B"/>
    <w:rsid w:val="006C7F8C"/>
    <w:rsid w:val="006D77BA"/>
    <w:rsid w:val="006E2E9F"/>
    <w:rsid w:val="00704A73"/>
    <w:rsid w:val="007276BC"/>
    <w:rsid w:val="00731E00"/>
    <w:rsid w:val="00733990"/>
    <w:rsid w:val="00766393"/>
    <w:rsid w:val="007715C9"/>
    <w:rsid w:val="00774EDD"/>
    <w:rsid w:val="00775577"/>
    <w:rsid w:val="007757EC"/>
    <w:rsid w:val="007C2EDD"/>
    <w:rsid w:val="008006B2"/>
    <w:rsid w:val="00856A31"/>
    <w:rsid w:val="008754D0"/>
    <w:rsid w:val="008E17F3"/>
    <w:rsid w:val="008E3B8C"/>
    <w:rsid w:val="009047FC"/>
    <w:rsid w:val="0094622F"/>
    <w:rsid w:val="0098638B"/>
    <w:rsid w:val="00A231E2"/>
    <w:rsid w:val="00A64912"/>
    <w:rsid w:val="00A70A74"/>
    <w:rsid w:val="00A91B5C"/>
    <w:rsid w:val="00AD5641"/>
    <w:rsid w:val="00AE5B97"/>
    <w:rsid w:val="00B04B33"/>
    <w:rsid w:val="00B33B3C"/>
    <w:rsid w:val="00BE719A"/>
    <w:rsid w:val="00BE720A"/>
    <w:rsid w:val="00C42BF8"/>
    <w:rsid w:val="00C50043"/>
    <w:rsid w:val="00C61CDD"/>
    <w:rsid w:val="00C7573B"/>
    <w:rsid w:val="00C83868"/>
    <w:rsid w:val="00C850C0"/>
    <w:rsid w:val="00CA3B2B"/>
    <w:rsid w:val="00CB3D6B"/>
    <w:rsid w:val="00CB48D8"/>
    <w:rsid w:val="00CF0BB2"/>
    <w:rsid w:val="00D13441"/>
    <w:rsid w:val="00D70DFB"/>
    <w:rsid w:val="00D766DF"/>
    <w:rsid w:val="00DB3CFE"/>
    <w:rsid w:val="00DE7073"/>
    <w:rsid w:val="00E74DC7"/>
    <w:rsid w:val="00ED0C49"/>
    <w:rsid w:val="00EF2E3A"/>
    <w:rsid w:val="00F04811"/>
    <w:rsid w:val="00F078DC"/>
    <w:rsid w:val="00F23E5F"/>
    <w:rsid w:val="00F51269"/>
    <w:rsid w:val="00FD456C"/>
    <w:rsid w:val="00FE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7CBDE6-FC56-49CE-AE87-D850F7848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C69C4"/>
    <w:pPr>
      <w:spacing w:line="260" w:lineRule="atLeast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rsid w:val="00F04811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Normal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</w:style>
  <w:style w:type="character" w:customStyle="1" w:styleId="CharAmPartText">
    <w:name w:val="CharAmPartText"/>
    <w:basedOn w:val="OPCCharBase"/>
    <w:uiPriority w:val="1"/>
    <w:qFormat/>
    <w:rsid w:val="00A231E2"/>
  </w:style>
  <w:style w:type="character" w:customStyle="1" w:styleId="CharAmSchNo">
    <w:name w:val="CharAmSchNo"/>
    <w:basedOn w:val="OPCCharBase"/>
    <w:uiPriority w:val="1"/>
    <w:qFormat/>
    <w:rsid w:val="00A231E2"/>
  </w:style>
  <w:style w:type="character" w:customStyle="1" w:styleId="CharAmSchText">
    <w:name w:val="CharAmSchText"/>
    <w:basedOn w:val="OPCCharBase"/>
    <w:uiPriority w:val="1"/>
    <w:qFormat/>
    <w:rsid w:val="00A231E2"/>
  </w:style>
  <w:style w:type="character" w:customStyle="1" w:styleId="CharBoldItalic">
    <w:name w:val="CharBoldItalic"/>
    <w:basedOn w:val="OPCCharBase"/>
    <w:uiPriority w:val="1"/>
    <w:qFormat/>
    <w:rsid w:val="00A231E2"/>
    <w:rPr>
      <w:b/>
      <w:i/>
    </w:rPr>
  </w:style>
  <w:style w:type="character" w:customStyle="1" w:styleId="CharChapNo">
    <w:name w:val="CharChapNo"/>
    <w:basedOn w:val="OPCCharBase"/>
    <w:uiPriority w:val="1"/>
    <w:qFormat/>
    <w:rsid w:val="00A231E2"/>
  </w:style>
  <w:style w:type="character" w:customStyle="1" w:styleId="CharChapText">
    <w:name w:val="CharChapText"/>
    <w:basedOn w:val="OPCCharBase"/>
    <w:uiPriority w:val="1"/>
    <w:qFormat/>
    <w:rsid w:val="00A231E2"/>
  </w:style>
  <w:style w:type="character" w:customStyle="1" w:styleId="CharDivNo">
    <w:name w:val="CharDivNo"/>
    <w:basedOn w:val="OPCCharBase"/>
    <w:uiPriority w:val="1"/>
    <w:qFormat/>
    <w:rsid w:val="00A231E2"/>
  </w:style>
  <w:style w:type="character" w:customStyle="1" w:styleId="CharDivText">
    <w:name w:val="CharDivText"/>
    <w:basedOn w:val="OPCCharBase"/>
    <w:uiPriority w:val="1"/>
    <w:qFormat/>
    <w:rsid w:val="00A231E2"/>
  </w:style>
  <w:style w:type="character" w:customStyle="1" w:styleId="CharItalic">
    <w:name w:val="CharItalic"/>
    <w:basedOn w:val="OPCCharBase"/>
    <w:uiPriority w:val="1"/>
    <w:qFormat/>
    <w:rsid w:val="00A231E2"/>
    <w:rPr>
      <w:i/>
    </w:rPr>
  </w:style>
  <w:style w:type="character" w:customStyle="1" w:styleId="CharPartNo">
    <w:name w:val="CharPartNo"/>
    <w:basedOn w:val="OPCCharBase"/>
    <w:uiPriority w:val="1"/>
    <w:qFormat/>
    <w:rsid w:val="00A231E2"/>
  </w:style>
  <w:style w:type="character" w:customStyle="1" w:styleId="CharPartText">
    <w:name w:val="CharPartText"/>
    <w:basedOn w:val="OPCCharBase"/>
    <w:uiPriority w:val="1"/>
    <w:qFormat/>
    <w:rsid w:val="00A231E2"/>
  </w:style>
  <w:style w:type="character" w:customStyle="1" w:styleId="CharSectno">
    <w:name w:val="CharSectno"/>
    <w:basedOn w:val="OPCCharBase"/>
    <w:uiPriority w:val="1"/>
    <w:qFormat/>
    <w:rsid w:val="00A231E2"/>
  </w:style>
  <w:style w:type="character" w:customStyle="1" w:styleId="CharSubdNo">
    <w:name w:val="CharSubdNo"/>
    <w:basedOn w:val="OPCCharBase"/>
    <w:uiPriority w:val="1"/>
    <w:qFormat/>
    <w:rsid w:val="00A231E2"/>
  </w:style>
  <w:style w:type="character" w:customStyle="1" w:styleId="CharSubdText">
    <w:name w:val="CharSubdText"/>
    <w:basedOn w:val="OPCCharBase"/>
    <w:uiPriority w:val="1"/>
    <w:qFormat/>
    <w:rsid w:val="00A231E2"/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F04811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7715C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7715C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7715C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7715C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9C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7757EC"/>
    <w:pPr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para">
    <w:name w:val="note(para)"/>
    <w:aliases w:val="na"/>
    <w:basedOn w:val="OPCParaBase"/>
    <w:rsid w:val="00F51269"/>
    <w:pPr>
      <w:spacing w:before="40" w:line="198" w:lineRule="exact"/>
      <w:ind w:left="2354" w:hanging="36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A64912"/>
    <w:pPr>
      <w:spacing w:line="240" w:lineRule="auto"/>
    </w:pPr>
    <w:rPr>
      <w:sz w:val="1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594161"/>
    <w:pPr>
      <w:numPr>
        <w:numId w:val="11"/>
      </w:numPr>
      <w:tabs>
        <w:tab w:val="clear" w:pos="2517"/>
      </w:tabs>
      <w:spacing w:before="60" w:line="198" w:lineRule="exact"/>
      <w:ind w:left="2625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A91B5C"/>
    <w:pPr>
      <w:spacing w:line="240" w:lineRule="auto"/>
    </w:pPr>
    <w:rPr>
      <w:sz w:val="24"/>
    </w:rPr>
  </w:style>
  <w:style w:type="paragraph" w:styleId="TOC2">
    <w:name w:val="toc 2"/>
    <w:basedOn w:val="OPCParaBase"/>
    <w:next w:val="Normal"/>
    <w:uiPriority w:val="39"/>
    <w:unhideWhenUsed/>
    <w:rsid w:val="00A91B5C"/>
    <w:pPr>
      <w:tabs>
        <w:tab w:val="right" w:leader="dot" w:pos="9017"/>
      </w:tabs>
      <w:spacing w:line="240" w:lineRule="auto"/>
      <w:ind w:left="238"/>
    </w:pPr>
    <w:rPr>
      <w:b/>
      <w:noProof/>
      <w:sz w:val="24"/>
    </w:rPr>
  </w:style>
  <w:style w:type="paragraph" w:styleId="TOC3">
    <w:name w:val="toc 3"/>
    <w:basedOn w:val="OPCParaBase"/>
    <w:next w:val="Normal"/>
    <w:uiPriority w:val="39"/>
    <w:unhideWhenUsed/>
    <w:rsid w:val="00A91B5C"/>
    <w:pPr>
      <w:tabs>
        <w:tab w:val="right" w:leader="dot" w:pos="9017"/>
      </w:tabs>
      <w:spacing w:line="240" w:lineRule="auto"/>
      <w:ind w:left="482"/>
    </w:pPr>
    <w:rPr>
      <w:noProof/>
      <w:sz w:val="24"/>
    </w:rPr>
  </w:style>
  <w:style w:type="paragraph" w:styleId="TOC4">
    <w:name w:val="toc 4"/>
    <w:basedOn w:val="OPCParaBase"/>
    <w:next w:val="Normal"/>
    <w:uiPriority w:val="39"/>
    <w:unhideWhenUsed/>
    <w:rsid w:val="00A91B5C"/>
    <w:pPr>
      <w:tabs>
        <w:tab w:val="right" w:leader="dot" w:pos="9017"/>
      </w:tabs>
      <w:spacing w:line="240" w:lineRule="auto"/>
      <w:ind w:left="720"/>
    </w:pPr>
    <w:rPr>
      <w:noProof/>
      <w:sz w:val="24"/>
    </w:rPr>
  </w:style>
  <w:style w:type="paragraph" w:styleId="TOC5">
    <w:name w:val="toc 5"/>
    <w:basedOn w:val="OPCParaBase"/>
    <w:next w:val="Normal"/>
    <w:uiPriority w:val="39"/>
    <w:semiHidden/>
    <w:unhideWhenUsed/>
    <w:rsid w:val="00A91B5C"/>
    <w:pPr>
      <w:spacing w:line="240" w:lineRule="auto"/>
      <w:ind w:left="958"/>
    </w:pPr>
    <w:rPr>
      <w:sz w:val="24"/>
    </w:rPr>
  </w:style>
  <w:style w:type="paragraph" w:styleId="TOC6">
    <w:name w:val="toc 6"/>
    <w:basedOn w:val="OPCParaBase"/>
    <w:next w:val="Normal"/>
    <w:uiPriority w:val="39"/>
    <w:semiHidden/>
    <w:unhideWhenUsed/>
    <w:rsid w:val="00A91B5C"/>
    <w:pPr>
      <w:spacing w:line="240" w:lineRule="auto"/>
      <w:ind w:left="1202"/>
    </w:pPr>
    <w:rPr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A91B5C"/>
    <w:pPr>
      <w:spacing w:line="240" w:lineRule="auto"/>
      <w:ind w:left="1440"/>
    </w:pPr>
    <w:rPr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A91B5C"/>
    <w:pPr>
      <w:spacing w:line="240" w:lineRule="auto"/>
      <w:ind w:left="1678"/>
    </w:pPr>
    <w:rPr>
      <w:sz w:val="24"/>
    </w:rPr>
  </w:style>
  <w:style w:type="paragraph" w:styleId="TOC9">
    <w:name w:val="toc 9"/>
    <w:basedOn w:val="OPCParaBase"/>
    <w:next w:val="Normal"/>
    <w:uiPriority w:val="39"/>
    <w:unhideWhenUsed/>
    <w:rsid w:val="00A91B5C"/>
    <w:pPr>
      <w:spacing w:line="240" w:lineRule="auto"/>
      <w:ind w:left="1922"/>
    </w:pPr>
    <w:rPr>
      <w:sz w:val="24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Body">
    <w:name w:val="Body"/>
    <w:aliases w:val="b"/>
    <w:basedOn w:val="OPCParaBase"/>
    <w:uiPriority w:val="99"/>
    <w:rsid w:val="00F23E5F"/>
    <w:pPr>
      <w:spacing w:before="240" w:line="240" w:lineRule="auto"/>
    </w:pPr>
    <w:rPr>
      <w:sz w:val="24"/>
    </w:rPr>
  </w:style>
  <w:style w:type="paragraph" w:customStyle="1" w:styleId="BodyNum">
    <w:name w:val="BodyNum"/>
    <w:aliases w:val="b1"/>
    <w:basedOn w:val="OPCParaBase"/>
    <w:rsid w:val="00680F77"/>
    <w:pPr>
      <w:numPr>
        <w:numId w:val="13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680F77"/>
    <w:pPr>
      <w:numPr>
        <w:ilvl w:val="1"/>
        <w:numId w:val="13"/>
      </w:numPr>
      <w:spacing w:before="240" w:line="240" w:lineRule="auto"/>
    </w:pPr>
    <w:rPr>
      <w:sz w:val="24"/>
    </w:rPr>
  </w:style>
  <w:style w:type="paragraph" w:customStyle="1" w:styleId="BodyParaBullet">
    <w:name w:val="BodyParaBullet"/>
    <w:aliases w:val="bpb"/>
    <w:basedOn w:val="OPCParaBase"/>
    <w:rsid w:val="00680F77"/>
    <w:pPr>
      <w:numPr>
        <w:ilvl w:val="2"/>
        <w:numId w:val="13"/>
      </w:numPr>
      <w:tabs>
        <w:tab w:val="left" w:pos="2160"/>
      </w:tabs>
      <w:spacing w:before="240" w:line="240" w:lineRule="auto"/>
    </w:pPr>
    <w:rPr>
      <w:sz w:val="24"/>
    </w:rPr>
  </w:style>
  <w:style w:type="paragraph" w:customStyle="1" w:styleId="BodySubPara">
    <w:name w:val="BodySubPara"/>
    <w:aliases w:val="bi"/>
    <w:basedOn w:val="OPCParaBase"/>
    <w:rsid w:val="00680F77"/>
    <w:pPr>
      <w:numPr>
        <w:ilvl w:val="3"/>
        <w:numId w:val="13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680F77"/>
    <w:pPr>
      <w:numPr>
        <w:numId w:val="13"/>
      </w:numPr>
    </w:pPr>
  </w:style>
  <w:style w:type="paragraph" w:customStyle="1" w:styleId="Head1">
    <w:name w:val="Head 1"/>
    <w:aliases w:val="1"/>
    <w:basedOn w:val="OPCParaBase"/>
    <w:next w:val="BodyNum"/>
    <w:rsid w:val="008E3B8C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8E3B8C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8E3B8C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paragraph" w:customStyle="1" w:styleId="Head4">
    <w:name w:val="Head 4"/>
    <w:aliases w:val="4"/>
    <w:basedOn w:val="OPCParaBase"/>
    <w:next w:val="BodyNum"/>
    <w:rsid w:val="00253D1B"/>
    <w:pPr>
      <w:keepNext/>
      <w:spacing w:before="240" w:after="60" w:line="240" w:lineRule="auto"/>
      <w:outlineLvl w:val="3"/>
    </w:pPr>
    <w:rPr>
      <w:rFonts w:ascii="Arial" w:hAnsi="Arial"/>
      <w:b/>
      <w:kern w:val="28"/>
    </w:rPr>
  </w:style>
  <w:style w:type="paragraph" w:customStyle="1" w:styleId="Head5">
    <w:name w:val="Head 5"/>
    <w:aliases w:val="5"/>
    <w:basedOn w:val="OPCParaBase"/>
    <w:next w:val="BodyNum"/>
    <w:rsid w:val="00253D1B"/>
    <w:pPr>
      <w:keepNext/>
      <w:spacing w:before="240" w:after="60" w:line="240" w:lineRule="auto"/>
      <w:outlineLvl w:val="4"/>
    </w:pPr>
    <w:rPr>
      <w:rFonts w:ascii="Arial" w:hAnsi="Arial"/>
      <w:b/>
      <w:i/>
      <w:kern w:val="28"/>
    </w:rPr>
  </w:style>
  <w:style w:type="paragraph" w:customStyle="1" w:styleId="noteToPara">
    <w:name w:val="noteToPara"/>
    <w:aliases w:val="ntp"/>
    <w:basedOn w:val="OPCParaBase"/>
    <w:rsid w:val="00F51269"/>
    <w:pPr>
      <w:spacing w:before="122" w:line="198" w:lineRule="exact"/>
      <w:ind w:left="2353" w:hanging="709"/>
    </w:pPr>
    <w:rPr>
      <w:sz w:val="18"/>
    </w:rPr>
  </w:style>
  <w:style w:type="paragraph" w:styleId="Footer">
    <w:name w:val="footer"/>
    <w:link w:val="FooterChar"/>
    <w:rsid w:val="008E17F3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8E17F3"/>
    <w:rPr>
      <w:rFonts w:eastAsia="Times New Roman" w:cs="Times New Roman"/>
      <w:sz w:val="22"/>
      <w:szCs w:val="24"/>
      <w:lang w:eastAsia="en-AU"/>
    </w:rPr>
  </w:style>
  <w:style w:type="character" w:styleId="PageNumber">
    <w:name w:val="page number"/>
    <w:basedOn w:val="DefaultParagraphFont"/>
    <w:rsid w:val="008E17F3"/>
  </w:style>
  <w:style w:type="paragraph" w:styleId="BalloonText">
    <w:name w:val="Balloon Text"/>
    <w:basedOn w:val="Normal"/>
    <w:link w:val="BalloonTextChar"/>
    <w:uiPriority w:val="99"/>
    <w:semiHidden/>
    <w:unhideWhenUsed/>
    <w:rsid w:val="007663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93"/>
    <w:rPr>
      <w:rFonts w:ascii="Tahoma" w:hAnsi="Tahoma" w:cs="Tahoma"/>
      <w:sz w:val="16"/>
      <w:szCs w:val="16"/>
    </w:rPr>
  </w:style>
  <w:style w:type="paragraph" w:customStyle="1" w:styleId="MessShortTitle">
    <w:name w:val="MessShortTitle"/>
    <w:basedOn w:val="Head2"/>
    <w:rsid w:val="00022B7E"/>
  </w:style>
  <w:style w:type="paragraph" w:customStyle="1" w:styleId="notetext">
    <w:name w:val="note(text)"/>
    <w:aliases w:val="n"/>
    <w:basedOn w:val="OPCParaBase"/>
    <w:rsid w:val="00775577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6279B8"/>
    <w:rPr>
      <w:rFonts w:ascii="Arial" w:hAnsi="Arial"/>
      <w:sz w:val="22"/>
    </w:rPr>
  </w:style>
  <w:style w:type="paragraph" w:customStyle="1" w:styleId="SOTextNote">
    <w:name w:val="SO TextNote"/>
    <w:aliases w:val="sont"/>
    <w:basedOn w:val="Normal"/>
    <w:qFormat/>
    <w:rsid w:val="003D6F8A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Normal"/>
    <w:link w:val="SOParaChar"/>
    <w:qFormat/>
    <w:rsid w:val="00CB48D8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tabs>
        <w:tab w:val="right" w:pos="1786"/>
      </w:tabs>
      <w:spacing w:before="40" w:line="240" w:lineRule="auto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CB48D8"/>
    <w:rPr>
      <w:sz w:val="22"/>
    </w:rPr>
  </w:style>
  <w:style w:type="paragraph" w:customStyle="1" w:styleId="SOHeadItalic">
    <w:name w:val="SO HeadItalic"/>
    <w:aliases w:val="sohi"/>
    <w:basedOn w:val="Normal"/>
    <w:next w:val="Normal"/>
    <w:link w:val="SOHeadItalicChar"/>
    <w:qFormat/>
    <w:rsid w:val="00DE707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DE7073"/>
    <w:rPr>
      <w:i/>
      <w:sz w:val="22"/>
    </w:rPr>
  </w:style>
  <w:style w:type="paragraph" w:customStyle="1" w:styleId="SOHeadBold">
    <w:name w:val="SO HeadBold"/>
    <w:aliases w:val="sohb"/>
    <w:basedOn w:val="Normal"/>
    <w:next w:val="Normal"/>
    <w:link w:val="SOHeadBoldChar"/>
    <w:qFormat/>
    <w:rsid w:val="00704A7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704A73"/>
    <w:rPr>
      <w:b/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0C604C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0C604C"/>
    <w:rPr>
      <w:sz w:val="18"/>
    </w:rPr>
  </w:style>
  <w:style w:type="paragraph" w:customStyle="1" w:styleId="SOBullet">
    <w:name w:val="SO Bullet"/>
    <w:aliases w:val="sotb"/>
    <w:basedOn w:val="Normal"/>
    <w:link w:val="SOBulletChar"/>
    <w:qFormat/>
    <w:rsid w:val="006D77BA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character" w:customStyle="1" w:styleId="SOBulletChar">
    <w:name w:val="SO Bullet Char"/>
    <w:aliases w:val="sotb Char"/>
    <w:basedOn w:val="DefaultParagraphFont"/>
    <w:link w:val="SOBullet"/>
    <w:rsid w:val="006D77BA"/>
    <w:rPr>
      <w:sz w:val="22"/>
    </w:rPr>
  </w:style>
  <w:style w:type="paragraph" w:customStyle="1" w:styleId="TableHeading">
    <w:name w:val="TableHeading"/>
    <w:aliases w:val="th"/>
    <w:basedOn w:val="OPCParaBase"/>
    <w:next w:val="Tabletext"/>
    <w:rsid w:val="00CB3D6B"/>
    <w:pPr>
      <w:keepNext/>
      <w:spacing w:before="60" w:line="240" w:lineRule="atLeast"/>
    </w:pPr>
    <w:rPr>
      <w:b/>
      <w:sz w:val="20"/>
    </w:rPr>
  </w:style>
  <w:style w:type="paragraph" w:customStyle="1" w:styleId="SubPartCASA">
    <w:name w:val="SubPart(CASA)"/>
    <w:aliases w:val="csp"/>
    <w:basedOn w:val="OPCParaBase"/>
    <w:next w:val="ActHead3"/>
    <w:rsid w:val="00450A86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paragraph" w:customStyle="1" w:styleId="SundryBoxBullet">
    <w:name w:val="SundryBoxBullet"/>
    <w:aliases w:val="sbb"/>
    <w:basedOn w:val="Normal"/>
    <w:rsid w:val="00FD456C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425" w:hanging="425"/>
    </w:pPr>
    <w:rPr>
      <w:sz w:val="24"/>
      <w:szCs w:val="24"/>
    </w:rPr>
  </w:style>
  <w:style w:type="paragraph" w:customStyle="1" w:styleId="SundryBoxHeadBold">
    <w:name w:val="SundryBoxHeadBold"/>
    <w:aliases w:val="sbhb"/>
    <w:basedOn w:val="Normal"/>
    <w:rsid w:val="00FD456C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</w:pPr>
    <w:rPr>
      <w:rFonts w:eastAsia="Times New Roman" w:cs="Times New Roman"/>
      <w:b/>
      <w:sz w:val="24"/>
      <w:szCs w:val="24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04B33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4B33"/>
  </w:style>
  <w:style w:type="character" w:styleId="FootnoteReference">
    <w:name w:val="footnote reference"/>
    <w:basedOn w:val="DefaultParagraphFont"/>
    <w:uiPriority w:val="99"/>
    <w:semiHidden/>
    <w:unhideWhenUsed/>
    <w:rsid w:val="00B04B3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04B33"/>
    <w:rPr>
      <w:color w:val="003399"/>
      <w:u w:val="single"/>
    </w:rPr>
  </w:style>
  <w:style w:type="table" w:customStyle="1" w:styleId="GridTable5Dark1">
    <w:name w:val="Grid Table 5 Dark1"/>
    <w:basedOn w:val="TableNormal"/>
    <w:next w:val="GridTable5Dark"/>
    <w:uiPriority w:val="50"/>
    <w:rsid w:val="0031148E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GridTable5Dark">
    <w:name w:val="Grid Table 5 Dark"/>
    <w:basedOn w:val="TableNormal"/>
    <w:uiPriority w:val="50"/>
    <w:rsid w:val="003114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0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yperlink" Target="https://www.opc.gov.au/drafting-resources/drafting-manual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pc.gov.au/sites/default/files/2023-09/Instrument%20Drafting%20Guidance%20Note%20No.%201.3%20-%20Judging%20size%20and%20complexity%20for%20instrument%20projects_0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opc.gov.au/drafting-resources/drafting-directions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opc.gov.au/drafting-resources/drafting-manual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Sundry\Sund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Sundry.dotx</Template>
  <TotalTime>1</TotalTime>
  <Pages>2</Pages>
  <Words>910</Words>
  <Characters>4905</Characters>
  <Application>Microsoft Office Word</Application>
  <DocSecurity>0</DocSecurity>
  <Lines>109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Instrument Drafting Guidance Note No. 1.4 Timeframes for the development of instruments_x000d_
</vt:lpstr>
    </vt:vector>
  </TitlesOfParts>
  <Company>Office of Parliamentary Counsel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 Drafting Guidance Note No. 1.4 Timeframes for the development of instruments</dc:title>
  <dc:subject/>
  <dc:creator>bishops</dc:creator>
  <cp:keywords/>
  <dc:description/>
  <cp:lastModifiedBy>Bishop, Sally</cp:lastModifiedBy>
  <cp:revision>2</cp:revision>
  <dcterms:created xsi:type="dcterms:W3CDTF">2024-01-22T23:49:00Z</dcterms:created>
  <dcterms:modified xsi:type="dcterms:W3CDTF">2024-01-22T23:49:00Z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 </vt:lpwstr>
  </property>
  <property fmtid="{D5CDD505-2E9C-101B-9397-08002B2CF9AE}" pid="3" name="DLM">
    <vt:lpwstr> </vt:lpwstr>
  </property>
</Properties>
</file>