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3D83" w:rsidRDefault="00013D83" w:rsidP="006B3796">
      <w:pPr>
        <w:pStyle w:val="Head1"/>
      </w:pPr>
      <w:r w:rsidRPr="006B3796">
        <w:t>Drafting Direction No. 1.8</w:t>
      </w:r>
      <w:r w:rsidRPr="006B3796">
        <w:br/>
        <w:t>Special rules for Tax Code drafting</w:t>
      </w:r>
    </w:p>
    <w:p w:rsidR="00F560BE" w:rsidRDefault="00F560BE" w:rsidP="00F560BE">
      <w:pPr>
        <w:pStyle w:val="Release"/>
      </w:pPr>
      <w:r>
        <w:t>Document release 1.</w:t>
      </w:r>
      <w:r w:rsidR="00526189">
        <w:t>1</w:t>
      </w:r>
    </w:p>
    <w:p w:rsidR="00F560BE" w:rsidRPr="00F81530" w:rsidRDefault="007A74C5" w:rsidP="00F560BE">
      <w:pPr>
        <w:pStyle w:val="Issued"/>
      </w:pPr>
      <w:r>
        <w:t>Rei</w:t>
      </w:r>
      <w:r w:rsidR="00F560BE">
        <w:t xml:space="preserve">ssued </w:t>
      </w:r>
      <w:r w:rsidR="00526189">
        <w:t>September 2023</w:t>
      </w:r>
    </w:p>
    <w:p w:rsidR="00F560BE" w:rsidRPr="00F20445" w:rsidRDefault="00F560BE" w:rsidP="00F560BE"/>
    <w:p w:rsidR="00013D83" w:rsidRPr="006B3796" w:rsidRDefault="00013D83" w:rsidP="00013D83">
      <w:pPr>
        <w:rPr>
          <w:sz w:val="32"/>
        </w:rPr>
      </w:pPr>
      <w:r w:rsidRPr="006B3796">
        <w:rPr>
          <w:sz w:val="32"/>
        </w:rPr>
        <w:t>Contents</w:t>
      </w:r>
    </w:p>
    <w:p w:rsidR="00EB4B4D" w:rsidRDefault="006B4552">
      <w:pPr>
        <w:pStyle w:val="TOC2"/>
        <w:rPr>
          <w:rFonts w:asciiTheme="minorHAnsi" w:eastAsiaTheme="minorEastAsia" w:hAnsiTheme="minorHAnsi" w:cstheme="minorBidi"/>
          <w:b w:val="0"/>
          <w:sz w:val="22"/>
          <w:szCs w:val="22"/>
        </w:rPr>
      </w:pPr>
      <w:r w:rsidRPr="00EB4B4D">
        <w:fldChar w:fldCharType="begin"/>
      </w:r>
      <w:r w:rsidR="00013D83" w:rsidRPr="006B3796">
        <w:instrText xml:space="preserve"> TOC \o "2-9" </w:instrText>
      </w:r>
      <w:r w:rsidRPr="00EB4B4D">
        <w:fldChar w:fldCharType="separate"/>
      </w:r>
      <w:r w:rsidR="00EB4B4D">
        <w:t>Part 1—Creating the Tax Code</w:t>
      </w:r>
      <w:r w:rsidR="00EB4B4D" w:rsidRPr="00EB4B4D">
        <w:rPr>
          <w:b w:val="0"/>
          <w:sz w:val="20"/>
        </w:rPr>
        <w:tab/>
      </w:r>
      <w:r w:rsidR="00EB4B4D" w:rsidRPr="00EB4B4D">
        <w:rPr>
          <w:b w:val="0"/>
          <w:sz w:val="20"/>
        </w:rPr>
        <w:fldChar w:fldCharType="begin"/>
      </w:r>
      <w:r w:rsidR="00EB4B4D" w:rsidRPr="00EB4B4D">
        <w:rPr>
          <w:b w:val="0"/>
          <w:sz w:val="20"/>
        </w:rPr>
        <w:instrText xml:space="preserve"> PAGEREF _Toc144733627 \h </w:instrText>
      </w:r>
      <w:r w:rsidR="00EB4B4D" w:rsidRPr="00EB4B4D">
        <w:rPr>
          <w:b w:val="0"/>
          <w:sz w:val="20"/>
        </w:rPr>
      </w:r>
      <w:r w:rsidR="00EB4B4D" w:rsidRPr="00EB4B4D">
        <w:rPr>
          <w:b w:val="0"/>
          <w:sz w:val="20"/>
        </w:rPr>
        <w:fldChar w:fldCharType="separate"/>
      </w:r>
      <w:r w:rsidR="00EB4B4D" w:rsidRPr="00EB4B4D">
        <w:rPr>
          <w:b w:val="0"/>
          <w:sz w:val="20"/>
        </w:rPr>
        <w:t>3</w:t>
      </w:r>
      <w:r w:rsidR="00EB4B4D" w:rsidRPr="00EB4B4D">
        <w:rPr>
          <w:b w:val="0"/>
          <w:sz w:val="20"/>
        </w:rPr>
        <w:fldChar w:fldCharType="end"/>
      </w:r>
    </w:p>
    <w:p w:rsidR="00EB4B4D" w:rsidRDefault="00EB4B4D">
      <w:pPr>
        <w:pStyle w:val="TOC3"/>
        <w:rPr>
          <w:rFonts w:asciiTheme="minorHAnsi" w:eastAsiaTheme="minorEastAsia" w:hAnsiTheme="minorHAnsi" w:cstheme="minorBidi"/>
          <w:sz w:val="22"/>
          <w:szCs w:val="22"/>
        </w:rPr>
      </w:pPr>
      <w:r>
        <w:t>What is already in place</w:t>
      </w:r>
      <w:r w:rsidRPr="00EB4B4D">
        <w:rPr>
          <w:sz w:val="20"/>
        </w:rPr>
        <w:tab/>
      </w:r>
      <w:r w:rsidRPr="00EB4B4D">
        <w:rPr>
          <w:sz w:val="20"/>
        </w:rPr>
        <w:fldChar w:fldCharType="begin"/>
      </w:r>
      <w:r w:rsidRPr="00EB4B4D">
        <w:rPr>
          <w:sz w:val="20"/>
        </w:rPr>
        <w:instrText xml:space="preserve"> PAGEREF _Toc144733628 \h </w:instrText>
      </w:r>
      <w:r w:rsidRPr="00EB4B4D">
        <w:rPr>
          <w:sz w:val="20"/>
        </w:rPr>
      </w:r>
      <w:r w:rsidRPr="00EB4B4D">
        <w:rPr>
          <w:sz w:val="20"/>
        </w:rPr>
        <w:fldChar w:fldCharType="separate"/>
      </w:r>
      <w:r w:rsidRPr="00EB4B4D">
        <w:rPr>
          <w:sz w:val="20"/>
        </w:rPr>
        <w:t>3</w:t>
      </w:r>
      <w:r w:rsidRPr="00EB4B4D">
        <w:rPr>
          <w:sz w:val="20"/>
        </w:rPr>
        <w:fldChar w:fldCharType="end"/>
      </w:r>
    </w:p>
    <w:p w:rsidR="00EB4B4D" w:rsidRDefault="00EB4B4D">
      <w:pPr>
        <w:pStyle w:val="TOC3"/>
        <w:rPr>
          <w:rFonts w:asciiTheme="minorHAnsi" w:eastAsiaTheme="minorEastAsia" w:hAnsiTheme="minorHAnsi" w:cstheme="minorBidi"/>
          <w:sz w:val="22"/>
          <w:szCs w:val="22"/>
        </w:rPr>
      </w:pPr>
      <w:r>
        <w:t>Future additions to the Tax Code</w:t>
      </w:r>
      <w:r w:rsidRPr="00EB4B4D">
        <w:rPr>
          <w:sz w:val="20"/>
        </w:rPr>
        <w:tab/>
      </w:r>
      <w:r w:rsidRPr="00EB4B4D">
        <w:rPr>
          <w:sz w:val="20"/>
        </w:rPr>
        <w:fldChar w:fldCharType="begin"/>
      </w:r>
      <w:r w:rsidRPr="00EB4B4D">
        <w:rPr>
          <w:sz w:val="20"/>
        </w:rPr>
        <w:instrText xml:space="preserve"> PAGEREF _Toc144733629 \h </w:instrText>
      </w:r>
      <w:r w:rsidRPr="00EB4B4D">
        <w:rPr>
          <w:sz w:val="20"/>
        </w:rPr>
      </w:r>
      <w:r w:rsidRPr="00EB4B4D">
        <w:rPr>
          <w:sz w:val="20"/>
        </w:rPr>
        <w:fldChar w:fldCharType="separate"/>
      </w:r>
      <w:r w:rsidRPr="00EB4B4D">
        <w:rPr>
          <w:sz w:val="20"/>
        </w:rPr>
        <w:t>3</w:t>
      </w:r>
      <w:r w:rsidRPr="00EB4B4D">
        <w:rPr>
          <w:sz w:val="20"/>
        </w:rPr>
        <w:fldChar w:fldCharType="end"/>
      </w:r>
    </w:p>
    <w:p w:rsidR="00EB4B4D" w:rsidRDefault="00EB4B4D">
      <w:pPr>
        <w:pStyle w:val="TOC4"/>
        <w:rPr>
          <w:rFonts w:asciiTheme="minorHAnsi" w:eastAsiaTheme="minorEastAsia" w:hAnsiTheme="minorHAnsi" w:cstheme="minorBidi"/>
          <w:sz w:val="22"/>
          <w:szCs w:val="22"/>
        </w:rPr>
      </w:pPr>
      <w:r>
        <w:t>For the income tax law</w:t>
      </w:r>
      <w:r w:rsidRPr="00EB4B4D">
        <w:rPr>
          <w:sz w:val="20"/>
        </w:rPr>
        <w:tab/>
      </w:r>
      <w:r w:rsidRPr="00EB4B4D">
        <w:rPr>
          <w:sz w:val="20"/>
        </w:rPr>
        <w:fldChar w:fldCharType="begin"/>
      </w:r>
      <w:r w:rsidRPr="00EB4B4D">
        <w:rPr>
          <w:sz w:val="20"/>
        </w:rPr>
        <w:instrText xml:space="preserve"> PAGEREF _Toc144733630 \h </w:instrText>
      </w:r>
      <w:r w:rsidRPr="00EB4B4D">
        <w:rPr>
          <w:sz w:val="20"/>
        </w:rPr>
      </w:r>
      <w:r w:rsidRPr="00EB4B4D">
        <w:rPr>
          <w:sz w:val="20"/>
        </w:rPr>
        <w:fldChar w:fldCharType="separate"/>
      </w:r>
      <w:r w:rsidRPr="00EB4B4D">
        <w:rPr>
          <w:sz w:val="20"/>
        </w:rPr>
        <w:t>3</w:t>
      </w:r>
      <w:r w:rsidRPr="00EB4B4D">
        <w:rPr>
          <w:sz w:val="20"/>
        </w:rPr>
        <w:fldChar w:fldCharType="end"/>
      </w:r>
    </w:p>
    <w:p w:rsidR="00EB4B4D" w:rsidRDefault="00EB4B4D">
      <w:pPr>
        <w:pStyle w:val="TOC5"/>
        <w:tabs>
          <w:tab w:val="right" w:leader="dot" w:pos="9017"/>
        </w:tabs>
        <w:rPr>
          <w:rFonts w:asciiTheme="minorHAnsi" w:eastAsiaTheme="minorEastAsia" w:hAnsiTheme="minorHAnsi" w:cstheme="minorBidi"/>
          <w:noProof/>
          <w:sz w:val="22"/>
          <w:szCs w:val="22"/>
        </w:rPr>
      </w:pPr>
      <w:r>
        <w:rPr>
          <w:noProof/>
        </w:rPr>
        <w:t>Enacting new material</w:t>
      </w:r>
      <w:r w:rsidRPr="00EB4B4D">
        <w:rPr>
          <w:noProof/>
          <w:sz w:val="20"/>
        </w:rPr>
        <w:tab/>
      </w:r>
      <w:r w:rsidRPr="00EB4B4D">
        <w:rPr>
          <w:noProof/>
          <w:sz w:val="20"/>
        </w:rPr>
        <w:fldChar w:fldCharType="begin"/>
      </w:r>
      <w:r w:rsidRPr="00EB4B4D">
        <w:rPr>
          <w:noProof/>
          <w:sz w:val="20"/>
        </w:rPr>
        <w:instrText xml:space="preserve"> PAGEREF _Toc144733631 \h </w:instrText>
      </w:r>
      <w:r w:rsidRPr="00EB4B4D">
        <w:rPr>
          <w:noProof/>
          <w:sz w:val="20"/>
        </w:rPr>
      </w:r>
      <w:r w:rsidRPr="00EB4B4D">
        <w:rPr>
          <w:noProof/>
          <w:sz w:val="20"/>
        </w:rPr>
        <w:fldChar w:fldCharType="separate"/>
      </w:r>
      <w:r w:rsidRPr="00EB4B4D">
        <w:rPr>
          <w:noProof/>
          <w:sz w:val="20"/>
        </w:rPr>
        <w:t>3</w:t>
      </w:r>
      <w:r w:rsidRPr="00EB4B4D">
        <w:rPr>
          <w:noProof/>
          <w:sz w:val="20"/>
        </w:rPr>
        <w:fldChar w:fldCharType="end"/>
      </w:r>
    </w:p>
    <w:p w:rsidR="00EB4B4D" w:rsidRDefault="00EB4B4D">
      <w:pPr>
        <w:pStyle w:val="TOC5"/>
        <w:tabs>
          <w:tab w:val="right" w:leader="dot" w:pos="9017"/>
        </w:tabs>
        <w:rPr>
          <w:rFonts w:asciiTheme="minorHAnsi" w:eastAsiaTheme="minorEastAsia" w:hAnsiTheme="minorHAnsi" w:cstheme="minorBidi"/>
          <w:noProof/>
          <w:sz w:val="22"/>
          <w:szCs w:val="22"/>
        </w:rPr>
      </w:pPr>
      <w:r>
        <w:rPr>
          <w:noProof/>
        </w:rPr>
        <w:t>Completing the rewrite of the old income tax law</w:t>
      </w:r>
      <w:r w:rsidRPr="00EB4B4D">
        <w:rPr>
          <w:noProof/>
          <w:sz w:val="20"/>
        </w:rPr>
        <w:tab/>
      </w:r>
      <w:r w:rsidRPr="00EB4B4D">
        <w:rPr>
          <w:noProof/>
          <w:sz w:val="20"/>
        </w:rPr>
        <w:fldChar w:fldCharType="begin"/>
      </w:r>
      <w:r w:rsidRPr="00EB4B4D">
        <w:rPr>
          <w:noProof/>
          <w:sz w:val="20"/>
        </w:rPr>
        <w:instrText xml:space="preserve"> PAGEREF _Toc144733632 \h </w:instrText>
      </w:r>
      <w:r w:rsidRPr="00EB4B4D">
        <w:rPr>
          <w:noProof/>
          <w:sz w:val="20"/>
        </w:rPr>
      </w:r>
      <w:r w:rsidRPr="00EB4B4D">
        <w:rPr>
          <w:noProof/>
          <w:sz w:val="20"/>
        </w:rPr>
        <w:fldChar w:fldCharType="separate"/>
      </w:r>
      <w:r w:rsidRPr="00EB4B4D">
        <w:rPr>
          <w:noProof/>
          <w:sz w:val="20"/>
        </w:rPr>
        <w:t>4</w:t>
      </w:r>
      <w:r w:rsidRPr="00EB4B4D">
        <w:rPr>
          <w:noProof/>
          <w:sz w:val="20"/>
        </w:rPr>
        <w:fldChar w:fldCharType="end"/>
      </w:r>
    </w:p>
    <w:p w:rsidR="00EB4B4D" w:rsidRDefault="00EB4B4D">
      <w:pPr>
        <w:pStyle w:val="TOC4"/>
        <w:rPr>
          <w:rFonts w:asciiTheme="minorHAnsi" w:eastAsiaTheme="minorEastAsia" w:hAnsiTheme="minorHAnsi" w:cstheme="minorBidi"/>
          <w:sz w:val="22"/>
          <w:szCs w:val="22"/>
        </w:rPr>
      </w:pPr>
      <w:r>
        <w:t>For the Taxation Administration Act</w:t>
      </w:r>
      <w:r w:rsidRPr="00EB4B4D">
        <w:rPr>
          <w:sz w:val="20"/>
        </w:rPr>
        <w:tab/>
      </w:r>
      <w:r w:rsidRPr="00EB4B4D">
        <w:rPr>
          <w:sz w:val="20"/>
        </w:rPr>
        <w:fldChar w:fldCharType="begin"/>
      </w:r>
      <w:r w:rsidRPr="00EB4B4D">
        <w:rPr>
          <w:sz w:val="20"/>
        </w:rPr>
        <w:instrText xml:space="preserve"> PAGEREF _Toc144733633 \h </w:instrText>
      </w:r>
      <w:r w:rsidRPr="00EB4B4D">
        <w:rPr>
          <w:sz w:val="20"/>
        </w:rPr>
      </w:r>
      <w:r w:rsidRPr="00EB4B4D">
        <w:rPr>
          <w:sz w:val="20"/>
        </w:rPr>
        <w:fldChar w:fldCharType="separate"/>
      </w:r>
      <w:r w:rsidRPr="00EB4B4D">
        <w:rPr>
          <w:sz w:val="20"/>
        </w:rPr>
        <w:t>4</w:t>
      </w:r>
      <w:r w:rsidRPr="00EB4B4D">
        <w:rPr>
          <w:sz w:val="20"/>
        </w:rPr>
        <w:fldChar w:fldCharType="end"/>
      </w:r>
    </w:p>
    <w:p w:rsidR="00EB4B4D" w:rsidRDefault="00EB4B4D">
      <w:pPr>
        <w:pStyle w:val="TOC5"/>
        <w:tabs>
          <w:tab w:val="right" w:leader="dot" w:pos="9017"/>
        </w:tabs>
        <w:rPr>
          <w:rFonts w:asciiTheme="minorHAnsi" w:eastAsiaTheme="minorEastAsia" w:hAnsiTheme="minorHAnsi" w:cstheme="minorBidi"/>
          <w:noProof/>
          <w:sz w:val="22"/>
          <w:szCs w:val="22"/>
        </w:rPr>
      </w:pPr>
      <w:r>
        <w:rPr>
          <w:noProof/>
        </w:rPr>
        <w:t>Enacting new material</w:t>
      </w:r>
      <w:r w:rsidRPr="00EB4B4D">
        <w:rPr>
          <w:noProof/>
          <w:sz w:val="20"/>
        </w:rPr>
        <w:tab/>
      </w:r>
      <w:r w:rsidRPr="00EB4B4D">
        <w:rPr>
          <w:noProof/>
          <w:sz w:val="20"/>
        </w:rPr>
        <w:fldChar w:fldCharType="begin"/>
      </w:r>
      <w:r w:rsidRPr="00EB4B4D">
        <w:rPr>
          <w:noProof/>
          <w:sz w:val="20"/>
        </w:rPr>
        <w:instrText xml:space="preserve"> PAGEREF _Toc144733634 \h </w:instrText>
      </w:r>
      <w:r w:rsidRPr="00EB4B4D">
        <w:rPr>
          <w:noProof/>
          <w:sz w:val="20"/>
        </w:rPr>
      </w:r>
      <w:r w:rsidRPr="00EB4B4D">
        <w:rPr>
          <w:noProof/>
          <w:sz w:val="20"/>
        </w:rPr>
        <w:fldChar w:fldCharType="separate"/>
      </w:r>
      <w:r w:rsidRPr="00EB4B4D">
        <w:rPr>
          <w:noProof/>
          <w:sz w:val="20"/>
        </w:rPr>
        <w:t>4</w:t>
      </w:r>
      <w:r w:rsidRPr="00EB4B4D">
        <w:rPr>
          <w:noProof/>
          <w:sz w:val="20"/>
        </w:rPr>
        <w:fldChar w:fldCharType="end"/>
      </w:r>
    </w:p>
    <w:p w:rsidR="00EB4B4D" w:rsidRDefault="00EB4B4D">
      <w:pPr>
        <w:pStyle w:val="TOC5"/>
        <w:tabs>
          <w:tab w:val="right" w:leader="dot" w:pos="9017"/>
        </w:tabs>
        <w:rPr>
          <w:rFonts w:asciiTheme="minorHAnsi" w:eastAsiaTheme="minorEastAsia" w:hAnsiTheme="minorHAnsi" w:cstheme="minorBidi"/>
          <w:noProof/>
          <w:sz w:val="22"/>
          <w:szCs w:val="22"/>
        </w:rPr>
      </w:pPr>
      <w:r>
        <w:rPr>
          <w:noProof/>
        </w:rPr>
        <w:t>Completing the re</w:t>
      </w:r>
      <w:r>
        <w:rPr>
          <w:noProof/>
        </w:rPr>
        <w:noBreakHyphen/>
        <w:t>organisation of the old administration provisions</w:t>
      </w:r>
      <w:r w:rsidRPr="00EB4B4D">
        <w:rPr>
          <w:noProof/>
          <w:sz w:val="20"/>
        </w:rPr>
        <w:tab/>
      </w:r>
      <w:r w:rsidRPr="00EB4B4D">
        <w:rPr>
          <w:noProof/>
          <w:sz w:val="20"/>
        </w:rPr>
        <w:fldChar w:fldCharType="begin"/>
      </w:r>
      <w:r w:rsidRPr="00EB4B4D">
        <w:rPr>
          <w:noProof/>
          <w:sz w:val="20"/>
        </w:rPr>
        <w:instrText xml:space="preserve"> PAGEREF _Toc144733635 \h </w:instrText>
      </w:r>
      <w:r w:rsidRPr="00EB4B4D">
        <w:rPr>
          <w:noProof/>
          <w:sz w:val="20"/>
        </w:rPr>
      </w:r>
      <w:r w:rsidRPr="00EB4B4D">
        <w:rPr>
          <w:noProof/>
          <w:sz w:val="20"/>
        </w:rPr>
        <w:fldChar w:fldCharType="separate"/>
      </w:r>
      <w:r w:rsidRPr="00EB4B4D">
        <w:rPr>
          <w:noProof/>
          <w:sz w:val="20"/>
        </w:rPr>
        <w:t>4</w:t>
      </w:r>
      <w:r w:rsidRPr="00EB4B4D">
        <w:rPr>
          <w:noProof/>
          <w:sz w:val="20"/>
        </w:rPr>
        <w:fldChar w:fldCharType="end"/>
      </w:r>
    </w:p>
    <w:p w:rsidR="00EB4B4D" w:rsidRDefault="00EB4B4D">
      <w:pPr>
        <w:pStyle w:val="TOC4"/>
        <w:rPr>
          <w:rFonts w:asciiTheme="minorHAnsi" w:eastAsiaTheme="minorEastAsia" w:hAnsiTheme="minorHAnsi" w:cstheme="minorBidi"/>
          <w:sz w:val="22"/>
          <w:szCs w:val="22"/>
        </w:rPr>
      </w:pPr>
      <w:r>
        <w:t>Identifying other laws to become part of the Tax Code</w:t>
      </w:r>
      <w:r w:rsidRPr="00EB4B4D">
        <w:rPr>
          <w:sz w:val="20"/>
        </w:rPr>
        <w:tab/>
      </w:r>
      <w:r w:rsidRPr="00EB4B4D">
        <w:rPr>
          <w:sz w:val="20"/>
        </w:rPr>
        <w:fldChar w:fldCharType="begin"/>
      </w:r>
      <w:r w:rsidRPr="00EB4B4D">
        <w:rPr>
          <w:sz w:val="20"/>
        </w:rPr>
        <w:instrText xml:space="preserve"> PAGEREF _Toc144733636 \h </w:instrText>
      </w:r>
      <w:r w:rsidRPr="00EB4B4D">
        <w:rPr>
          <w:sz w:val="20"/>
        </w:rPr>
      </w:r>
      <w:r w:rsidRPr="00EB4B4D">
        <w:rPr>
          <w:sz w:val="20"/>
        </w:rPr>
        <w:fldChar w:fldCharType="separate"/>
      </w:r>
      <w:r w:rsidRPr="00EB4B4D">
        <w:rPr>
          <w:sz w:val="20"/>
        </w:rPr>
        <w:t>4</w:t>
      </w:r>
      <w:r w:rsidRPr="00EB4B4D">
        <w:rPr>
          <w:sz w:val="20"/>
        </w:rPr>
        <w:fldChar w:fldCharType="end"/>
      </w:r>
    </w:p>
    <w:p w:rsidR="00EB4B4D" w:rsidRDefault="00EB4B4D">
      <w:pPr>
        <w:pStyle w:val="TOC2"/>
        <w:rPr>
          <w:rFonts w:asciiTheme="minorHAnsi" w:eastAsiaTheme="minorEastAsia" w:hAnsiTheme="minorHAnsi" w:cstheme="minorBidi"/>
          <w:b w:val="0"/>
          <w:sz w:val="22"/>
          <w:szCs w:val="22"/>
        </w:rPr>
      </w:pPr>
      <w:r>
        <w:t>Part 2—The purpose of this Drafting Direction</w:t>
      </w:r>
      <w:r w:rsidRPr="00EB4B4D">
        <w:rPr>
          <w:b w:val="0"/>
          <w:sz w:val="20"/>
        </w:rPr>
        <w:tab/>
      </w:r>
      <w:r w:rsidRPr="00EB4B4D">
        <w:rPr>
          <w:b w:val="0"/>
          <w:sz w:val="20"/>
        </w:rPr>
        <w:fldChar w:fldCharType="begin"/>
      </w:r>
      <w:r w:rsidRPr="00EB4B4D">
        <w:rPr>
          <w:b w:val="0"/>
          <w:sz w:val="20"/>
        </w:rPr>
        <w:instrText xml:space="preserve"> PAGEREF _Toc144733637 \h </w:instrText>
      </w:r>
      <w:r w:rsidRPr="00EB4B4D">
        <w:rPr>
          <w:b w:val="0"/>
          <w:sz w:val="20"/>
        </w:rPr>
      </w:r>
      <w:r w:rsidRPr="00EB4B4D">
        <w:rPr>
          <w:b w:val="0"/>
          <w:sz w:val="20"/>
        </w:rPr>
        <w:fldChar w:fldCharType="separate"/>
      </w:r>
      <w:r w:rsidRPr="00EB4B4D">
        <w:rPr>
          <w:b w:val="0"/>
          <w:sz w:val="20"/>
        </w:rPr>
        <w:t>4</w:t>
      </w:r>
      <w:r w:rsidRPr="00EB4B4D">
        <w:rPr>
          <w:b w:val="0"/>
          <w:sz w:val="20"/>
        </w:rPr>
        <w:fldChar w:fldCharType="end"/>
      </w:r>
    </w:p>
    <w:p w:rsidR="00EB4B4D" w:rsidRDefault="00EB4B4D">
      <w:pPr>
        <w:pStyle w:val="TOC2"/>
        <w:rPr>
          <w:rFonts w:asciiTheme="minorHAnsi" w:eastAsiaTheme="minorEastAsia" w:hAnsiTheme="minorHAnsi" w:cstheme="minorBidi"/>
          <w:b w:val="0"/>
          <w:sz w:val="22"/>
          <w:szCs w:val="22"/>
        </w:rPr>
      </w:pPr>
      <w:r>
        <w:t>Part 3—Acts that make up the Tax Code</w:t>
      </w:r>
      <w:r w:rsidRPr="00EB4B4D">
        <w:rPr>
          <w:b w:val="0"/>
          <w:sz w:val="20"/>
        </w:rPr>
        <w:tab/>
      </w:r>
      <w:r w:rsidRPr="00EB4B4D">
        <w:rPr>
          <w:b w:val="0"/>
          <w:sz w:val="20"/>
        </w:rPr>
        <w:fldChar w:fldCharType="begin"/>
      </w:r>
      <w:r w:rsidRPr="00EB4B4D">
        <w:rPr>
          <w:b w:val="0"/>
          <w:sz w:val="20"/>
        </w:rPr>
        <w:instrText xml:space="preserve"> PAGEREF _Toc144733638 \h </w:instrText>
      </w:r>
      <w:r w:rsidRPr="00EB4B4D">
        <w:rPr>
          <w:b w:val="0"/>
          <w:sz w:val="20"/>
        </w:rPr>
      </w:r>
      <w:r w:rsidRPr="00EB4B4D">
        <w:rPr>
          <w:b w:val="0"/>
          <w:sz w:val="20"/>
        </w:rPr>
        <w:fldChar w:fldCharType="separate"/>
      </w:r>
      <w:r w:rsidRPr="00EB4B4D">
        <w:rPr>
          <w:b w:val="0"/>
          <w:sz w:val="20"/>
        </w:rPr>
        <w:t>5</w:t>
      </w:r>
      <w:r w:rsidRPr="00EB4B4D">
        <w:rPr>
          <w:b w:val="0"/>
          <w:sz w:val="20"/>
        </w:rPr>
        <w:fldChar w:fldCharType="end"/>
      </w:r>
    </w:p>
    <w:p w:rsidR="00EB4B4D" w:rsidRDefault="00EB4B4D">
      <w:pPr>
        <w:pStyle w:val="TOC3"/>
        <w:rPr>
          <w:rFonts w:asciiTheme="minorHAnsi" w:eastAsiaTheme="minorEastAsia" w:hAnsiTheme="minorHAnsi" w:cstheme="minorBidi"/>
          <w:sz w:val="22"/>
          <w:szCs w:val="22"/>
        </w:rPr>
      </w:pPr>
      <w:r>
        <w:t>Schedules 2C to 2J of the 1936 Act</w:t>
      </w:r>
      <w:r w:rsidRPr="00EB4B4D">
        <w:rPr>
          <w:sz w:val="20"/>
        </w:rPr>
        <w:tab/>
      </w:r>
      <w:r w:rsidRPr="00EB4B4D">
        <w:rPr>
          <w:sz w:val="20"/>
        </w:rPr>
        <w:fldChar w:fldCharType="begin"/>
      </w:r>
      <w:r w:rsidRPr="00EB4B4D">
        <w:rPr>
          <w:sz w:val="20"/>
        </w:rPr>
        <w:instrText xml:space="preserve"> PAGEREF _Toc144733639 \h </w:instrText>
      </w:r>
      <w:r w:rsidRPr="00EB4B4D">
        <w:rPr>
          <w:sz w:val="20"/>
        </w:rPr>
      </w:r>
      <w:r w:rsidRPr="00EB4B4D">
        <w:rPr>
          <w:sz w:val="20"/>
        </w:rPr>
        <w:fldChar w:fldCharType="separate"/>
      </w:r>
      <w:r w:rsidRPr="00EB4B4D">
        <w:rPr>
          <w:sz w:val="20"/>
        </w:rPr>
        <w:t>5</w:t>
      </w:r>
      <w:r w:rsidRPr="00EB4B4D">
        <w:rPr>
          <w:sz w:val="20"/>
        </w:rPr>
        <w:fldChar w:fldCharType="end"/>
      </w:r>
    </w:p>
    <w:p w:rsidR="00EB4B4D" w:rsidRDefault="00EB4B4D">
      <w:pPr>
        <w:pStyle w:val="TOC3"/>
        <w:rPr>
          <w:rFonts w:asciiTheme="minorHAnsi" w:eastAsiaTheme="minorEastAsia" w:hAnsiTheme="minorHAnsi" w:cstheme="minorBidi"/>
          <w:sz w:val="22"/>
          <w:szCs w:val="22"/>
        </w:rPr>
      </w:pPr>
      <w:r>
        <w:t>Differences in the indirect tax legislation and the ABN Act</w:t>
      </w:r>
      <w:r w:rsidRPr="00EB4B4D">
        <w:rPr>
          <w:sz w:val="20"/>
        </w:rPr>
        <w:tab/>
      </w:r>
      <w:r w:rsidRPr="00EB4B4D">
        <w:rPr>
          <w:sz w:val="20"/>
        </w:rPr>
        <w:fldChar w:fldCharType="begin"/>
      </w:r>
      <w:r w:rsidRPr="00EB4B4D">
        <w:rPr>
          <w:sz w:val="20"/>
        </w:rPr>
        <w:instrText xml:space="preserve"> PAGEREF _Toc144733640 \h </w:instrText>
      </w:r>
      <w:r w:rsidRPr="00EB4B4D">
        <w:rPr>
          <w:sz w:val="20"/>
        </w:rPr>
      </w:r>
      <w:r w:rsidRPr="00EB4B4D">
        <w:rPr>
          <w:sz w:val="20"/>
        </w:rPr>
        <w:fldChar w:fldCharType="separate"/>
      </w:r>
      <w:r w:rsidRPr="00EB4B4D">
        <w:rPr>
          <w:sz w:val="20"/>
        </w:rPr>
        <w:t>6</w:t>
      </w:r>
      <w:r w:rsidRPr="00EB4B4D">
        <w:rPr>
          <w:sz w:val="20"/>
        </w:rPr>
        <w:fldChar w:fldCharType="end"/>
      </w:r>
    </w:p>
    <w:p w:rsidR="00EB4B4D" w:rsidRDefault="00EB4B4D">
      <w:pPr>
        <w:pStyle w:val="TOC2"/>
        <w:rPr>
          <w:rFonts w:asciiTheme="minorHAnsi" w:eastAsiaTheme="minorEastAsia" w:hAnsiTheme="minorHAnsi" w:cstheme="minorBidi"/>
          <w:b w:val="0"/>
          <w:sz w:val="22"/>
          <w:szCs w:val="22"/>
        </w:rPr>
      </w:pPr>
      <w:r>
        <w:t>Part 4—Where to locate provisions in Acts forming part of the Tax Code: how to maintain a coherent overall structure</w:t>
      </w:r>
      <w:r w:rsidRPr="00EB4B4D">
        <w:rPr>
          <w:b w:val="0"/>
          <w:sz w:val="20"/>
        </w:rPr>
        <w:tab/>
      </w:r>
      <w:r w:rsidRPr="00EB4B4D">
        <w:rPr>
          <w:b w:val="0"/>
          <w:sz w:val="20"/>
        </w:rPr>
        <w:fldChar w:fldCharType="begin"/>
      </w:r>
      <w:r w:rsidRPr="00EB4B4D">
        <w:rPr>
          <w:b w:val="0"/>
          <w:sz w:val="20"/>
        </w:rPr>
        <w:instrText xml:space="preserve"> PAGEREF _Toc144733641 \h </w:instrText>
      </w:r>
      <w:r w:rsidRPr="00EB4B4D">
        <w:rPr>
          <w:b w:val="0"/>
          <w:sz w:val="20"/>
        </w:rPr>
      </w:r>
      <w:r w:rsidRPr="00EB4B4D">
        <w:rPr>
          <w:b w:val="0"/>
          <w:sz w:val="20"/>
        </w:rPr>
        <w:fldChar w:fldCharType="separate"/>
      </w:r>
      <w:r w:rsidRPr="00EB4B4D">
        <w:rPr>
          <w:b w:val="0"/>
          <w:sz w:val="20"/>
        </w:rPr>
        <w:t>6</w:t>
      </w:r>
      <w:r w:rsidRPr="00EB4B4D">
        <w:rPr>
          <w:b w:val="0"/>
          <w:sz w:val="20"/>
        </w:rPr>
        <w:fldChar w:fldCharType="end"/>
      </w:r>
    </w:p>
    <w:p w:rsidR="00EB4B4D" w:rsidRDefault="00EB4B4D" w:rsidP="00EB4B4D">
      <w:pPr>
        <w:pStyle w:val="TOC3"/>
        <w:rPr>
          <w:rFonts w:asciiTheme="minorHAnsi" w:eastAsiaTheme="minorEastAsia" w:hAnsiTheme="minorHAnsi" w:cstheme="minorBidi"/>
          <w:sz w:val="22"/>
          <w:szCs w:val="22"/>
        </w:rPr>
      </w:pPr>
      <w:r>
        <w:t>General</w:t>
      </w:r>
      <w:r w:rsidRPr="00EB4B4D">
        <w:rPr>
          <w:sz w:val="20"/>
        </w:rPr>
        <w:tab/>
      </w:r>
      <w:r w:rsidRPr="00EB4B4D">
        <w:rPr>
          <w:sz w:val="20"/>
        </w:rPr>
        <w:fldChar w:fldCharType="begin"/>
      </w:r>
      <w:r w:rsidRPr="00EB4B4D">
        <w:rPr>
          <w:sz w:val="20"/>
        </w:rPr>
        <w:instrText xml:space="preserve"> PAGEREF _Toc144733642 \h </w:instrText>
      </w:r>
      <w:r w:rsidRPr="00EB4B4D">
        <w:rPr>
          <w:sz w:val="20"/>
        </w:rPr>
      </w:r>
      <w:r w:rsidRPr="00EB4B4D">
        <w:rPr>
          <w:sz w:val="20"/>
        </w:rPr>
        <w:fldChar w:fldCharType="separate"/>
      </w:r>
      <w:r w:rsidRPr="00EB4B4D">
        <w:rPr>
          <w:sz w:val="20"/>
        </w:rPr>
        <w:t>6</w:t>
      </w:r>
      <w:r w:rsidRPr="00EB4B4D">
        <w:rPr>
          <w:sz w:val="20"/>
        </w:rPr>
        <w:fldChar w:fldCharType="end"/>
      </w:r>
    </w:p>
    <w:p w:rsidR="00EB4B4D" w:rsidRDefault="00EB4B4D">
      <w:pPr>
        <w:pStyle w:val="TOC3"/>
        <w:rPr>
          <w:rFonts w:asciiTheme="minorHAnsi" w:eastAsiaTheme="minorEastAsia" w:hAnsiTheme="minorHAnsi" w:cstheme="minorBidi"/>
          <w:sz w:val="22"/>
          <w:szCs w:val="22"/>
        </w:rPr>
      </w:pPr>
      <w:r>
        <w:t>Where to put new provisions in the 1997 Act and Schedule 1 to the Taxation Administration Act 1953</w:t>
      </w:r>
      <w:r w:rsidRPr="00EB4B4D">
        <w:rPr>
          <w:sz w:val="20"/>
        </w:rPr>
        <w:tab/>
      </w:r>
      <w:r w:rsidRPr="00EB4B4D">
        <w:rPr>
          <w:sz w:val="20"/>
        </w:rPr>
        <w:fldChar w:fldCharType="begin"/>
      </w:r>
      <w:r w:rsidRPr="00EB4B4D">
        <w:rPr>
          <w:sz w:val="20"/>
        </w:rPr>
        <w:instrText xml:space="preserve"> PAGEREF _Toc144733643 \h </w:instrText>
      </w:r>
      <w:r w:rsidRPr="00EB4B4D">
        <w:rPr>
          <w:sz w:val="20"/>
        </w:rPr>
      </w:r>
      <w:r w:rsidRPr="00EB4B4D">
        <w:rPr>
          <w:sz w:val="20"/>
        </w:rPr>
        <w:fldChar w:fldCharType="separate"/>
      </w:r>
      <w:r w:rsidRPr="00EB4B4D">
        <w:rPr>
          <w:sz w:val="20"/>
        </w:rPr>
        <w:t>6</w:t>
      </w:r>
      <w:r w:rsidRPr="00EB4B4D">
        <w:rPr>
          <w:sz w:val="20"/>
        </w:rPr>
        <w:fldChar w:fldCharType="end"/>
      </w:r>
    </w:p>
    <w:p w:rsidR="00EB4B4D" w:rsidRDefault="00EB4B4D">
      <w:pPr>
        <w:pStyle w:val="TOC3"/>
        <w:rPr>
          <w:rFonts w:asciiTheme="minorHAnsi" w:eastAsiaTheme="minorEastAsia" w:hAnsiTheme="minorHAnsi" w:cstheme="minorBidi"/>
          <w:sz w:val="22"/>
          <w:szCs w:val="22"/>
        </w:rPr>
      </w:pPr>
      <w:r>
        <w:t>Location of provisions in the GST Act</w:t>
      </w:r>
      <w:r w:rsidRPr="00EB4B4D">
        <w:rPr>
          <w:sz w:val="20"/>
        </w:rPr>
        <w:tab/>
      </w:r>
      <w:r w:rsidRPr="00EB4B4D">
        <w:rPr>
          <w:sz w:val="20"/>
        </w:rPr>
        <w:fldChar w:fldCharType="begin"/>
      </w:r>
      <w:r w:rsidRPr="00EB4B4D">
        <w:rPr>
          <w:sz w:val="20"/>
        </w:rPr>
        <w:instrText xml:space="preserve"> PAGEREF _Toc144733644 \h </w:instrText>
      </w:r>
      <w:r w:rsidRPr="00EB4B4D">
        <w:rPr>
          <w:sz w:val="20"/>
        </w:rPr>
      </w:r>
      <w:r w:rsidRPr="00EB4B4D">
        <w:rPr>
          <w:sz w:val="20"/>
        </w:rPr>
        <w:fldChar w:fldCharType="separate"/>
      </w:r>
      <w:r w:rsidRPr="00EB4B4D">
        <w:rPr>
          <w:sz w:val="20"/>
        </w:rPr>
        <w:t>7</w:t>
      </w:r>
      <w:r w:rsidRPr="00EB4B4D">
        <w:rPr>
          <w:sz w:val="20"/>
        </w:rPr>
        <w:fldChar w:fldCharType="end"/>
      </w:r>
    </w:p>
    <w:p w:rsidR="00EB4B4D" w:rsidRDefault="00EB4B4D">
      <w:pPr>
        <w:pStyle w:val="TOC3"/>
        <w:rPr>
          <w:rFonts w:asciiTheme="minorHAnsi" w:eastAsiaTheme="minorEastAsia" w:hAnsiTheme="minorHAnsi" w:cstheme="minorBidi"/>
          <w:sz w:val="22"/>
          <w:szCs w:val="22"/>
        </w:rPr>
      </w:pPr>
      <w:r>
        <w:t>Application and transitional provisions</w:t>
      </w:r>
      <w:r w:rsidRPr="00EB4B4D">
        <w:rPr>
          <w:sz w:val="20"/>
        </w:rPr>
        <w:tab/>
      </w:r>
      <w:r w:rsidRPr="00EB4B4D">
        <w:rPr>
          <w:sz w:val="20"/>
        </w:rPr>
        <w:fldChar w:fldCharType="begin"/>
      </w:r>
      <w:r w:rsidRPr="00EB4B4D">
        <w:rPr>
          <w:sz w:val="20"/>
        </w:rPr>
        <w:instrText xml:space="preserve"> PAGEREF _Toc144733645 \h </w:instrText>
      </w:r>
      <w:r w:rsidRPr="00EB4B4D">
        <w:rPr>
          <w:sz w:val="20"/>
        </w:rPr>
      </w:r>
      <w:r w:rsidRPr="00EB4B4D">
        <w:rPr>
          <w:sz w:val="20"/>
        </w:rPr>
        <w:fldChar w:fldCharType="separate"/>
      </w:r>
      <w:r w:rsidRPr="00EB4B4D">
        <w:rPr>
          <w:sz w:val="20"/>
        </w:rPr>
        <w:t>7</w:t>
      </w:r>
      <w:r w:rsidRPr="00EB4B4D">
        <w:rPr>
          <w:sz w:val="20"/>
        </w:rPr>
        <w:fldChar w:fldCharType="end"/>
      </w:r>
    </w:p>
    <w:p w:rsidR="00EB4B4D" w:rsidRDefault="00EB4B4D">
      <w:pPr>
        <w:pStyle w:val="TOC3"/>
        <w:rPr>
          <w:rFonts w:asciiTheme="minorHAnsi" w:eastAsiaTheme="minorEastAsia" w:hAnsiTheme="minorHAnsi" w:cstheme="minorBidi"/>
          <w:sz w:val="22"/>
          <w:szCs w:val="22"/>
        </w:rPr>
      </w:pPr>
      <w:r>
        <w:t>Checking whether amendments affect, or are affected by, recent or proposed amendments</w:t>
      </w:r>
      <w:r w:rsidRPr="00EB4B4D">
        <w:rPr>
          <w:sz w:val="20"/>
        </w:rPr>
        <w:tab/>
      </w:r>
      <w:r w:rsidRPr="00EB4B4D">
        <w:rPr>
          <w:sz w:val="20"/>
        </w:rPr>
        <w:fldChar w:fldCharType="begin"/>
      </w:r>
      <w:r w:rsidRPr="00EB4B4D">
        <w:rPr>
          <w:sz w:val="20"/>
        </w:rPr>
        <w:instrText xml:space="preserve"> PAGEREF _Toc144733646 \h </w:instrText>
      </w:r>
      <w:r w:rsidRPr="00EB4B4D">
        <w:rPr>
          <w:sz w:val="20"/>
        </w:rPr>
      </w:r>
      <w:r w:rsidRPr="00EB4B4D">
        <w:rPr>
          <w:sz w:val="20"/>
        </w:rPr>
        <w:fldChar w:fldCharType="separate"/>
      </w:r>
      <w:r w:rsidRPr="00EB4B4D">
        <w:rPr>
          <w:sz w:val="20"/>
        </w:rPr>
        <w:t>7</w:t>
      </w:r>
      <w:r w:rsidRPr="00EB4B4D">
        <w:rPr>
          <w:sz w:val="20"/>
        </w:rPr>
        <w:fldChar w:fldCharType="end"/>
      </w:r>
    </w:p>
    <w:p w:rsidR="00EB4B4D" w:rsidRDefault="00EB4B4D">
      <w:pPr>
        <w:pStyle w:val="TOC2"/>
        <w:rPr>
          <w:rFonts w:asciiTheme="minorHAnsi" w:eastAsiaTheme="minorEastAsia" w:hAnsiTheme="minorHAnsi" w:cstheme="minorBidi"/>
          <w:b w:val="0"/>
          <w:sz w:val="22"/>
          <w:szCs w:val="22"/>
        </w:rPr>
      </w:pPr>
      <w:r>
        <w:t>Part 5—Asterisking and other signposting of definitions</w:t>
      </w:r>
      <w:r w:rsidRPr="00EB4B4D">
        <w:rPr>
          <w:b w:val="0"/>
          <w:sz w:val="20"/>
        </w:rPr>
        <w:tab/>
      </w:r>
      <w:r w:rsidRPr="00EB4B4D">
        <w:rPr>
          <w:b w:val="0"/>
          <w:sz w:val="20"/>
        </w:rPr>
        <w:fldChar w:fldCharType="begin"/>
      </w:r>
      <w:r w:rsidRPr="00EB4B4D">
        <w:rPr>
          <w:b w:val="0"/>
          <w:sz w:val="20"/>
        </w:rPr>
        <w:instrText xml:space="preserve"> PAGEREF _Toc144733647 \h </w:instrText>
      </w:r>
      <w:r w:rsidRPr="00EB4B4D">
        <w:rPr>
          <w:b w:val="0"/>
          <w:sz w:val="20"/>
        </w:rPr>
      </w:r>
      <w:r w:rsidRPr="00EB4B4D">
        <w:rPr>
          <w:b w:val="0"/>
          <w:sz w:val="20"/>
        </w:rPr>
        <w:fldChar w:fldCharType="separate"/>
      </w:r>
      <w:r w:rsidRPr="00EB4B4D">
        <w:rPr>
          <w:b w:val="0"/>
          <w:sz w:val="20"/>
        </w:rPr>
        <w:t>7</w:t>
      </w:r>
      <w:r w:rsidRPr="00EB4B4D">
        <w:rPr>
          <w:b w:val="0"/>
          <w:sz w:val="20"/>
        </w:rPr>
        <w:fldChar w:fldCharType="end"/>
      </w:r>
    </w:p>
    <w:p w:rsidR="00EB4B4D" w:rsidRDefault="00EB4B4D">
      <w:pPr>
        <w:pStyle w:val="TOC2"/>
        <w:rPr>
          <w:rFonts w:asciiTheme="minorHAnsi" w:eastAsiaTheme="minorEastAsia" w:hAnsiTheme="minorHAnsi" w:cstheme="minorBidi"/>
          <w:b w:val="0"/>
          <w:sz w:val="22"/>
          <w:szCs w:val="22"/>
        </w:rPr>
      </w:pPr>
      <w:r>
        <w:t>Part 6—Defined terms (TLIP Note 3)</w:t>
      </w:r>
      <w:r w:rsidRPr="00EB4B4D">
        <w:rPr>
          <w:b w:val="0"/>
          <w:sz w:val="20"/>
        </w:rPr>
        <w:tab/>
      </w:r>
      <w:r w:rsidRPr="00EB4B4D">
        <w:rPr>
          <w:b w:val="0"/>
          <w:sz w:val="20"/>
        </w:rPr>
        <w:fldChar w:fldCharType="begin"/>
      </w:r>
      <w:r w:rsidRPr="00EB4B4D">
        <w:rPr>
          <w:b w:val="0"/>
          <w:sz w:val="20"/>
        </w:rPr>
        <w:instrText xml:space="preserve"> PAGEREF _Toc144733648 \h </w:instrText>
      </w:r>
      <w:r w:rsidRPr="00EB4B4D">
        <w:rPr>
          <w:b w:val="0"/>
          <w:sz w:val="20"/>
        </w:rPr>
      </w:r>
      <w:r w:rsidRPr="00EB4B4D">
        <w:rPr>
          <w:b w:val="0"/>
          <w:sz w:val="20"/>
        </w:rPr>
        <w:fldChar w:fldCharType="separate"/>
      </w:r>
      <w:r w:rsidRPr="00EB4B4D">
        <w:rPr>
          <w:b w:val="0"/>
          <w:sz w:val="20"/>
        </w:rPr>
        <w:t>8</w:t>
      </w:r>
      <w:r w:rsidRPr="00EB4B4D">
        <w:rPr>
          <w:b w:val="0"/>
          <w:sz w:val="20"/>
        </w:rPr>
        <w:fldChar w:fldCharType="end"/>
      </w:r>
    </w:p>
    <w:p w:rsidR="00EB4B4D" w:rsidRDefault="00EB4B4D">
      <w:pPr>
        <w:pStyle w:val="TOC2"/>
        <w:rPr>
          <w:rFonts w:asciiTheme="minorHAnsi" w:eastAsiaTheme="minorEastAsia" w:hAnsiTheme="minorHAnsi" w:cstheme="minorBidi"/>
          <w:b w:val="0"/>
          <w:sz w:val="22"/>
          <w:szCs w:val="22"/>
        </w:rPr>
      </w:pPr>
      <w:r>
        <w:t>Part 7—Guides and decentralised tables of contents (TLIP Notes 5 and 45)</w:t>
      </w:r>
      <w:r w:rsidRPr="00EB4B4D">
        <w:rPr>
          <w:b w:val="0"/>
          <w:sz w:val="20"/>
        </w:rPr>
        <w:tab/>
      </w:r>
      <w:r w:rsidRPr="00EB4B4D">
        <w:rPr>
          <w:b w:val="0"/>
          <w:sz w:val="20"/>
        </w:rPr>
        <w:fldChar w:fldCharType="begin"/>
      </w:r>
      <w:r w:rsidRPr="00EB4B4D">
        <w:rPr>
          <w:b w:val="0"/>
          <w:sz w:val="20"/>
        </w:rPr>
        <w:instrText xml:space="preserve"> PAGEREF _Toc144733649 \h </w:instrText>
      </w:r>
      <w:r w:rsidRPr="00EB4B4D">
        <w:rPr>
          <w:b w:val="0"/>
          <w:sz w:val="20"/>
        </w:rPr>
      </w:r>
      <w:r w:rsidRPr="00EB4B4D">
        <w:rPr>
          <w:b w:val="0"/>
          <w:sz w:val="20"/>
        </w:rPr>
        <w:fldChar w:fldCharType="separate"/>
      </w:r>
      <w:r w:rsidRPr="00EB4B4D">
        <w:rPr>
          <w:b w:val="0"/>
          <w:sz w:val="20"/>
        </w:rPr>
        <w:t>10</w:t>
      </w:r>
      <w:r w:rsidRPr="00EB4B4D">
        <w:rPr>
          <w:b w:val="0"/>
          <w:sz w:val="20"/>
        </w:rPr>
        <w:fldChar w:fldCharType="end"/>
      </w:r>
    </w:p>
    <w:p w:rsidR="00EB4B4D" w:rsidRDefault="00EB4B4D">
      <w:pPr>
        <w:pStyle w:val="TOC3"/>
        <w:rPr>
          <w:rFonts w:asciiTheme="minorHAnsi" w:eastAsiaTheme="minorEastAsia" w:hAnsiTheme="minorHAnsi" w:cstheme="minorBidi"/>
          <w:sz w:val="22"/>
          <w:szCs w:val="22"/>
        </w:rPr>
      </w:pPr>
      <w:r>
        <w:t>Except in the indirect tax legislation</w:t>
      </w:r>
      <w:r w:rsidRPr="00EB4B4D">
        <w:rPr>
          <w:sz w:val="20"/>
        </w:rPr>
        <w:tab/>
      </w:r>
      <w:r w:rsidRPr="00EB4B4D">
        <w:rPr>
          <w:sz w:val="20"/>
        </w:rPr>
        <w:fldChar w:fldCharType="begin"/>
      </w:r>
      <w:r w:rsidRPr="00EB4B4D">
        <w:rPr>
          <w:sz w:val="20"/>
        </w:rPr>
        <w:instrText xml:space="preserve"> PAGEREF _Toc144733650 \h </w:instrText>
      </w:r>
      <w:r w:rsidRPr="00EB4B4D">
        <w:rPr>
          <w:sz w:val="20"/>
        </w:rPr>
      </w:r>
      <w:r w:rsidRPr="00EB4B4D">
        <w:rPr>
          <w:sz w:val="20"/>
        </w:rPr>
        <w:fldChar w:fldCharType="separate"/>
      </w:r>
      <w:r w:rsidRPr="00EB4B4D">
        <w:rPr>
          <w:sz w:val="20"/>
        </w:rPr>
        <w:t>10</w:t>
      </w:r>
      <w:r w:rsidRPr="00EB4B4D">
        <w:rPr>
          <w:sz w:val="20"/>
        </w:rPr>
        <w:fldChar w:fldCharType="end"/>
      </w:r>
    </w:p>
    <w:p w:rsidR="00EB4B4D" w:rsidRDefault="00EB4B4D" w:rsidP="00EB4B4D">
      <w:pPr>
        <w:pStyle w:val="TOC4"/>
        <w:rPr>
          <w:rFonts w:asciiTheme="minorHAnsi" w:eastAsiaTheme="minorEastAsia" w:hAnsiTheme="minorHAnsi" w:cstheme="minorBidi"/>
          <w:sz w:val="22"/>
          <w:szCs w:val="22"/>
        </w:rPr>
      </w:pPr>
      <w:r>
        <w:t>General</w:t>
      </w:r>
      <w:r w:rsidRPr="00EB4B4D">
        <w:rPr>
          <w:sz w:val="20"/>
        </w:rPr>
        <w:tab/>
      </w:r>
      <w:r w:rsidRPr="00EB4B4D">
        <w:rPr>
          <w:sz w:val="20"/>
        </w:rPr>
        <w:fldChar w:fldCharType="begin"/>
      </w:r>
      <w:r w:rsidRPr="00EB4B4D">
        <w:rPr>
          <w:sz w:val="20"/>
        </w:rPr>
        <w:instrText xml:space="preserve"> PAGEREF _Toc144733651 \h </w:instrText>
      </w:r>
      <w:r w:rsidRPr="00EB4B4D">
        <w:rPr>
          <w:sz w:val="20"/>
        </w:rPr>
      </w:r>
      <w:r w:rsidRPr="00EB4B4D">
        <w:rPr>
          <w:sz w:val="20"/>
        </w:rPr>
        <w:fldChar w:fldCharType="separate"/>
      </w:r>
      <w:r w:rsidRPr="00EB4B4D">
        <w:rPr>
          <w:sz w:val="20"/>
        </w:rPr>
        <w:t>10</w:t>
      </w:r>
      <w:r w:rsidRPr="00EB4B4D">
        <w:rPr>
          <w:sz w:val="20"/>
        </w:rPr>
        <w:fldChar w:fldCharType="end"/>
      </w:r>
    </w:p>
    <w:p w:rsidR="00EB4B4D" w:rsidRDefault="00EB4B4D">
      <w:pPr>
        <w:pStyle w:val="TOC4"/>
        <w:rPr>
          <w:rFonts w:asciiTheme="minorHAnsi" w:eastAsiaTheme="minorEastAsia" w:hAnsiTheme="minorHAnsi" w:cstheme="minorBidi"/>
          <w:sz w:val="22"/>
          <w:szCs w:val="22"/>
        </w:rPr>
      </w:pPr>
      <w:r>
        <w:t>Theme statements</w:t>
      </w:r>
      <w:r w:rsidRPr="00EB4B4D">
        <w:rPr>
          <w:sz w:val="20"/>
        </w:rPr>
        <w:tab/>
      </w:r>
      <w:r w:rsidRPr="00EB4B4D">
        <w:rPr>
          <w:sz w:val="20"/>
        </w:rPr>
        <w:fldChar w:fldCharType="begin"/>
      </w:r>
      <w:r w:rsidRPr="00EB4B4D">
        <w:rPr>
          <w:sz w:val="20"/>
        </w:rPr>
        <w:instrText xml:space="preserve"> PAGEREF _Toc144733652 \h </w:instrText>
      </w:r>
      <w:r w:rsidRPr="00EB4B4D">
        <w:rPr>
          <w:sz w:val="20"/>
        </w:rPr>
      </w:r>
      <w:r w:rsidRPr="00EB4B4D">
        <w:rPr>
          <w:sz w:val="20"/>
        </w:rPr>
        <w:fldChar w:fldCharType="separate"/>
      </w:r>
      <w:r w:rsidRPr="00EB4B4D">
        <w:rPr>
          <w:sz w:val="20"/>
        </w:rPr>
        <w:t>12</w:t>
      </w:r>
      <w:r w:rsidRPr="00EB4B4D">
        <w:rPr>
          <w:sz w:val="20"/>
        </w:rPr>
        <w:fldChar w:fldCharType="end"/>
      </w:r>
    </w:p>
    <w:p w:rsidR="00EB4B4D" w:rsidRDefault="00EB4B4D">
      <w:pPr>
        <w:pStyle w:val="TOC3"/>
        <w:rPr>
          <w:rFonts w:asciiTheme="minorHAnsi" w:eastAsiaTheme="minorEastAsia" w:hAnsiTheme="minorHAnsi" w:cstheme="minorBidi"/>
          <w:sz w:val="22"/>
          <w:szCs w:val="22"/>
        </w:rPr>
      </w:pPr>
      <w:r>
        <w:t>In the indirect tax legislation</w:t>
      </w:r>
      <w:r w:rsidRPr="00EB4B4D">
        <w:rPr>
          <w:sz w:val="20"/>
        </w:rPr>
        <w:tab/>
      </w:r>
      <w:r w:rsidRPr="00EB4B4D">
        <w:rPr>
          <w:sz w:val="20"/>
        </w:rPr>
        <w:fldChar w:fldCharType="begin"/>
      </w:r>
      <w:r w:rsidRPr="00EB4B4D">
        <w:rPr>
          <w:sz w:val="20"/>
        </w:rPr>
        <w:instrText xml:space="preserve"> PAGEREF _Toc144733653 \h </w:instrText>
      </w:r>
      <w:r w:rsidRPr="00EB4B4D">
        <w:rPr>
          <w:sz w:val="20"/>
        </w:rPr>
      </w:r>
      <w:r w:rsidRPr="00EB4B4D">
        <w:rPr>
          <w:sz w:val="20"/>
        </w:rPr>
        <w:fldChar w:fldCharType="separate"/>
      </w:r>
      <w:r w:rsidRPr="00EB4B4D">
        <w:rPr>
          <w:sz w:val="20"/>
        </w:rPr>
        <w:t>13</w:t>
      </w:r>
      <w:r w:rsidRPr="00EB4B4D">
        <w:rPr>
          <w:sz w:val="20"/>
        </w:rPr>
        <w:fldChar w:fldCharType="end"/>
      </w:r>
    </w:p>
    <w:p w:rsidR="00EB4B4D" w:rsidRDefault="00EB4B4D">
      <w:pPr>
        <w:pStyle w:val="TOC2"/>
        <w:rPr>
          <w:rFonts w:asciiTheme="minorHAnsi" w:eastAsiaTheme="minorEastAsia" w:hAnsiTheme="minorHAnsi" w:cstheme="minorBidi"/>
          <w:b w:val="0"/>
          <w:sz w:val="22"/>
          <w:szCs w:val="22"/>
        </w:rPr>
      </w:pPr>
      <w:r>
        <w:t>Part 8—End of a Guide</w:t>
      </w:r>
      <w:r w:rsidRPr="00EB4B4D">
        <w:rPr>
          <w:b w:val="0"/>
          <w:sz w:val="20"/>
        </w:rPr>
        <w:tab/>
      </w:r>
      <w:r w:rsidRPr="00EB4B4D">
        <w:rPr>
          <w:b w:val="0"/>
          <w:sz w:val="20"/>
        </w:rPr>
        <w:fldChar w:fldCharType="begin"/>
      </w:r>
      <w:r w:rsidRPr="00EB4B4D">
        <w:rPr>
          <w:b w:val="0"/>
          <w:sz w:val="20"/>
        </w:rPr>
        <w:instrText xml:space="preserve"> PAGEREF _Toc144733654 \h </w:instrText>
      </w:r>
      <w:r w:rsidRPr="00EB4B4D">
        <w:rPr>
          <w:b w:val="0"/>
          <w:sz w:val="20"/>
        </w:rPr>
      </w:r>
      <w:r w:rsidRPr="00EB4B4D">
        <w:rPr>
          <w:b w:val="0"/>
          <w:sz w:val="20"/>
        </w:rPr>
        <w:fldChar w:fldCharType="separate"/>
      </w:r>
      <w:r w:rsidRPr="00EB4B4D">
        <w:rPr>
          <w:b w:val="0"/>
          <w:sz w:val="20"/>
        </w:rPr>
        <w:t>14</w:t>
      </w:r>
      <w:r w:rsidRPr="00EB4B4D">
        <w:rPr>
          <w:b w:val="0"/>
          <w:sz w:val="20"/>
        </w:rPr>
        <w:fldChar w:fldCharType="end"/>
      </w:r>
    </w:p>
    <w:p w:rsidR="00EB4B4D" w:rsidRDefault="00EB4B4D">
      <w:pPr>
        <w:pStyle w:val="TOC2"/>
        <w:rPr>
          <w:rFonts w:asciiTheme="minorHAnsi" w:eastAsiaTheme="minorEastAsia" w:hAnsiTheme="minorHAnsi" w:cstheme="minorBidi"/>
          <w:b w:val="0"/>
          <w:sz w:val="22"/>
          <w:szCs w:val="22"/>
        </w:rPr>
      </w:pPr>
      <w:r>
        <w:t>Part 9—Link notes</w:t>
      </w:r>
      <w:r w:rsidRPr="00EB4B4D">
        <w:rPr>
          <w:b w:val="0"/>
          <w:sz w:val="20"/>
        </w:rPr>
        <w:tab/>
      </w:r>
      <w:r w:rsidRPr="00EB4B4D">
        <w:rPr>
          <w:b w:val="0"/>
          <w:sz w:val="20"/>
        </w:rPr>
        <w:fldChar w:fldCharType="begin"/>
      </w:r>
      <w:r w:rsidRPr="00EB4B4D">
        <w:rPr>
          <w:b w:val="0"/>
          <w:sz w:val="20"/>
        </w:rPr>
        <w:instrText xml:space="preserve"> PAGEREF _Toc144733655 \h </w:instrText>
      </w:r>
      <w:r w:rsidRPr="00EB4B4D">
        <w:rPr>
          <w:b w:val="0"/>
          <w:sz w:val="20"/>
        </w:rPr>
      </w:r>
      <w:r w:rsidRPr="00EB4B4D">
        <w:rPr>
          <w:b w:val="0"/>
          <w:sz w:val="20"/>
        </w:rPr>
        <w:fldChar w:fldCharType="separate"/>
      </w:r>
      <w:r w:rsidRPr="00EB4B4D">
        <w:rPr>
          <w:b w:val="0"/>
          <w:sz w:val="20"/>
        </w:rPr>
        <w:t>14</w:t>
      </w:r>
      <w:r w:rsidRPr="00EB4B4D">
        <w:rPr>
          <w:b w:val="0"/>
          <w:sz w:val="20"/>
        </w:rPr>
        <w:fldChar w:fldCharType="end"/>
      </w:r>
    </w:p>
    <w:p w:rsidR="00EB4B4D" w:rsidRDefault="00EB4B4D">
      <w:pPr>
        <w:pStyle w:val="TOC2"/>
        <w:rPr>
          <w:rFonts w:asciiTheme="minorHAnsi" w:eastAsiaTheme="minorEastAsia" w:hAnsiTheme="minorHAnsi" w:cstheme="minorBidi"/>
          <w:b w:val="0"/>
          <w:sz w:val="22"/>
          <w:szCs w:val="22"/>
        </w:rPr>
      </w:pPr>
      <w:r>
        <w:t>Part 10—Amending group, section and subsection headings (TLIP Note 43)</w:t>
      </w:r>
      <w:r w:rsidRPr="00EB4B4D">
        <w:rPr>
          <w:b w:val="0"/>
          <w:sz w:val="20"/>
        </w:rPr>
        <w:tab/>
      </w:r>
      <w:r w:rsidRPr="00EB4B4D">
        <w:rPr>
          <w:b w:val="0"/>
          <w:sz w:val="20"/>
        </w:rPr>
        <w:fldChar w:fldCharType="begin"/>
      </w:r>
      <w:r w:rsidRPr="00EB4B4D">
        <w:rPr>
          <w:b w:val="0"/>
          <w:sz w:val="20"/>
        </w:rPr>
        <w:instrText xml:space="preserve"> PAGEREF _Toc144733656 \h </w:instrText>
      </w:r>
      <w:r w:rsidRPr="00EB4B4D">
        <w:rPr>
          <w:b w:val="0"/>
          <w:sz w:val="20"/>
        </w:rPr>
      </w:r>
      <w:r w:rsidRPr="00EB4B4D">
        <w:rPr>
          <w:b w:val="0"/>
          <w:sz w:val="20"/>
        </w:rPr>
        <w:fldChar w:fldCharType="separate"/>
      </w:r>
      <w:r w:rsidRPr="00EB4B4D">
        <w:rPr>
          <w:b w:val="0"/>
          <w:sz w:val="20"/>
        </w:rPr>
        <w:t>14</w:t>
      </w:r>
      <w:r w:rsidRPr="00EB4B4D">
        <w:rPr>
          <w:b w:val="0"/>
          <w:sz w:val="20"/>
        </w:rPr>
        <w:fldChar w:fldCharType="end"/>
      </w:r>
    </w:p>
    <w:p w:rsidR="00EB4B4D" w:rsidRDefault="00EB4B4D">
      <w:pPr>
        <w:pStyle w:val="TOC2"/>
        <w:rPr>
          <w:rFonts w:asciiTheme="minorHAnsi" w:eastAsiaTheme="minorEastAsia" w:hAnsiTheme="minorHAnsi" w:cstheme="minorBidi"/>
          <w:b w:val="0"/>
          <w:sz w:val="22"/>
          <w:szCs w:val="22"/>
        </w:rPr>
      </w:pPr>
      <w:r>
        <w:t>Part 11—When to use “you” (TLIP Note 11)</w:t>
      </w:r>
      <w:r w:rsidRPr="00EB4B4D">
        <w:rPr>
          <w:b w:val="0"/>
          <w:sz w:val="20"/>
        </w:rPr>
        <w:tab/>
      </w:r>
      <w:r w:rsidRPr="00EB4B4D">
        <w:rPr>
          <w:b w:val="0"/>
          <w:sz w:val="20"/>
        </w:rPr>
        <w:fldChar w:fldCharType="begin"/>
      </w:r>
      <w:r w:rsidRPr="00EB4B4D">
        <w:rPr>
          <w:b w:val="0"/>
          <w:sz w:val="20"/>
        </w:rPr>
        <w:instrText xml:space="preserve"> PAGEREF _Toc144733657 \h </w:instrText>
      </w:r>
      <w:r w:rsidRPr="00EB4B4D">
        <w:rPr>
          <w:b w:val="0"/>
          <w:sz w:val="20"/>
        </w:rPr>
      </w:r>
      <w:r w:rsidRPr="00EB4B4D">
        <w:rPr>
          <w:b w:val="0"/>
          <w:sz w:val="20"/>
        </w:rPr>
        <w:fldChar w:fldCharType="separate"/>
      </w:r>
      <w:r w:rsidRPr="00EB4B4D">
        <w:rPr>
          <w:b w:val="0"/>
          <w:sz w:val="20"/>
        </w:rPr>
        <w:t>15</w:t>
      </w:r>
      <w:r w:rsidRPr="00EB4B4D">
        <w:rPr>
          <w:b w:val="0"/>
          <w:sz w:val="20"/>
        </w:rPr>
        <w:fldChar w:fldCharType="end"/>
      </w:r>
    </w:p>
    <w:p w:rsidR="00EB4B4D" w:rsidRDefault="00EB4B4D">
      <w:pPr>
        <w:pStyle w:val="TOC2"/>
        <w:rPr>
          <w:rFonts w:asciiTheme="minorHAnsi" w:eastAsiaTheme="minorEastAsia" w:hAnsiTheme="minorHAnsi" w:cstheme="minorBidi"/>
          <w:b w:val="0"/>
          <w:sz w:val="22"/>
          <w:szCs w:val="22"/>
        </w:rPr>
      </w:pPr>
      <w:r>
        <w:t>Part 12—References to things in certain Schedules</w:t>
      </w:r>
      <w:r w:rsidRPr="00EB4B4D">
        <w:rPr>
          <w:b w:val="0"/>
          <w:sz w:val="20"/>
        </w:rPr>
        <w:tab/>
      </w:r>
      <w:r w:rsidRPr="00EB4B4D">
        <w:rPr>
          <w:b w:val="0"/>
          <w:sz w:val="20"/>
        </w:rPr>
        <w:fldChar w:fldCharType="begin"/>
      </w:r>
      <w:r w:rsidRPr="00EB4B4D">
        <w:rPr>
          <w:b w:val="0"/>
          <w:sz w:val="20"/>
        </w:rPr>
        <w:instrText xml:space="preserve"> PAGEREF _Toc144733658 \h </w:instrText>
      </w:r>
      <w:r w:rsidRPr="00EB4B4D">
        <w:rPr>
          <w:b w:val="0"/>
          <w:sz w:val="20"/>
        </w:rPr>
      </w:r>
      <w:r w:rsidRPr="00EB4B4D">
        <w:rPr>
          <w:b w:val="0"/>
          <w:sz w:val="20"/>
        </w:rPr>
        <w:fldChar w:fldCharType="separate"/>
      </w:r>
      <w:r w:rsidRPr="00EB4B4D">
        <w:rPr>
          <w:b w:val="0"/>
          <w:sz w:val="20"/>
        </w:rPr>
        <w:t>15</w:t>
      </w:r>
      <w:r w:rsidRPr="00EB4B4D">
        <w:rPr>
          <w:b w:val="0"/>
          <w:sz w:val="20"/>
        </w:rPr>
        <w:fldChar w:fldCharType="end"/>
      </w:r>
    </w:p>
    <w:p w:rsidR="00EB4B4D" w:rsidRDefault="00EB4B4D">
      <w:pPr>
        <w:pStyle w:val="TOC2"/>
        <w:rPr>
          <w:rFonts w:asciiTheme="minorHAnsi" w:eastAsiaTheme="minorEastAsia" w:hAnsiTheme="minorHAnsi" w:cstheme="minorBidi"/>
          <w:b w:val="0"/>
          <w:sz w:val="22"/>
          <w:szCs w:val="22"/>
        </w:rPr>
      </w:pPr>
      <w:r>
        <w:t>Part 13—Notes aligned to the right</w:t>
      </w:r>
      <w:r>
        <w:noBreakHyphen/>
        <w:t>hand margin</w:t>
      </w:r>
      <w:r w:rsidRPr="00EB4B4D">
        <w:rPr>
          <w:b w:val="0"/>
          <w:sz w:val="20"/>
        </w:rPr>
        <w:tab/>
      </w:r>
      <w:r w:rsidRPr="00EB4B4D">
        <w:rPr>
          <w:b w:val="0"/>
          <w:sz w:val="20"/>
        </w:rPr>
        <w:fldChar w:fldCharType="begin"/>
      </w:r>
      <w:r w:rsidRPr="00EB4B4D">
        <w:rPr>
          <w:b w:val="0"/>
          <w:sz w:val="20"/>
        </w:rPr>
        <w:instrText xml:space="preserve"> PAGEREF _Toc144733659 \h </w:instrText>
      </w:r>
      <w:r w:rsidRPr="00EB4B4D">
        <w:rPr>
          <w:b w:val="0"/>
          <w:sz w:val="20"/>
        </w:rPr>
      </w:r>
      <w:r w:rsidRPr="00EB4B4D">
        <w:rPr>
          <w:b w:val="0"/>
          <w:sz w:val="20"/>
        </w:rPr>
        <w:fldChar w:fldCharType="separate"/>
      </w:r>
      <w:r w:rsidRPr="00EB4B4D">
        <w:rPr>
          <w:b w:val="0"/>
          <w:sz w:val="20"/>
        </w:rPr>
        <w:t>15</w:t>
      </w:r>
      <w:r w:rsidRPr="00EB4B4D">
        <w:rPr>
          <w:b w:val="0"/>
          <w:sz w:val="20"/>
        </w:rPr>
        <w:fldChar w:fldCharType="end"/>
      </w:r>
    </w:p>
    <w:p w:rsidR="00EB4B4D" w:rsidRDefault="00EB4B4D">
      <w:pPr>
        <w:pStyle w:val="TOC2"/>
        <w:rPr>
          <w:rFonts w:asciiTheme="minorHAnsi" w:eastAsiaTheme="minorEastAsia" w:hAnsiTheme="minorHAnsi" w:cstheme="minorBidi"/>
          <w:b w:val="0"/>
          <w:sz w:val="22"/>
          <w:szCs w:val="22"/>
        </w:rPr>
      </w:pPr>
      <w:r>
        <w:t>Part 14—Signposting in the GST Act</w:t>
      </w:r>
      <w:r w:rsidRPr="00EB4B4D">
        <w:rPr>
          <w:b w:val="0"/>
          <w:sz w:val="20"/>
        </w:rPr>
        <w:tab/>
      </w:r>
      <w:r w:rsidRPr="00EB4B4D">
        <w:rPr>
          <w:b w:val="0"/>
          <w:sz w:val="20"/>
        </w:rPr>
        <w:fldChar w:fldCharType="begin"/>
      </w:r>
      <w:r w:rsidRPr="00EB4B4D">
        <w:rPr>
          <w:b w:val="0"/>
          <w:sz w:val="20"/>
        </w:rPr>
        <w:instrText xml:space="preserve"> PAGEREF _Toc144733660 \h </w:instrText>
      </w:r>
      <w:r w:rsidRPr="00EB4B4D">
        <w:rPr>
          <w:b w:val="0"/>
          <w:sz w:val="20"/>
        </w:rPr>
      </w:r>
      <w:r w:rsidRPr="00EB4B4D">
        <w:rPr>
          <w:b w:val="0"/>
          <w:sz w:val="20"/>
        </w:rPr>
        <w:fldChar w:fldCharType="separate"/>
      </w:r>
      <w:r w:rsidRPr="00EB4B4D">
        <w:rPr>
          <w:b w:val="0"/>
          <w:sz w:val="20"/>
        </w:rPr>
        <w:t>16</w:t>
      </w:r>
      <w:r w:rsidRPr="00EB4B4D">
        <w:rPr>
          <w:b w:val="0"/>
          <w:sz w:val="20"/>
        </w:rPr>
        <w:fldChar w:fldCharType="end"/>
      </w:r>
    </w:p>
    <w:p w:rsidR="00EB4B4D" w:rsidRDefault="00EB4B4D">
      <w:pPr>
        <w:pStyle w:val="TOC2"/>
        <w:rPr>
          <w:rFonts w:asciiTheme="minorHAnsi" w:eastAsiaTheme="minorEastAsia" w:hAnsiTheme="minorHAnsi" w:cstheme="minorBidi"/>
          <w:b w:val="0"/>
          <w:sz w:val="22"/>
          <w:szCs w:val="22"/>
        </w:rPr>
      </w:pPr>
      <w:r>
        <w:t>Part 15—All other rules to be followed</w:t>
      </w:r>
      <w:r w:rsidRPr="00EB4B4D">
        <w:rPr>
          <w:b w:val="0"/>
          <w:sz w:val="20"/>
        </w:rPr>
        <w:tab/>
      </w:r>
      <w:r w:rsidRPr="00EB4B4D">
        <w:rPr>
          <w:b w:val="0"/>
          <w:sz w:val="20"/>
        </w:rPr>
        <w:fldChar w:fldCharType="begin"/>
      </w:r>
      <w:r w:rsidRPr="00EB4B4D">
        <w:rPr>
          <w:b w:val="0"/>
          <w:sz w:val="20"/>
        </w:rPr>
        <w:instrText xml:space="preserve"> PAGEREF _Toc144733661 \h </w:instrText>
      </w:r>
      <w:r w:rsidRPr="00EB4B4D">
        <w:rPr>
          <w:b w:val="0"/>
          <w:sz w:val="20"/>
        </w:rPr>
      </w:r>
      <w:r w:rsidRPr="00EB4B4D">
        <w:rPr>
          <w:b w:val="0"/>
          <w:sz w:val="20"/>
        </w:rPr>
        <w:fldChar w:fldCharType="separate"/>
      </w:r>
      <w:r w:rsidRPr="00EB4B4D">
        <w:rPr>
          <w:b w:val="0"/>
          <w:sz w:val="20"/>
        </w:rPr>
        <w:t>16</w:t>
      </w:r>
      <w:r w:rsidRPr="00EB4B4D">
        <w:rPr>
          <w:b w:val="0"/>
          <w:sz w:val="20"/>
        </w:rPr>
        <w:fldChar w:fldCharType="end"/>
      </w:r>
    </w:p>
    <w:p w:rsidR="00EB4B4D" w:rsidRDefault="00EB4B4D">
      <w:pPr>
        <w:pStyle w:val="TOC2"/>
        <w:rPr>
          <w:rFonts w:asciiTheme="minorHAnsi" w:eastAsiaTheme="minorEastAsia" w:hAnsiTheme="minorHAnsi" w:cstheme="minorBidi"/>
          <w:b w:val="0"/>
          <w:sz w:val="22"/>
          <w:szCs w:val="22"/>
        </w:rPr>
      </w:pPr>
      <w:r>
        <w:lastRenderedPageBreak/>
        <w:t>Attachment A—Order and content of introductory information in Divisions and Subdivisions</w:t>
      </w:r>
      <w:r w:rsidRPr="00EB4B4D">
        <w:rPr>
          <w:b w:val="0"/>
          <w:sz w:val="20"/>
        </w:rPr>
        <w:tab/>
      </w:r>
      <w:r w:rsidRPr="00EB4B4D">
        <w:rPr>
          <w:b w:val="0"/>
          <w:sz w:val="20"/>
        </w:rPr>
        <w:fldChar w:fldCharType="begin"/>
      </w:r>
      <w:r w:rsidRPr="00EB4B4D">
        <w:rPr>
          <w:b w:val="0"/>
          <w:sz w:val="20"/>
        </w:rPr>
        <w:instrText xml:space="preserve"> PAGEREF _Toc144733662 \h </w:instrText>
      </w:r>
      <w:r w:rsidRPr="00EB4B4D">
        <w:rPr>
          <w:b w:val="0"/>
          <w:sz w:val="20"/>
        </w:rPr>
      </w:r>
      <w:r w:rsidRPr="00EB4B4D">
        <w:rPr>
          <w:b w:val="0"/>
          <w:sz w:val="20"/>
        </w:rPr>
        <w:fldChar w:fldCharType="separate"/>
      </w:r>
      <w:r w:rsidRPr="00EB4B4D">
        <w:rPr>
          <w:b w:val="0"/>
          <w:sz w:val="20"/>
        </w:rPr>
        <w:t>17</w:t>
      </w:r>
      <w:r w:rsidRPr="00EB4B4D">
        <w:rPr>
          <w:b w:val="0"/>
          <w:sz w:val="20"/>
        </w:rPr>
        <w:fldChar w:fldCharType="end"/>
      </w:r>
    </w:p>
    <w:p w:rsidR="00EB4B4D" w:rsidRDefault="00EB4B4D">
      <w:pPr>
        <w:pStyle w:val="TOC2"/>
        <w:rPr>
          <w:rFonts w:asciiTheme="minorHAnsi" w:eastAsiaTheme="minorEastAsia" w:hAnsiTheme="minorHAnsi" w:cstheme="minorBidi"/>
          <w:b w:val="0"/>
          <w:sz w:val="22"/>
          <w:szCs w:val="22"/>
        </w:rPr>
      </w:pPr>
      <w:r>
        <w:t>Attachment B—Extracts from various TLIP Notes</w:t>
      </w:r>
      <w:r w:rsidRPr="00EB4B4D">
        <w:rPr>
          <w:b w:val="0"/>
          <w:sz w:val="20"/>
        </w:rPr>
        <w:tab/>
      </w:r>
      <w:r w:rsidRPr="00EB4B4D">
        <w:rPr>
          <w:b w:val="0"/>
          <w:sz w:val="20"/>
        </w:rPr>
        <w:fldChar w:fldCharType="begin"/>
      </w:r>
      <w:r w:rsidRPr="00EB4B4D">
        <w:rPr>
          <w:b w:val="0"/>
          <w:sz w:val="20"/>
        </w:rPr>
        <w:instrText xml:space="preserve"> PAGEREF _Toc144733663 \h </w:instrText>
      </w:r>
      <w:r w:rsidRPr="00EB4B4D">
        <w:rPr>
          <w:b w:val="0"/>
          <w:sz w:val="20"/>
        </w:rPr>
      </w:r>
      <w:r w:rsidRPr="00EB4B4D">
        <w:rPr>
          <w:b w:val="0"/>
          <w:sz w:val="20"/>
        </w:rPr>
        <w:fldChar w:fldCharType="separate"/>
      </w:r>
      <w:r w:rsidRPr="00EB4B4D">
        <w:rPr>
          <w:b w:val="0"/>
          <w:sz w:val="20"/>
        </w:rPr>
        <w:t>22</w:t>
      </w:r>
      <w:r w:rsidRPr="00EB4B4D">
        <w:rPr>
          <w:b w:val="0"/>
          <w:sz w:val="20"/>
        </w:rPr>
        <w:fldChar w:fldCharType="end"/>
      </w:r>
    </w:p>
    <w:p w:rsidR="00EB4B4D" w:rsidRPr="00EB4B4D" w:rsidRDefault="00EB4B4D">
      <w:pPr>
        <w:pStyle w:val="TOC2"/>
        <w:rPr>
          <w:rFonts w:eastAsiaTheme="minorEastAsia"/>
          <w:b w:val="0"/>
          <w:sz w:val="20"/>
          <w:szCs w:val="22"/>
        </w:rPr>
      </w:pPr>
      <w:r>
        <w:t>Attachment C—TLIP Features used in Tax Code Acts</w:t>
      </w:r>
      <w:r w:rsidRPr="00EB4B4D">
        <w:rPr>
          <w:b w:val="0"/>
          <w:sz w:val="20"/>
        </w:rPr>
        <w:tab/>
      </w:r>
      <w:r w:rsidRPr="00EB4B4D">
        <w:rPr>
          <w:b w:val="0"/>
          <w:sz w:val="20"/>
        </w:rPr>
        <w:fldChar w:fldCharType="begin"/>
      </w:r>
      <w:r w:rsidRPr="00EB4B4D">
        <w:rPr>
          <w:b w:val="0"/>
          <w:sz w:val="20"/>
        </w:rPr>
        <w:instrText xml:space="preserve"> PAGEREF _Toc144733664 \h </w:instrText>
      </w:r>
      <w:r w:rsidRPr="00EB4B4D">
        <w:rPr>
          <w:b w:val="0"/>
          <w:sz w:val="20"/>
        </w:rPr>
      </w:r>
      <w:r w:rsidRPr="00EB4B4D">
        <w:rPr>
          <w:b w:val="0"/>
          <w:sz w:val="20"/>
        </w:rPr>
        <w:fldChar w:fldCharType="separate"/>
      </w:r>
      <w:r w:rsidRPr="00EB4B4D">
        <w:rPr>
          <w:b w:val="0"/>
          <w:sz w:val="20"/>
        </w:rPr>
        <w:t>36</w:t>
      </w:r>
      <w:r w:rsidRPr="00EB4B4D">
        <w:rPr>
          <w:b w:val="0"/>
          <w:sz w:val="20"/>
        </w:rPr>
        <w:fldChar w:fldCharType="end"/>
      </w:r>
    </w:p>
    <w:p w:rsidR="00013D83" w:rsidRPr="006B3796" w:rsidRDefault="006B4552" w:rsidP="00EB4B4D">
      <w:pPr>
        <w:rPr>
          <w:noProof/>
        </w:rPr>
      </w:pPr>
      <w:r w:rsidRPr="00EB4B4D">
        <w:rPr>
          <w:rFonts w:cs="Times New Roman"/>
          <w:noProof/>
          <w:sz w:val="20"/>
        </w:rPr>
        <w:fldChar w:fldCharType="end"/>
      </w:r>
    </w:p>
    <w:p w:rsidR="00013D83" w:rsidRPr="006B3796" w:rsidRDefault="002860B3" w:rsidP="002860B3">
      <w:pPr>
        <w:pStyle w:val="Head2"/>
        <w:pageBreakBefore/>
      </w:pPr>
      <w:bookmarkStart w:id="0" w:name="_Toc144733627"/>
      <w:r>
        <w:lastRenderedPageBreak/>
        <w:t>Part 1</w:t>
      </w:r>
      <w:r w:rsidR="00013D83" w:rsidRPr="006B3796">
        <w:t>—Creating the Tax Code</w:t>
      </w:r>
      <w:bookmarkEnd w:id="0"/>
    </w:p>
    <w:p w:rsidR="00013D83" w:rsidRPr="006B3796" w:rsidRDefault="00013D83" w:rsidP="006B3796">
      <w:pPr>
        <w:pStyle w:val="Head3"/>
      </w:pPr>
      <w:bookmarkStart w:id="1" w:name="_Toc144733628"/>
      <w:r w:rsidRPr="006B3796">
        <w:t>What is already in place</w:t>
      </w:r>
      <w:bookmarkEnd w:id="1"/>
    </w:p>
    <w:p w:rsidR="00013D83" w:rsidRPr="006B3796" w:rsidRDefault="00013D83" w:rsidP="001F3F21">
      <w:pPr>
        <w:pStyle w:val="BodyNum"/>
      </w:pPr>
      <w:r w:rsidRPr="006B3796">
        <w:t xml:space="preserve">The term “Tax Code” refers to the proposed Integrated Tax Code that was first announced in August 1998 in </w:t>
      </w:r>
      <w:r w:rsidRPr="006B3796">
        <w:rPr>
          <w:i/>
        </w:rPr>
        <w:t>Tax Reform: not a new tax, a new tax system</w:t>
      </w:r>
      <w:r w:rsidRPr="006B3796">
        <w:t xml:space="preserve">, and was also the subject of recommendations by the Ralph Review of Business Taxation in </w:t>
      </w:r>
      <w:r w:rsidR="002860B3">
        <w:t>Chapter 2</w:t>
      </w:r>
      <w:r w:rsidRPr="006B3796">
        <w:t xml:space="preserve"> of its Final Report.</w:t>
      </w:r>
    </w:p>
    <w:p w:rsidR="00013D83" w:rsidRPr="006B3796" w:rsidRDefault="00013D83" w:rsidP="001F3F21">
      <w:pPr>
        <w:pStyle w:val="BodyNum"/>
      </w:pPr>
      <w:r w:rsidRPr="006B3796">
        <w:t>The Tax Code does not so far have any formal legislative identity, but a number of its key elements already exist:</w:t>
      </w:r>
    </w:p>
    <w:p w:rsidR="00013D83" w:rsidRPr="006B3796" w:rsidRDefault="00013D83" w:rsidP="003775DC">
      <w:pPr>
        <w:pStyle w:val="BodyParaBullet"/>
      </w:pPr>
      <w:r w:rsidRPr="006B3796">
        <w:t>the rewritten income tax law, comprising:</w:t>
      </w:r>
    </w:p>
    <w:p w:rsidR="00013D83" w:rsidRPr="006B3796" w:rsidRDefault="00013D83" w:rsidP="00013D83">
      <w:pPr>
        <w:pStyle w:val="Body"/>
        <w:ind w:left="2160"/>
      </w:pPr>
      <w:r w:rsidRPr="006B3796">
        <w:t xml:space="preserve">the </w:t>
      </w:r>
      <w:r w:rsidRPr="006B3796">
        <w:rPr>
          <w:i/>
        </w:rPr>
        <w:t xml:space="preserve">Income Tax Assessment Act 1997 </w:t>
      </w:r>
      <w:r w:rsidRPr="006B3796">
        <w:t xml:space="preserve">(the </w:t>
      </w:r>
      <w:r w:rsidRPr="006B3796">
        <w:rPr>
          <w:b/>
          <w:i/>
        </w:rPr>
        <w:t>1997 Act</w:t>
      </w:r>
      <w:r w:rsidRPr="006B3796">
        <w:t>)</w:t>
      </w:r>
    </w:p>
    <w:p w:rsidR="00013D83" w:rsidRPr="006B3796" w:rsidRDefault="00013D83" w:rsidP="00013D83">
      <w:pPr>
        <w:pStyle w:val="Body"/>
        <w:ind w:left="2160"/>
      </w:pPr>
      <w:r w:rsidRPr="006B3796">
        <w:t xml:space="preserve">the </w:t>
      </w:r>
      <w:r w:rsidRPr="006B3796">
        <w:rPr>
          <w:i/>
        </w:rPr>
        <w:t>Income Tax (Transitional Provisions) Act 1997</w:t>
      </w:r>
    </w:p>
    <w:p w:rsidR="00013D83" w:rsidRPr="006B3796" w:rsidRDefault="00013D83" w:rsidP="003775DC">
      <w:pPr>
        <w:pStyle w:val="BodyParaBullet"/>
      </w:pPr>
      <w:r w:rsidRPr="006B3796">
        <w:t>the new indirect tax law, comprising:</w:t>
      </w:r>
    </w:p>
    <w:p w:rsidR="00013D83" w:rsidRPr="006B3796" w:rsidRDefault="00013D83" w:rsidP="00013D83">
      <w:pPr>
        <w:pStyle w:val="Body"/>
        <w:ind w:left="2160"/>
      </w:pPr>
      <w:r w:rsidRPr="006B3796">
        <w:t xml:space="preserve">the </w:t>
      </w:r>
      <w:r w:rsidRPr="006B3796">
        <w:rPr>
          <w:i/>
        </w:rPr>
        <w:t>A New Tax System (Goods and Services Tax) Act 1999</w:t>
      </w:r>
      <w:r w:rsidRPr="006B3796">
        <w:t xml:space="preserve"> (the </w:t>
      </w:r>
      <w:r w:rsidRPr="006B3796">
        <w:rPr>
          <w:b/>
          <w:i/>
        </w:rPr>
        <w:t>GST Act</w:t>
      </w:r>
      <w:r w:rsidRPr="006B3796">
        <w:t>)</w:t>
      </w:r>
    </w:p>
    <w:p w:rsidR="00013D83" w:rsidRPr="006B3796" w:rsidRDefault="00013D83" w:rsidP="00013D83">
      <w:pPr>
        <w:pStyle w:val="Body"/>
        <w:ind w:left="2160"/>
      </w:pPr>
      <w:r w:rsidRPr="006B3796">
        <w:t xml:space="preserve">the </w:t>
      </w:r>
      <w:r w:rsidRPr="006B3796">
        <w:rPr>
          <w:i/>
        </w:rPr>
        <w:t>A New Tax System (Luxury Car Tax) Act 1999</w:t>
      </w:r>
    </w:p>
    <w:p w:rsidR="00013D83" w:rsidRPr="006B3796" w:rsidRDefault="00013D83" w:rsidP="00013D83">
      <w:pPr>
        <w:pStyle w:val="Body"/>
        <w:ind w:left="2160"/>
      </w:pPr>
      <w:r w:rsidRPr="006B3796">
        <w:t xml:space="preserve">the </w:t>
      </w:r>
      <w:r w:rsidRPr="006B3796">
        <w:rPr>
          <w:i/>
        </w:rPr>
        <w:t>A New Tax System (Wine Equalisation Tax) Act 1999</w:t>
      </w:r>
    </w:p>
    <w:p w:rsidR="00013D83" w:rsidRPr="006B3796" w:rsidRDefault="00013D83" w:rsidP="00013D83">
      <w:pPr>
        <w:pStyle w:val="Body"/>
        <w:ind w:left="2160"/>
      </w:pPr>
      <w:r w:rsidRPr="006B3796">
        <w:t>Imposition Acts for those indirect taxes</w:t>
      </w:r>
    </w:p>
    <w:p w:rsidR="00013D83" w:rsidRPr="006B3796" w:rsidRDefault="00013D83" w:rsidP="003775DC">
      <w:pPr>
        <w:pStyle w:val="BodyParaBullet"/>
      </w:pPr>
      <w:r w:rsidRPr="006B3796">
        <w:t>the new collection and recovery provisions and generic administration provisions in:</w:t>
      </w:r>
    </w:p>
    <w:p w:rsidR="00013D83" w:rsidRPr="006B3796" w:rsidRDefault="002860B3" w:rsidP="00013D83">
      <w:pPr>
        <w:pStyle w:val="Body"/>
        <w:ind w:left="2160"/>
      </w:pPr>
      <w:r>
        <w:t>Schedule 1</w:t>
      </w:r>
      <w:r w:rsidR="00013D83" w:rsidRPr="006B3796">
        <w:t xml:space="preserve"> to the </w:t>
      </w:r>
      <w:r w:rsidR="00013D83" w:rsidRPr="006B3796">
        <w:rPr>
          <w:i/>
        </w:rPr>
        <w:t>Taxation Administration Act 1953</w:t>
      </w:r>
    </w:p>
    <w:p w:rsidR="00013D83" w:rsidRPr="006B3796" w:rsidRDefault="00013D83" w:rsidP="00013D83">
      <w:pPr>
        <w:pStyle w:val="Body"/>
        <w:ind w:left="2160"/>
      </w:pPr>
      <w:r w:rsidRPr="006B3796">
        <w:t xml:space="preserve">the </w:t>
      </w:r>
      <w:r w:rsidRPr="006B3796">
        <w:rPr>
          <w:i/>
        </w:rPr>
        <w:t>A New Tax System (Australian Business Number) Act 1999</w:t>
      </w:r>
      <w:r w:rsidRPr="006B3796">
        <w:t xml:space="preserve"> (the </w:t>
      </w:r>
      <w:r w:rsidRPr="006B3796">
        <w:rPr>
          <w:b/>
          <w:i/>
        </w:rPr>
        <w:t>ABN Act</w:t>
      </w:r>
      <w:r w:rsidRPr="006B3796">
        <w:t>)</w:t>
      </w:r>
    </w:p>
    <w:p w:rsidR="00013D83" w:rsidRPr="006B3796" w:rsidRDefault="00013D83" w:rsidP="003775DC">
      <w:pPr>
        <w:pStyle w:val="BodyParaBullet"/>
      </w:pPr>
      <w:r w:rsidRPr="006B3796">
        <w:t xml:space="preserve">the </w:t>
      </w:r>
      <w:r w:rsidRPr="006B3796">
        <w:rPr>
          <w:i/>
        </w:rPr>
        <w:t>Venture Capital Act 2002</w:t>
      </w:r>
      <w:r w:rsidRPr="006B3796">
        <w:t>.</w:t>
      </w:r>
    </w:p>
    <w:p w:rsidR="00013D83" w:rsidRPr="006B3796" w:rsidRDefault="00013D83" w:rsidP="001F3F21">
      <w:pPr>
        <w:pStyle w:val="BodyNum"/>
      </w:pPr>
      <w:r w:rsidRPr="006B3796">
        <w:t>At present, what distinguishes legislation in the Tax Code from legislation not in the Code are features of design, drafting style and presentation, many of which are documented in this Drafting Direction.</w:t>
      </w:r>
    </w:p>
    <w:p w:rsidR="00013D83" w:rsidRPr="006B3796" w:rsidRDefault="00013D83" w:rsidP="006B3796">
      <w:pPr>
        <w:pStyle w:val="Head3"/>
      </w:pPr>
      <w:bookmarkStart w:id="2" w:name="_Toc144733629"/>
      <w:r w:rsidRPr="006B3796">
        <w:t>Future additions to the Tax Code</w:t>
      </w:r>
      <w:bookmarkEnd w:id="2"/>
    </w:p>
    <w:p w:rsidR="00013D83" w:rsidRPr="006B3796" w:rsidRDefault="00013D83" w:rsidP="006B3796">
      <w:pPr>
        <w:pStyle w:val="Head4"/>
      </w:pPr>
      <w:bookmarkStart w:id="3" w:name="_Toc144733630"/>
      <w:r w:rsidRPr="006B3796">
        <w:t>For the income tax law</w:t>
      </w:r>
      <w:bookmarkEnd w:id="3"/>
    </w:p>
    <w:p w:rsidR="00013D83" w:rsidRPr="006B3796" w:rsidRDefault="00013D83" w:rsidP="00013D83">
      <w:pPr>
        <w:pStyle w:val="ActHead5"/>
      </w:pPr>
      <w:bookmarkStart w:id="4" w:name="_Toc144733631"/>
      <w:r w:rsidRPr="006B3796">
        <w:t>Enacting new material</w:t>
      </w:r>
      <w:bookmarkEnd w:id="4"/>
    </w:p>
    <w:p w:rsidR="00013D83" w:rsidRPr="006B3796" w:rsidRDefault="00013D83" w:rsidP="001F3F21">
      <w:pPr>
        <w:pStyle w:val="BodyNum"/>
      </w:pPr>
      <w:r w:rsidRPr="006B3796">
        <w:t xml:space="preserve">For some time now, it has been the practice to enact new provisions of the income tax law as amendments of the 1997 Act and not the </w:t>
      </w:r>
      <w:r w:rsidRPr="006B3796">
        <w:rPr>
          <w:i/>
        </w:rPr>
        <w:t>Income Tax Assessment Act 1936</w:t>
      </w:r>
      <w:r w:rsidRPr="006B3796">
        <w:t xml:space="preserve">. New </w:t>
      </w:r>
      <w:r w:rsidRPr="006B3796">
        <w:lastRenderedPageBreak/>
        <w:t>material should only be included in the 1936 Act with the agreement of First Parliamentary Counsel.</w:t>
      </w:r>
    </w:p>
    <w:p w:rsidR="00013D83" w:rsidRPr="006B3796" w:rsidRDefault="00013D83" w:rsidP="00013D83">
      <w:pPr>
        <w:pStyle w:val="ActHead5"/>
      </w:pPr>
      <w:bookmarkStart w:id="5" w:name="_Toc144733632"/>
      <w:r w:rsidRPr="006B3796">
        <w:t>Completing the rewrite of the old income tax law</w:t>
      </w:r>
      <w:bookmarkEnd w:id="5"/>
    </w:p>
    <w:p w:rsidR="00013D83" w:rsidRPr="006B3796" w:rsidRDefault="00013D83" w:rsidP="001F3F21">
      <w:pPr>
        <w:pStyle w:val="BodyNum"/>
      </w:pPr>
      <w:r w:rsidRPr="006B3796">
        <w:t>The process for continuing the re</w:t>
      </w:r>
      <w:r w:rsidR="002860B3">
        <w:noBreakHyphen/>
      </w:r>
      <w:r w:rsidRPr="006B3796">
        <w:t xml:space="preserve">write of the income tax law is currently under discussion. One option for the next step in the process is for the “operative” provisions of the </w:t>
      </w:r>
      <w:r w:rsidRPr="006B3796">
        <w:rPr>
          <w:i/>
        </w:rPr>
        <w:t>Income Tax Assessment Act 1936</w:t>
      </w:r>
      <w:r w:rsidRPr="006B3796">
        <w:t xml:space="preserve"> to be imported into the 1997 Act, perhaps as a Schedule to that Act. </w:t>
      </w:r>
    </w:p>
    <w:p w:rsidR="00013D83" w:rsidRPr="006B3796" w:rsidRDefault="00013D83" w:rsidP="006B3796">
      <w:pPr>
        <w:pStyle w:val="Head4"/>
      </w:pPr>
      <w:bookmarkStart w:id="6" w:name="_Toc144733633"/>
      <w:r w:rsidRPr="006B3796">
        <w:t>For the Taxation Administration Act</w:t>
      </w:r>
      <w:bookmarkEnd w:id="6"/>
    </w:p>
    <w:p w:rsidR="00013D83" w:rsidRPr="006B3796" w:rsidRDefault="00013D83" w:rsidP="00013D83">
      <w:pPr>
        <w:pStyle w:val="ActHead5"/>
      </w:pPr>
      <w:bookmarkStart w:id="7" w:name="_Toc144733634"/>
      <w:r w:rsidRPr="006B3796">
        <w:t>Enacting new material</w:t>
      </w:r>
      <w:bookmarkEnd w:id="7"/>
    </w:p>
    <w:p w:rsidR="00013D83" w:rsidRPr="006B3796" w:rsidRDefault="00013D83" w:rsidP="001F3F21">
      <w:pPr>
        <w:pStyle w:val="BodyNum"/>
      </w:pPr>
      <w:r w:rsidRPr="006B3796">
        <w:t xml:space="preserve">New collection, recovery and tax administration provisions are to be included in </w:t>
      </w:r>
      <w:r w:rsidR="002860B3">
        <w:t>Schedule 1</w:t>
      </w:r>
      <w:r w:rsidRPr="006B3796">
        <w:t xml:space="preserve"> to the </w:t>
      </w:r>
      <w:r w:rsidRPr="006B3796">
        <w:rPr>
          <w:i/>
        </w:rPr>
        <w:t>Taxation Administration Act 1953</w:t>
      </w:r>
      <w:r w:rsidRPr="006B3796">
        <w:t>.</w:t>
      </w:r>
    </w:p>
    <w:p w:rsidR="00013D83" w:rsidRPr="006B3796" w:rsidRDefault="00013D83" w:rsidP="00013D83">
      <w:pPr>
        <w:pStyle w:val="ActHead5"/>
      </w:pPr>
      <w:bookmarkStart w:id="8" w:name="_Toc144733635"/>
      <w:r w:rsidRPr="006B3796">
        <w:t>Completing the re</w:t>
      </w:r>
      <w:r w:rsidR="002860B3">
        <w:noBreakHyphen/>
      </w:r>
      <w:r w:rsidRPr="006B3796">
        <w:t>organisation of the old administration provisions</w:t>
      </w:r>
      <w:bookmarkEnd w:id="8"/>
    </w:p>
    <w:p w:rsidR="00013D83" w:rsidRPr="006B3796" w:rsidRDefault="00013D83" w:rsidP="001F3F21">
      <w:pPr>
        <w:pStyle w:val="BodyNum"/>
      </w:pPr>
      <w:r w:rsidRPr="006B3796">
        <w:t xml:space="preserve">The provisions in the body of the </w:t>
      </w:r>
      <w:r w:rsidRPr="006B3796">
        <w:rPr>
          <w:i/>
        </w:rPr>
        <w:t>Taxation Administration Act 1953</w:t>
      </w:r>
      <w:r w:rsidRPr="006B3796">
        <w:t xml:space="preserve"> will over time be brought into the Tax Code, by being either re</w:t>
      </w:r>
      <w:r w:rsidR="002860B3">
        <w:noBreakHyphen/>
      </w:r>
      <w:r w:rsidRPr="006B3796">
        <w:t xml:space="preserve">enacted as provisions in </w:t>
      </w:r>
      <w:r w:rsidR="002860B3">
        <w:t>Schedule 1</w:t>
      </w:r>
      <w:r w:rsidRPr="006B3796">
        <w:t xml:space="preserve"> to that Act, or amended to make them consistent with the rules applying to Tax Code drafting. At the end of that process, the Act will be reorganised so that:</w:t>
      </w:r>
    </w:p>
    <w:p w:rsidR="00013D83" w:rsidRPr="006B3796" w:rsidRDefault="00013D83" w:rsidP="003775DC">
      <w:pPr>
        <w:pStyle w:val="BodyParaBullet"/>
      </w:pPr>
      <w:r w:rsidRPr="006B3796">
        <w:t xml:space="preserve">the provisions in </w:t>
      </w:r>
      <w:r w:rsidR="002860B3">
        <w:t>Schedule 1</w:t>
      </w:r>
      <w:r w:rsidRPr="006B3796">
        <w:t xml:space="preserve"> are moved into the body of the Act (without being renumbered); and</w:t>
      </w:r>
    </w:p>
    <w:p w:rsidR="00013D83" w:rsidRPr="006B3796" w:rsidRDefault="00013D83" w:rsidP="003775DC">
      <w:pPr>
        <w:pStyle w:val="BodyParaBullet"/>
      </w:pPr>
      <w:r w:rsidRPr="006B3796">
        <w:t xml:space="preserve">the provisions already in the body of the Act are renumbered and integrated into the sequence established for the </w:t>
      </w:r>
      <w:r w:rsidR="002860B3">
        <w:t>Schedule 1</w:t>
      </w:r>
      <w:r w:rsidRPr="006B3796">
        <w:t xml:space="preserve"> provisions.</w:t>
      </w:r>
    </w:p>
    <w:p w:rsidR="00013D83" w:rsidRPr="006B3796" w:rsidRDefault="00013D83" w:rsidP="006B3796">
      <w:pPr>
        <w:pStyle w:val="Head4"/>
      </w:pPr>
      <w:bookmarkStart w:id="9" w:name="_Toc144733636"/>
      <w:r w:rsidRPr="006B3796">
        <w:t>Identifying other laws to become part of the Tax Code</w:t>
      </w:r>
      <w:bookmarkEnd w:id="9"/>
    </w:p>
    <w:p w:rsidR="00013D83" w:rsidRPr="006B3796" w:rsidRDefault="00013D83" w:rsidP="001F3F21">
      <w:pPr>
        <w:pStyle w:val="BodyNum"/>
      </w:pPr>
      <w:r w:rsidRPr="006B3796">
        <w:t>Any new tax legislation will form part of the Tax Code. This will mean that:</w:t>
      </w:r>
    </w:p>
    <w:p w:rsidR="00013D83" w:rsidRPr="001F3F21" w:rsidRDefault="00013D83" w:rsidP="001F3F21">
      <w:pPr>
        <w:pStyle w:val="BodyParaBullet"/>
      </w:pPr>
      <w:r w:rsidRPr="001F3F21">
        <w:t>legislation will need to be drafted in the TLIP style; and</w:t>
      </w:r>
    </w:p>
    <w:p w:rsidR="00013D83" w:rsidRPr="006B3796" w:rsidRDefault="00013D83" w:rsidP="001F3F21">
      <w:pPr>
        <w:pStyle w:val="BodyParaBullet"/>
      </w:pPr>
      <w:r w:rsidRPr="001F3F21">
        <w:t>terms</w:t>
      </w:r>
      <w:r w:rsidRPr="006B3796">
        <w:t xml:space="preserve"> used in the new legislation will need to be defined in such a way that they work with the other Acts that make up the Code.</w:t>
      </w:r>
    </w:p>
    <w:p w:rsidR="00013D83" w:rsidRPr="006B3796" w:rsidRDefault="00013D83" w:rsidP="001F3F21">
      <w:pPr>
        <w:pStyle w:val="BodyNum"/>
      </w:pPr>
      <w:r w:rsidRPr="006B3796">
        <w:t xml:space="preserve">If you have any concerns about the appropriateness of including a particular piece of legislation in the Tax Code, you should raise these with the </w:t>
      </w:r>
      <w:r w:rsidR="007A74C5">
        <w:t>Law</w:t>
      </w:r>
      <w:r w:rsidRPr="006B3796">
        <w:t xml:space="preserve"> Division at the Treasury.</w:t>
      </w:r>
    </w:p>
    <w:p w:rsidR="00013D83" w:rsidRPr="006B3796" w:rsidRDefault="00013D83" w:rsidP="001F3F21">
      <w:pPr>
        <w:pStyle w:val="BodyNum"/>
      </w:pPr>
      <w:r w:rsidRPr="006B3796">
        <w:t xml:space="preserve">In due course, other existing Acts administered by the Commissioner (such as the </w:t>
      </w:r>
      <w:r w:rsidRPr="006B3796">
        <w:rPr>
          <w:i/>
        </w:rPr>
        <w:t>Fringe Benefits Tax Assessment Act 1986</w:t>
      </w:r>
      <w:r w:rsidRPr="006B3796">
        <w:t>) may be included in the Tax Code as and when they are rewritten.</w:t>
      </w:r>
    </w:p>
    <w:p w:rsidR="00013D83" w:rsidRPr="006B3796" w:rsidRDefault="002860B3" w:rsidP="006B3796">
      <w:pPr>
        <w:pStyle w:val="Head2"/>
      </w:pPr>
      <w:bookmarkStart w:id="10" w:name="_Toc144733637"/>
      <w:r>
        <w:t>Part 2</w:t>
      </w:r>
      <w:r w:rsidR="00013D83" w:rsidRPr="006B3796">
        <w:t>—The purpose of this Drafting Direction</w:t>
      </w:r>
      <w:bookmarkEnd w:id="10"/>
    </w:p>
    <w:p w:rsidR="00013D83" w:rsidRPr="006B3796" w:rsidRDefault="00013D83" w:rsidP="001F3F21">
      <w:pPr>
        <w:pStyle w:val="BodyNum"/>
      </w:pPr>
      <w:r w:rsidRPr="006B3796">
        <w:t xml:space="preserve">This Drafting Direction contains special rules that apply to Bills that will form part of the Tax Code or that amend Acts that are part of the Tax Code. The rules do not apply to any </w:t>
      </w:r>
      <w:r w:rsidRPr="006B3796">
        <w:lastRenderedPageBreak/>
        <w:t>other Bills. In particular, they do not apply to Bills amending tax legislation that has not yet been brought into the Code.</w:t>
      </w:r>
    </w:p>
    <w:p w:rsidR="00013D83" w:rsidRPr="006B3796" w:rsidRDefault="00013D83" w:rsidP="001F3F21">
      <w:pPr>
        <w:pStyle w:val="BodyNum"/>
      </w:pPr>
      <w:r w:rsidRPr="006B3796">
        <w:t>These rules override rules contained in other Drafting Directions, Word Notes or the Amending Forms Manual.</w:t>
      </w:r>
    </w:p>
    <w:p w:rsidR="00013D83" w:rsidRPr="006B3796" w:rsidRDefault="00013D83" w:rsidP="001F3F21">
      <w:pPr>
        <w:pStyle w:val="BodyNum"/>
      </w:pPr>
      <w:r w:rsidRPr="006B3796">
        <w:t>This Drafting Direction sets out a brief summary of each of the rules and refers to the TLIP Drafting Note in which the rule was originally set out. Extracts from various TLIP Drafting Notes are attached to this Drafting Direction.</w:t>
      </w:r>
    </w:p>
    <w:p w:rsidR="00013D83" w:rsidRPr="006B3796" w:rsidRDefault="002860B3" w:rsidP="006B3796">
      <w:pPr>
        <w:pStyle w:val="Head2"/>
      </w:pPr>
      <w:bookmarkStart w:id="11" w:name="_Toc144733638"/>
      <w:r>
        <w:t>Part 3</w:t>
      </w:r>
      <w:r w:rsidR="00013D83" w:rsidRPr="006B3796">
        <w:t>—Acts that make up the Tax Code</w:t>
      </w:r>
      <w:bookmarkEnd w:id="11"/>
    </w:p>
    <w:p w:rsidR="00013D83" w:rsidRPr="006B3796" w:rsidRDefault="00013D83" w:rsidP="001F3F21">
      <w:pPr>
        <w:pStyle w:val="BodyNum"/>
      </w:pPr>
      <w:r w:rsidRPr="006B3796">
        <w:t>The Acts that make up the Tax Code for the purposes of this Drafting Direction are:</w:t>
      </w:r>
    </w:p>
    <w:p w:rsidR="00013D83" w:rsidRPr="007E4644" w:rsidRDefault="00013D83" w:rsidP="007E4644">
      <w:pPr>
        <w:pStyle w:val="BodyParaBullet"/>
      </w:pPr>
      <w:r w:rsidRPr="007E4644">
        <w:t>1997 Act;</w:t>
      </w:r>
    </w:p>
    <w:p w:rsidR="00013D83" w:rsidRPr="007E4644" w:rsidRDefault="00013D83" w:rsidP="007E4644">
      <w:pPr>
        <w:pStyle w:val="BodyParaBullet"/>
      </w:pPr>
      <w:r w:rsidRPr="007E4644">
        <w:rPr>
          <w:i/>
        </w:rPr>
        <w:t>Income Tax (Transitional Provisions) Act 1997</w:t>
      </w:r>
      <w:r w:rsidRPr="007E4644">
        <w:t>;</w:t>
      </w:r>
    </w:p>
    <w:p w:rsidR="00013D83" w:rsidRPr="007E4644" w:rsidRDefault="00013D83" w:rsidP="007E4644">
      <w:pPr>
        <w:pStyle w:val="BodyParaBullet"/>
      </w:pPr>
      <w:r w:rsidRPr="007E4644">
        <w:t>GST Act;</w:t>
      </w:r>
    </w:p>
    <w:p w:rsidR="00013D83" w:rsidRPr="007E4644" w:rsidRDefault="00013D83" w:rsidP="007E4644">
      <w:pPr>
        <w:pStyle w:val="BodyParaBullet"/>
      </w:pPr>
      <w:r w:rsidRPr="007E4644">
        <w:rPr>
          <w:i/>
        </w:rPr>
        <w:t>A New Tax System (Luxury Car Tax) Act 1999</w:t>
      </w:r>
      <w:r w:rsidRPr="007E4644">
        <w:t>;</w:t>
      </w:r>
    </w:p>
    <w:p w:rsidR="00013D83" w:rsidRPr="007E4644" w:rsidRDefault="00013D83" w:rsidP="007E4644">
      <w:pPr>
        <w:pStyle w:val="BodyParaBullet"/>
      </w:pPr>
      <w:r w:rsidRPr="007E4644">
        <w:rPr>
          <w:i/>
        </w:rPr>
        <w:t>A New Tax System (Wine Equalisation Tax) Act 1999</w:t>
      </w:r>
      <w:r w:rsidRPr="007E4644">
        <w:t>;</w:t>
      </w:r>
    </w:p>
    <w:p w:rsidR="00013D83" w:rsidRPr="007E4644" w:rsidRDefault="002860B3" w:rsidP="007E4644">
      <w:pPr>
        <w:pStyle w:val="BodyParaBullet"/>
      </w:pPr>
      <w:r>
        <w:t>Schedule 1</w:t>
      </w:r>
      <w:r w:rsidR="00013D83" w:rsidRPr="007E4644">
        <w:t xml:space="preserve"> to the </w:t>
      </w:r>
      <w:r w:rsidR="00013D83" w:rsidRPr="007E4644">
        <w:rPr>
          <w:i/>
        </w:rPr>
        <w:t>Taxation Administration Act 1953</w:t>
      </w:r>
      <w:r w:rsidR="00013D83" w:rsidRPr="007E4644">
        <w:t>;</w:t>
      </w:r>
    </w:p>
    <w:p w:rsidR="00013D83" w:rsidRPr="007E4644" w:rsidRDefault="00013D83" w:rsidP="007E4644">
      <w:pPr>
        <w:pStyle w:val="BodyParaBullet"/>
      </w:pPr>
      <w:r w:rsidRPr="007E4644">
        <w:t>ABN Act;</w:t>
      </w:r>
    </w:p>
    <w:p w:rsidR="00013D83" w:rsidRPr="007E4644" w:rsidRDefault="00013D83" w:rsidP="007E4644">
      <w:pPr>
        <w:pStyle w:val="BodyParaBullet"/>
      </w:pPr>
      <w:r w:rsidRPr="007E4644">
        <w:rPr>
          <w:i/>
        </w:rPr>
        <w:t>Venture Capital Act 2002</w:t>
      </w:r>
      <w:r w:rsidRPr="007E4644">
        <w:t>;</w:t>
      </w:r>
    </w:p>
    <w:p w:rsidR="00013D83" w:rsidRPr="007E4644" w:rsidRDefault="00013D83" w:rsidP="007E4644">
      <w:pPr>
        <w:pStyle w:val="BodyParaBullet"/>
      </w:pPr>
      <w:r w:rsidRPr="007E4644">
        <w:rPr>
          <w:i/>
        </w:rPr>
        <w:t>Fuel Tax Act 2006</w:t>
      </w:r>
      <w:r w:rsidRPr="007E4644">
        <w:t>;</w:t>
      </w:r>
    </w:p>
    <w:p w:rsidR="00013D83" w:rsidRPr="007E4644" w:rsidRDefault="00013D83" w:rsidP="007E4644">
      <w:pPr>
        <w:pStyle w:val="BodyParaBullet"/>
      </w:pPr>
      <w:r w:rsidRPr="007E4644">
        <w:t>any new tax legislation.</w:t>
      </w:r>
    </w:p>
    <w:p w:rsidR="00013D83" w:rsidRPr="006B3796" w:rsidRDefault="002860B3" w:rsidP="006B3796">
      <w:pPr>
        <w:pStyle w:val="Head3"/>
      </w:pPr>
      <w:bookmarkStart w:id="12" w:name="_Toc144733639"/>
      <w:r>
        <w:t>Schedules 2</w:t>
      </w:r>
      <w:r w:rsidR="00013D83" w:rsidRPr="006B3796">
        <w:t>C to 2J of the 1936 Act</w:t>
      </w:r>
      <w:bookmarkEnd w:id="12"/>
    </w:p>
    <w:p w:rsidR="00013D83" w:rsidRPr="006B3796" w:rsidRDefault="00013D83" w:rsidP="007E4644">
      <w:pPr>
        <w:pStyle w:val="BodyNum"/>
        <w:rPr>
          <w:b/>
          <w:i/>
        </w:rPr>
      </w:pPr>
      <w:r w:rsidRPr="006B3796">
        <w:t xml:space="preserve">In addition, </w:t>
      </w:r>
      <w:r w:rsidR="002860B3">
        <w:t>Schedules 2</w:t>
      </w:r>
      <w:r w:rsidRPr="006B3796">
        <w:t xml:space="preserve">C to 2J (only) of the </w:t>
      </w:r>
      <w:r w:rsidRPr="006B3796">
        <w:rPr>
          <w:i/>
        </w:rPr>
        <w:t>Income Tax Assessment Act 1936</w:t>
      </w:r>
      <w:r w:rsidRPr="006B3796">
        <w:t xml:space="preserve"> (the </w:t>
      </w:r>
      <w:r w:rsidRPr="006B3796">
        <w:rPr>
          <w:b/>
          <w:i/>
        </w:rPr>
        <w:t>1936 Act</w:t>
      </w:r>
      <w:r w:rsidRPr="006B3796">
        <w:t>) should be treated as if they formed part of the Code.</w:t>
      </w:r>
    </w:p>
    <w:p w:rsidR="00013D83" w:rsidRPr="006B3796" w:rsidRDefault="00013D83" w:rsidP="007E4644">
      <w:pPr>
        <w:pStyle w:val="BodyNum"/>
      </w:pPr>
      <w:r w:rsidRPr="006B3796">
        <w:t>These Schedules do not comply with the rules in this Drafting Direction (that is why they were not included in the 1997 Act</w:t>
      </w:r>
      <w:r w:rsidRPr="006B3796">
        <w:rPr>
          <w:i/>
        </w:rPr>
        <w:t xml:space="preserve"> </w:t>
      </w:r>
      <w:r w:rsidRPr="006B3796">
        <w:t>in the first place), and they will of course need to be rewritten for inclusion in that Act. The work involved in rewriting them will however be reduced if they are treated as part of the Tax Code for the purposes of applying the rules in this Drafting Direction to drafting other Tax Code legislation, and to drafting amendments of those Schedules.</w:t>
      </w:r>
    </w:p>
    <w:p w:rsidR="00013D83" w:rsidRPr="006B3796" w:rsidRDefault="00013D83" w:rsidP="007E4644">
      <w:pPr>
        <w:pStyle w:val="BodyNum"/>
      </w:pPr>
      <w:r w:rsidRPr="006B3796">
        <w:t xml:space="preserve">No further Schedules should be added to the </w:t>
      </w:r>
      <w:r w:rsidRPr="006B3796">
        <w:rPr>
          <w:i/>
        </w:rPr>
        <w:t>Income Tax Assessment Act 1936</w:t>
      </w:r>
      <w:r w:rsidRPr="006B3796">
        <w:t>.</w:t>
      </w:r>
    </w:p>
    <w:p w:rsidR="00013D83" w:rsidRPr="006B3796" w:rsidRDefault="00013D83" w:rsidP="006B3796">
      <w:pPr>
        <w:pStyle w:val="Head3"/>
      </w:pPr>
      <w:bookmarkStart w:id="13" w:name="_Toc144733640"/>
      <w:r w:rsidRPr="006B3796">
        <w:lastRenderedPageBreak/>
        <w:t>Differences in the indirect tax legislation and the ABN Act</w:t>
      </w:r>
      <w:bookmarkEnd w:id="13"/>
    </w:p>
    <w:p w:rsidR="00013D83" w:rsidRPr="006B3796" w:rsidRDefault="00013D83" w:rsidP="007E4644">
      <w:pPr>
        <w:pStyle w:val="BodyNum"/>
      </w:pPr>
      <w:r w:rsidRPr="006B3796">
        <w:t>The indirect tax legislation (GST Act</w:t>
      </w:r>
      <w:r w:rsidRPr="006B3796">
        <w:rPr>
          <w:i/>
        </w:rPr>
        <w:t xml:space="preserve">, A New Tax System (Luxury Car Tax) Act 1999 </w:t>
      </w:r>
      <w:r w:rsidRPr="006B3796">
        <w:t xml:space="preserve">and </w:t>
      </w:r>
      <w:r w:rsidRPr="006B3796">
        <w:rPr>
          <w:i/>
        </w:rPr>
        <w:t>A New Tax System (Wine Equalisation Tax) Act 1999</w:t>
      </w:r>
      <w:r w:rsidRPr="006B3796">
        <w:t>) does not use all of the features set out in this Drafting Direction. A list of the features used, and not used, in those Acts is in Attachment C.</w:t>
      </w:r>
    </w:p>
    <w:p w:rsidR="00013D83" w:rsidRPr="006B3796" w:rsidRDefault="00013D83" w:rsidP="007E4644">
      <w:pPr>
        <w:pStyle w:val="BodyNum"/>
      </w:pPr>
      <w:r w:rsidRPr="006B3796">
        <w:t>The</w:t>
      </w:r>
      <w:r w:rsidRPr="006B3796">
        <w:rPr>
          <w:i/>
        </w:rPr>
        <w:t xml:space="preserve"> </w:t>
      </w:r>
      <w:r w:rsidRPr="006B3796">
        <w:t>ABN Act uses only a small subset of the standard features set out in this Drafting Direction. A list of the features used, and not used, in that Act is in Attachment C.</w:t>
      </w:r>
    </w:p>
    <w:p w:rsidR="00013D83" w:rsidRPr="006B3796" w:rsidRDefault="00013D83" w:rsidP="007E4644">
      <w:pPr>
        <w:pStyle w:val="BodyNum"/>
      </w:pPr>
      <w:r w:rsidRPr="006B3796">
        <w:t>New principal Acts should use either all of the features set out in this Drafting Direction, or only the subset of features used in the ABN Act.</w:t>
      </w:r>
    </w:p>
    <w:p w:rsidR="00013D83" w:rsidRPr="006B3796" w:rsidRDefault="002860B3" w:rsidP="006B3796">
      <w:pPr>
        <w:pStyle w:val="Head2"/>
      </w:pPr>
      <w:bookmarkStart w:id="14" w:name="_Toc144733641"/>
      <w:r>
        <w:t>Part 4</w:t>
      </w:r>
      <w:r w:rsidR="00013D83" w:rsidRPr="006B3796">
        <w:t>—Where to locate provisions in Acts forming part of the Tax Code: how to maintain a coherent overall structure</w:t>
      </w:r>
      <w:bookmarkEnd w:id="14"/>
    </w:p>
    <w:p w:rsidR="00013D83" w:rsidRPr="006B3796" w:rsidRDefault="00013D83" w:rsidP="006B3796">
      <w:pPr>
        <w:pStyle w:val="Head3"/>
      </w:pPr>
      <w:bookmarkStart w:id="15" w:name="_Toc144733642"/>
      <w:r w:rsidRPr="006B3796">
        <w:t>General</w:t>
      </w:r>
      <w:bookmarkEnd w:id="15"/>
    </w:p>
    <w:p w:rsidR="00013D83" w:rsidRPr="006B3796" w:rsidRDefault="00013D83" w:rsidP="007E4644">
      <w:pPr>
        <w:pStyle w:val="BodyNum"/>
      </w:pPr>
      <w:r w:rsidRPr="006B3796">
        <w:t>Provisions for inclusion in the Tax Code are broadly of these kinds:</w:t>
      </w:r>
    </w:p>
    <w:p w:rsidR="00013D83" w:rsidRPr="006B3796" w:rsidRDefault="00013D83" w:rsidP="003775DC">
      <w:pPr>
        <w:pStyle w:val="BodyParaBullet"/>
      </w:pPr>
      <w:r w:rsidRPr="006B3796">
        <w:t xml:space="preserve">imposition provisions, which must be in a separate Act to comply with </w:t>
      </w:r>
      <w:r w:rsidR="002860B3">
        <w:t>section 5</w:t>
      </w:r>
      <w:r w:rsidRPr="006B3796">
        <w:t>5 of the Constitution;</w:t>
      </w:r>
    </w:p>
    <w:p w:rsidR="00013D83" w:rsidRPr="006B3796" w:rsidRDefault="00013D83" w:rsidP="003775DC">
      <w:pPr>
        <w:pStyle w:val="BodyParaBullet"/>
      </w:pPr>
      <w:r w:rsidRPr="006B3796">
        <w:t>liability provisions, which should be in the assessment Act for the particular tax;</w:t>
      </w:r>
    </w:p>
    <w:p w:rsidR="00013D83" w:rsidRPr="006B3796" w:rsidRDefault="00013D83" w:rsidP="003775DC">
      <w:pPr>
        <w:pStyle w:val="BodyParaBullet"/>
      </w:pPr>
      <w:r w:rsidRPr="006B3796">
        <w:t xml:space="preserve">provisions dealing with collection, recovery or administration, which by and large, should be included in </w:t>
      </w:r>
      <w:r w:rsidR="002860B3">
        <w:t>Schedule 1</w:t>
      </w:r>
      <w:r w:rsidRPr="006B3796">
        <w:t xml:space="preserve"> to the </w:t>
      </w:r>
      <w:r w:rsidRPr="006B3796">
        <w:rPr>
          <w:i/>
        </w:rPr>
        <w:t>Taxation Administration Act 1953</w:t>
      </w:r>
      <w:r w:rsidRPr="006B3796">
        <w:t>;</w:t>
      </w:r>
    </w:p>
    <w:p w:rsidR="00013D83" w:rsidRPr="006B3796" w:rsidRDefault="00013D83" w:rsidP="003775DC">
      <w:pPr>
        <w:pStyle w:val="BodyParaBullet"/>
      </w:pPr>
      <w:r w:rsidRPr="006B3796">
        <w:t>interpretation provisions, which need to comply with the rules set out in this Drafting Direction about defined terms; they can be located on a “just in time” basis with the provisions they relate to, but must also be signposted in the relevant Dictionary.</w:t>
      </w:r>
    </w:p>
    <w:p w:rsidR="00013D83" w:rsidRPr="006B3796" w:rsidRDefault="00013D83" w:rsidP="006B3796">
      <w:pPr>
        <w:pStyle w:val="Head3"/>
      </w:pPr>
      <w:bookmarkStart w:id="16" w:name="_Toc144733643"/>
      <w:r w:rsidRPr="006B3796">
        <w:t xml:space="preserve">Where to put new provisions in the 1997 Act and </w:t>
      </w:r>
      <w:r w:rsidR="002860B3">
        <w:t>Schedule 1</w:t>
      </w:r>
      <w:r w:rsidRPr="006B3796">
        <w:t xml:space="preserve"> to the Taxation Administration Act 1953</w:t>
      </w:r>
      <w:bookmarkEnd w:id="16"/>
    </w:p>
    <w:p w:rsidR="00013D83" w:rsidRPr="006B3796" w:rsidRDefault="00013D83" w:rsidP="007E4644">
      <w:pPr>
        <w:pStyle w:val="BodyNum"/>
      </w:pPr>
      <w:r w:rsidRPr="006B3796">
        <w:t xml:space="preserve">Any new instructions to include provisions in the 1997 Act or </w:t>
      </w:r>
      <w:r w:rsidR="002860B3">
        <w:t>Schedule 1</w:t>
      </w:r>
      <w:r w:rsidRPr="006B3796">
        <w:t xml:space="preserve"> to the </w:t>
      </w:r>
      <w:r w:rsidRPr="006B3796">
        <w:rPr>
          <w:i/>
        </w:rPr>
        <w:t>Taxation Administration Act 1953</w:t>
      </w:r>
      <w:r w:rsidRPr="006B3796">
        <w:t xml:space="preserve"> should include a statement on where, in your instructor’s view, those provisions are best inserted. </w:t>
      </w:r>
    </w:p>
    <w:p w:rsidR="00013D83" w:rsidRPr="006B3796" w:rsidRDefault="00013D83" w:rsidP="007E4644">
      <w:pPr>
        <w:pStyle w:val="BodyNum"/>
      </w:pPr>
      <w:r w:rsidRPr="006B3796">
        <w:t xml:space="preserve">Treasury maintains master plans for the 1997 Act and </w:t>
      </w:r>
      <w:r w:rsidR="002860B3">
        <w:t>Schedule 1</w:t>
      </w:r>
      <w:r w:rsidRPr="006B3796">
        <w:t xml:space="preserve"> to the </w:t>
      </w:r>
      <w:r w:rsidRPr="006B3796">
        <w:rPr>
          <w:i/>
        </w:rPr>
        <w:t>Taxation Administration Act 1953</w:t>
      </w:r>
      <w:r w:rsidRPr="006B3796">
        <w:t xml:space="preserve">. A copy of the current version of the master plans is in Folio Office Documents. The master plans will be updated on </w:t>
      </w:r>
      <w:r w:rsidR="00B25411">
        <w:t>Folio</w:t>
      </w:r>
      <w:r w:rsidRPr="006B3796">
        <w:t xml:space="preserve"> whenever we receive new versions.</w:t>
      </w:r>
    </w:p>
    <w:p w:rsidR="00013D83" w:rsidRPr="006B3796" w:rsidRDefault="00013D83" w:rsidP="007E4644">
      <w:pPr>
        <w:pStyle w:val="BodyNum"/>
      </w:pPr>
      <w:r w:rsidRPr="006B3796">
        <w:t>The master plans include both current provisions and placeholders for provisions that are anticipated. Your instructions should be based upon the plans.</w:t>
      </w:r>
    </w:p>
    <w:p w:rsidR="00013D83" w:rsidRPr="006B3796" w:rsidRDefault="00013D83" w:rsidP="007E4644">
      <w:pPr>
        <w:pStyle w:val="BodyNum"/>
      </w:pPr>
      <w:r w:rsidRPr="006B3796">
        <w:lastRenderedPageBreak/>
        <w:t xml:space="preserve">If you believe that the provisions would be better inserted elsewhere, you should initially discuss this with your instructor and then, if you cannot resolve the issue in that way, with the </w:t>
      </w:r>
      <w:r w:rsidR="007A74C5">
        <w:t>Law</w:t>
      </w:r>
      <w:r w:rsidRPr="006B3796">
        <w:t xml:space="preserve"> Division in the Treasury.</w:t>
      </w:r>
    </w:p>
    <w:p w:rsidR="00013D83" w:rsidRPr="006B3796" w:rsidRDefault="00013D83" w:rsidP="006B3796">
      <w:pPr>
        <w:pStyle w:val="Head3"/>
      </w:pPr>
      <w:bookmarkStart w:id="17" w:name="_Toc144733644"/>
      <w:r w:rsidRPr="006B3796">
        <w:t>Location of provisions in the GST Act</w:t>
      </w:r>
      <w:bookmarkEnd w:id="17"/>
    </w:p>
    <w:p w:rsidR="00013D83" w:rsidRPr="006B3796" w:rsidRDefault="00013D83" w:rsidP="007E4644">
      <w:pPr>
        <w:pStyle w:val="BodyNum"/>
      </w:pPr>
      <w:r w:rsidRPr="006B3796">
        <w:t>The GST Act deals separately with provisions of general application (</w:t>
      </w:r>
      <w:r w:rsidR="002860B3">
        <w:t>Chapter 2</w:t>
      </w:r>
      <w:r w:rsidRPr="006B3796">
        <w:t>—Basic rules) and provisions of specific application (</w:t>
      </w:r>
      <w:r w:rsidR="002860B3">
        <w:t>Chapter 4</w:t>
      </w:r>
      <w:r w:rsidRPr="006B3796">
        <w:t xml:space="preserve">—Special rules). This is to ensure that the rules covering the vast majority of cases are short and not cluttered with the myriad of qualifications that a GST generates. Avoid inserting detailed rules in </w:t>
      </w:r>
      <w:r w:rsidR="002860B3">
        <w:t>Chapter 2</w:t>
      </w:r>
      <w:r w:rsidRPr="006B3796">
        <w:t>. Consider creating new special rules instead.</w:t>
      </w:r>
    </w:p>
    <w:p w:rsidR="00013D83" w:rsidRPr="006B3796" w:rsidRDefault="00013D83" w:rsidP="006B3796">
      <w:pPr>
        <w:pStyle w:val="Head3"/>
      </w:pPr>
      <w:bookmarkStart w:id="18" w:name="_Toc144733645"/>
      <w:r w:rsidRPr="006B3796">
        <w:t>Application and transitional provisions</w:t>
      </w:r>
      <w:bookmarkEnd w:id="18"/>
    </w:p>
    <w:p w:rsidR="00013D83" w:rsidRPr="006B3796" w:rsidRDefault="00013D83" w:rsidP="007E4644">
      <w:pPr>
        <w:pStyle w:val="BodyNum"/>
      </w:pPr>
      <w:r w:rsidRPr="006B3796">
        <w:t xml:space="preserve">The </w:t>
      </w:r>
      <w:r w:rsidRPr="006B3796">
        <w:rPr>
          <w:i/>
        </w:rPr>
        <w:t>Income Tax (Transitional Provisions) Act 1997</w:t>
      </w:r>
      <w:r w:rsidRPr="006B3796">
        <w:t xml:space="preserve"> was enacted to house application and transitional provisions arising from the rewrite of the </w:t>
      </w:r>
      <w:r w:rsidRPr="006B3796">
        <w:rPr>
          <w:i/>
        </w:rPr>
        <w:t>Income Tax Assessment Act 1936</w:t>
      </w:r>
      <w:r w:rsidRPr="006B3796">
        <w:t>. It has since become the practice to include in the Transitional Provisions Act provisions relating to a new Division or Subdivision of the 1997 Act, even if the new material is not a rewrite. In other cases, application and transitional provisions should be included in amending Acts in the traditional manner.</w:t>
      </w:r>
    </w:p>
    <w:p w:rsidR="00013D83" w:rsidRPr="006B3796" w:rsidRDefault="00013D83" w:rsidP="007E4644">
      <w:pPr>
        <w:pStyle w:val="BodyNum"/>
      </w:pPr>
      <w:r w:rsidRPr="006B3796">
        <w:t xml:space="preserve">The </w:t>
      </w:r>
      <w:r w:rsidRPr="006B3796">
        <w:rPr>
          <w:i/>
        </w:rPr>
        <w:t>Income Tax (Transitional Provisions) Act 1997</w:t>
      </w:r>
      <w:r w:rsidRPr="006B3796">
        <w:t xml:space="preserve"> is numbered in parallel with the 1997 Act. This makes it easy to work out where to include provisions in the Transitional Provisions Act.</w:t>
      </w:r>
    </w:p>
    <w:p w:rsidR="00013D83" w:rsidRPr="006B3796" w:rsidRDefault="00013D83" w:rsidP="006B3796">
      <w:pPr>
        <w:pStyle w:val="Head3"/>
      </w:pPr>
      <w:bookmarkStart w:id="19" w:name="_Toc144733646"/>
      <w:r w:rsidRPr="006B3796">
        <w:t>Checking whether amendments affect, or are affected by, recent or proposed amendments</w:t>
      </w:r>
      <w:bookmarkEnd w:id="19"/>
    </w:p>
    <w:p w:rsidR="00013D83" w:rsidRPr="006B3796" w:rsidRDefault="00013D83" w:rsidP="007E4644">
      <w:pPr>
        <w:pStyle w:val="BodyNum"/>
      </w:pPr>
      <w:r w:rsidRPr="006B3796">
        <w:t>Given the volume of tax amendments that sometimes passes through the Office, you should take particular care when checking whether your amendments will affect, or be affected by, recent or proposed amendments. You may find IT Circular No. 38 useful in carrying out the necessary searches.</w:t>
      </w:r>
    </w:p>
    <w:p w:rsidR="00013D83" w:rsidRPr="006B3796" w:rsidRDefault="002860B3" w:rsidP="006B3796">
      <w:pPr>
        <w:pStyle w:val="Head2"/>
      </w:pPr>
      <w:bookmarkStart w:id="20" w:name="_Toc144733647"/>
      <w:r>
        <w:t>Part 5</w:t>
      </w:r>
      <w:r w:rsidR="00013D83" w:rsidRPr="006B3796">
        <w:t>—Asterisking and other signposting of definitions</w:t>
      </w:r>
      <w:bookmarkEnd w:id="20"/>
    </w:p>
    <w:p w:rsidR="00013D83" w:rsidRPr="006B3796" w:rsidRDefault="00013D83" w:rsidP="007E4644">
      <w:pPr>
        <w:pStyle w:val="BodyNum"/>
      </w:pPr>
      <w:r w:rsidRPr="006B3796">
        <w:t>Most occurrences of defined terms must be marked with an asterisk. (You can just type a normal asterisk as the Fix document and Finaliser macros will replace them with the special TLIP asterisks.)</w:t>
      </w:r>
    </w:p>
    <w:p w:rsidR="00013D83" w:rsidRPr="006B3796" w:rsidRDefault="00013D83" w:rsidP="007E4644">
      <w:pPr>
        <w:pStyle w:val="BodyNum"/>
      </w:pPr>
      <w:r w:rsidRPr="006B3796">
        <w:t>The occurrences that do not require an asterisk are:</w:t>
      </w:r>
    </w:p>
    <w:p w:rsidR="00013D83" w:rsidRPr="006B3796" w:rsidRDefault="00013D83" w:rsidP="003775DC">
      <w:pPr>
        <w:pStyle w:val="BodyParaBullet"/>
      </w:pPr>
      <w:r w:rsidRPr="006B3796">
        <w:t xml:space="preserve">the second or subsequent occurrence in a </w:t>
      </w:r>
      <w:r w:rsidR="002860B3">
        <w:t>subsection (</w:t>
      </w:r>
      <w:r w:rsidRPr="006B3796">
        <w:t>for this purpose, each Step in a method statement and each row in a table is treated as a separate subsection);</w:t>
      </w:r>
    </w:p>
    <w:p w:rsidR="00013D83" w:rsidRPr="006B3796" w:rsidRDefault="00013D83" w:rsidP="00013D83">
      <w:pPr>
        <w:pStyle w:val="Body"/>
        <w:ind w:left="1440"/>
        <w:rPr>
          <w:sz w:val="20"/>
        </w:rPr>
      </w:pPr>
      <w:r w:rsidRPr="006B3796">
        <w:rPr>
          <w:sz w:val="20"/>
        </w:rPr>
        <w:t>[The qualification “if it is clear that it is referring back to an earlier (asterisked) occurrence of the same term in the same subsection” (for which TLIP Note 2 provides) no longer applies.]</w:t>
      </w:r>
    </w:p>
    <w:p w:rsidR="00013D83" w:rsidRPr="006B3796" w:rsidRDefault="00013D83" w:rsidP="003775DC">
      <w:pPr>
        <w:pStyle w:val="BodyParaBullet"/>
      </w:pPr>
      <w:r w:rsidRPr="006B3796">
        <w:t>in a heading;</w:t>
      </w:r>
    </w:p>
    <w:p w:rsidR="00013D83" w:rsidRPr="006B3796" w:rsidRDefault="00013D83" w:rsidP="003775DC">
      <w:pPr>
        <w:pStyle w:val="BodyParaBullet"/>
      </w:pPr>
      <w:r w:rsidRPr="006B3796">
        <w:t>in a heading that is quoted in parentheses in a provision;</w:t>
      </w:r>
    </w:p>
    <w:p w:rsidR="00013D83" w:rsidRPr="006B3796" w:rsidRDefault="00013D83" w:rsidP="003775DC">
      <w:pPr>
        <w:pStyle w:val="BodyParaBullet"/>
      </w:pPr>
      <w:r w:rsidRPr="006B3796">
        <w:lastRenderedPageBreak/>
        <w:t>in any Guide material or other non</w:t>
      </w:r>
      <w:r w:rsidR="002860B3">
        <w:noBreakHyphen/>
      </w:r>
      <w:r w:rsidRPr="006B3796">
        <w:t>operative provision;</w:t>
      </w:r>
    </w:p>
    <w:p w:rsidR="00013D83" w:rsidRPr="006B3796" w:rsidRDefault="00013D83" w:rsidP="003775DC">
      <w:pPr>
        <w:pStyle w:val="BodyParaBullet"/>
      </w:pPr>
      <w:r w:rsidRPr="006B3796">
        <w:t>in a note or example;</w:t>
      </w:r>
    </w:p>
    <w:p w:rsidR="00013D83" w:rsidRPr="006B3796" w:rsidRDefault="00013D83" w:rsidP="003775DC">
      <w:pPr>
        <w:pStyle w:val="BodyParaBullet"/>
      </w:pPr>
      <w:r w:rsidRPr="006B3796">
        <w:t>in a table that is only for information or signposting (as opposed to a table that has substantive effect).</w:t>
      </w:r>
    </w:p>
    <w:p w:rsidR="00013D83" w:rsidRPr="006B3796" w:rsidRDefault="00013D83" w:rsidP="007E4644">
      <w:pPr>
        <w:pStyle w:val="BodyNum"/>
      </w:pPr>
      <w:r w:rsidRPr="006B3796">
        <w:t xml:space="preserve">If the label for a defined term includes an expression that is also a defined term, that expression should </w:t>
      </w:r>
      <w:r w:rsidRPr="006B3796">
        <w:rPr>
          <w:i/>
        </w:rPr>
        <w:t xml:space="preserve">not </w:t>
      </w:r>
      <w:r w:rsidRPr="006B3796">
        <w:t>be asterisked in addition to the asterisking of the full label.</w:t>
      </w:r>
    </w:p>
    <w:p w:rsidR="00013D83" w:rsidRPr="006B3796" w:rsidRDefault="00013D83" w:rsidP="00013D83">
      <w:pPr>
        <w:pStyle w:val="Body"/>
        <w:ind w:left="720"/>
      </w:pPr>
      <w:r w:rsidRPr="006B3796">
        <w:t>Example:</w:t>
      </w:r>
      <w:r w:rsidRPr="006B3796">
        <w:tab/>
      </w:r>
      <w:r w:rsidR="002860B3" w:rsidRPr="002860B3">
        <w:rPr>
          <w:position w:val="6"/>
          <w:sz w:val="16"/>
        </w:rPr>
        <w:t>*</w:t>
      </w:r>
      <w:r w:rsidRPr="006B3796">
        <w:t xml:space="preserve">business travel expense </w:t>
      </w:r>
      <w:r w:rsidRPr="006B3796">
        <w:rPr>
          <w:i/>
        </w:rPr>
        <w:t>not</w:t>
      </w:r>
      <w:r w:rsidRPr="006B3796">
        <w:t xml:space="preserve"> </w:t>
      </w:r>
      <w:r w:rsidR="002860B3" w:rsidRPr="002860B3">
        <w:rPr>
          <w:position w:val="6"/>
          <w:sz w:val="16"/>
        </w:rPr>
        <w:t>*</w:t>
      </w:r>
      <w:r w:rsidRPr="006B3796">
        <w:t xml:space="preserve">business </w:t>
      </w:r>
      <w:r w:rsidR="002860B3" w:rsidRPr="002860B3">
        <w:rPr>
          <w:position w:val="6"/>
          <w:sz w:val="16"/>
        </w:rPr>
        <w:t>*</w:t>
      </w:r>
      <w:r w:rsidRPr="006B3796">
        <w:t>travel expense.</w:t>
      </w:r>
    </w:p>
    <w:p w:rsidR="00013D83" w:rsidRPr="006B3796" w:rsidRDefault="00013D83" w:rsidP="007E4644">
      <w:pPr>
        <w:pStyle w:val="BodyNum"/>
      </w:pPr>
      <w:r w:rsidRPr="006B3796">
        <w:t>Special rules apply to asterisking in formulas. See the extract from TLIP Note 2 in Attachment B.</w:t>
      </w:r>
    </w:p>
    <w:p w:rsidR="00013D83" w:rsidRPr="006B3796" w:rsidRDefault="00013D83" w:rsidP="007E4644">
      <w:pPr>
        <w:pStyle w:val="BodyNum"/>
      </w:pPr>
      <w:r w:rsidRPr="006B3796">
        <w:t>Certain terms are not asterisked at all. So far, the exceptions to asterisking are specific to particular Acts. The non</w:t>
      </w:r>
      <w:r w:rsidR="002860B3">
        <w:noBreakHyphen/>
      </w:r>
      <w:r w:rsidRPr="006B3796">
        <w:t>asterisked terms are those that are used very extensively throughout the Act concerned.</w:t>
      </w:r>
    </w:p>
    <w:p w:rsidR="00013D83" w:rsidRPr="006B3796" w:rsidRDefault="002860B3" w:rsidP="007E4644">
      <w:pPr>
        <w:pStyle w:val="BodyNum"/>
      </w:pPr>
      <w:r>
        <w:t>Section 2</w:t>
      </w:r>
      <w:r>
        <w:noBreakHyphen/>
      </w:r>
      <w:r w:rsidR="00013D83" w:rsidRPr="006B3796">
        <w:t>15 of the 1997 Act sets out the list of non</w:t>
      </w:r>
      <w:r>
        <w:noBreakHyphen/>
      </w:r>
      <w:r w:rsidR="00013D83" w:rsidRPr="006B3796">
        <w:t xml:space="preserve">asterisked terms for that Act and for </w:t>
      </w:r>
      <w:r>
        <w:t>Schedule 1</w:t>
      </w:r>
      <w:r w:rsidR="00013D83" w:rsidRPr="006B3796">
        <w:t xml:space="preserve"> to the </w:t>
      </w:r>
      <w:r w:rsidR="00013D83" w:rsidRPr="006B3796">
        <w:rPr>
          <w:i/>
        </w:rPr>
        <w:t>Taxation Administration Act 1953</w:t>
      </w:r>
      <w:r w:rsidR="00013D83" w:rsidRPr="006B3796">
        <w:t>.</w:t>
      </w:r>
      <w:r w:rsidR="00013D83" w:rsidRPr="006B3796">
        <w:rPr>
          <w:rStyle w:val="FootnoteReference"/>
        </w:rPr>
        <w:t xml:space="preserve"> </w:t>
      </w:r>
      <w:r>
        <w:t>Section 3</w:t>
      </w:r>
      <w:r>
        <w:noBreakHyphen/>
      </w:r>
      <w:r w:rsidR="00013D83" w:rsidRPr="006B3796">
        <w:t xml:space="preserve">5 in each of the GST Act, </w:t>
      </w:r>
      <w:r w:rsidR="00013D83" w:rsidRPr="006B3796">
        <w:rPr>
          <w:i/>
        </w:rPr>
        <w:t>A New Tax System (Wine Equalisation Tax) Act 1999</w:t>
      </w:r>
      <w:r w:rsidR="00013D83" w:rsidRPr="006B3796">
        <w:t xml:space="preserve"> and </w:t>
      </w:r>
      <w:r w:rsidR="00013D83" w:rsidRPr="006B3796">
        <w:rPr>
          <w:i/>
        </w:rPr>
        <w:t>A New Tax System (Luxury Car Tax) Act 1999</w:t>
      </w:r>
      <w:r w:rsidR="00013D83" w:rsidRPr="006B3796">
        <w:t xml:space="preserve"> sets out the list for that Act. (Note that the lists of terms are not the same.) The ABN Act does not have a list so there are no non</w:t>
      </w:r>
      <w:r>
        <w:noBreakHyphen/>
      </w:r>
      <w:r w:rsidR="00013D83" w:rsidRPr="006B3796">
        <w:t>asterisked terms in that Act.</w:t>
      </w:r>
    </w:p>
    <w:p w:rsidR="00013D83" w:rsidRPr="006B3796" w:rsidRDefault="00013D83" w:rsidP="007E4644">
      <w:pPr>
        <w:pStyle w:val="BodyNum"/>
      </w:pPr>
      <w:r w:rsidRPr="006B3796">
        <w:t>Information about signposts for definitions is contained in the extract from TLIP Note 3 in Attachment B.</w:t>
      </w:r>
    </w:p>
    <w:p w:rsidR="00013D83" w:rsidRPr="006B3796" w:rsidRDefault="002860B3" w:rsidP="006B3796">
      <w:pPr>
        <w:pStyle w:val="Head2"/>
      </w:pPr>
      <w:bookmarkStart w:id="21" w:name="_Toc144733648"/>
      <w:r>
        <w:t>Part 6</w:t>
      </w:r>
      <w:r w:rsidR="00013D83" w:rsidRPr="006B3796">
        <w:t>—Defined terms (TLIP Note 3)</w:t>
      </w:r>
      <w:bookmarkEnd w:id="21"/>
    </w:p>
    <w:p w:rsidR="00013D83" w:rsidRPr="006B3796" w:rsidRDefault="00013D83" w:rsidP="007E4644">
      <w:pPr>
        <w:pStyle w:val="BodyNum"/>
      </w:pPr>
      <w:r w:rsidRPr="006B3796">
        <w:t>The original approach in TLIP drafting was to have “one expression/one meaning” across the Tax Code. To follow this approach, you should not:</w:t>
      </w:r>
    </w:p>
    <w:p w:rsidR="00013D83" w:rsidRPr="006B3796" w:rsidRDefault="00013D83" w:rsidP="003775DC">
      <w:pPr>
        <w:pStyle w:val="BodyParaBullet"/>
      </w:pPr>
      <w:r w:rsidRPr="006B3796">
        <w:t>define the same expression in different parts of the legislation to mean different things (ie setting out the definitions themselves in different parts of the legislation); or</w:t>
      </w:r>
    </w:p>
    <w:p w:rsidR="00013D83" w:rsidRPr="006B3796" w:rsidRDefault="00013D83" w:rsidP="003775DC">
      <w:pPr>
        <w:pStyle w:val="BodyParaBullet"/>
      </w:pPr>
      <w:r w:rsidRPr="006B3796">
        <w:t>define one expression, set out in the Dictionary, to mean different things in different parts of the legislation; or</w:t>
      </w:r>
    </w:p>
    <w:p w:rsidR="00013D83" w:rsidRPr="006B3796" w:rsidRDefault="00013D83" w:rsidP="003775DC">
      <w:pPr>
        <w:pStyle w:val="BodyParaBullet"/>
      </w:pPr>
      <w:r w:rsidRPr="006B3796">
        <w:t>define an expression in one part of the Act that takes its ordinary English meaning in another; or</w:t>
      </w:r>
    </w:p>
    <w:p w:rsidR="00013D83" w:rsidRPr="006B3796" w:rsidRDefault="00013D83" w:rsidP="003775DC">
      <w:pPr>
        <w:pStyle w:val="BodyParaBullet"/>
      </w:pPr>
      <w:r w:rsidRPr="006B3796">
        <w:t>use a relational definition to avoid these rules.</w:t>
      </w:r>
    </w:p>
    <w:p w:rsidR="00013D83" w:rsidRPr="006B3796" w:rsidRDefault="00013D83" w:rsidP="007E4644">
      <w:pPr>
        <w:pStyle w:val="BodyNum"/>
      </w:pPr>
      <w:r w:rsidRPr="006B3796">
        <w:t>Treasury has expressed its continued, strong commitment to this approach.</w:t>
      </w:r>
    </w:p>
    <w:p w:rsidR="00013D83" w:rsidRPr="006B3796" w:rsidRDefault="00013D83" w:rsidP="007E4644">
      <w:pPr>
        <w:pStyle w:val="BodyNum"/>
      </w:pPr>
      <w:r w:rsidRPr="006B3796">
        <w:t>It has also expressed support for an approach to policy development and legislative drafting that makes the greatest use of existing concepts, rather than reinventing new ones.</w:t>
      </w:r>
    </w:p>
    <w:p w:rsidR="00013D83" w:rsidRPr="006B3796" w:rsidRDefault="00013D83" w:rsidP="007E4644">
      <w:pPr>
        <w:pStyle w:val="BodyNum"/>
      </w:pPr>
      <w:r w:rsidRPr="006B3796">
        <w:lastRenderedPageBreak/>
        <w:t>The purpose of this rule is to create conceptual consistency within the Tax Code. It is easiest to explain the problem and the suggested approach using an example.</w:t>
      </w:r>
    </w:p>
    <w:p w:rsidR="00013D83" w:rsidRPr="006B3796" w:rsidRDefault="00013D83" w:rsidP="007E4644">
      <w:pPr>
        <w:pStyle w:val="BodyNum"/>
      </w:pPr>
      <w:r w:rsidRPr="006B3796">
        <w:t xml:space="preserve">In drafting provisions dealing with an associate of another entity, you might be asked to develop a definition of </w:t>
      </w:r>
      <w:r w:rsidRPr="006B3796">
        <w:rPr>
          <w:b/>
          <w:i/>
        </w:rPr>
        <w:t xml:space="preserve">associate </w:t>
      </w:r>
      <w:r w:rsidRPr="006B3796">
        <w:t xml:space="preserve">that differs from that currently used in the Tax Code. One approach is to create a new expression, defined differently from the first and distinguished from the first by the addition of “noise words” (eg: an </w:t>
      </w:r>
      <w:r w:rsidRPr="006B3796">
        <w:rPr>
          <w:b/>
          <w:i/>
        </w:rPr>
        <w:t>XYZ associate</w:t>
      </w:r>
      <w:r w:rsidRPr="006B3796">
        <w:t>). There are many examples of this approach in the Tax Code.</w:t>
      </w:r>
    </w:p>
    <w:p w:rsidR="00013D83" w:rsidRPr="006B3796" w:rsidRDefault="00013D83" w:rsidP="007E4644">
      <w:pPr>
        <w:pStyle w:val="BodyNum"/>
      </w:pPr>
      <w:r w:rsidRPr="006B3796">
        <w:t xml:space="preserve">On the approach now adopted by Treasury, the drafter would work with instructors to see whether there is really any need, in policy terms, for the group of individuals targeted in the new provision to differ from those targeted as associates in other provisions across the Code. If, after those discussions, there were still concerns about the lack of consistency with other provisions in the Code, those concerns would be raised with the </w:t>
      </w:r>
      <w:r w:rsidR="007A74C5">
        <w:t>Law</w:t>
      </w:r>
      <w:r w:rsidRPr="006B3796">
        <w:t xml:space="preserve"> Division at the Treasury.</w:t>
      </w:r>
    </w:p>
    <w:p w:rsidR="00013D83" w:rsidRPr="006B3796" w:rsidRDefault="00013D83" w:rsidP="007E4644">
      <w:pPr>
        <w:pStyle w:val="BodyNum"/>
      </w:pPr>
      <w:r w:rsidRPr="006B3796">
        <w:t>You may encounter difficulty:</w:t>
      </w:r>
    </w:p>
    <w:p w:rsidR="00013D83" w:rsidRPr="006B3796" w:rsidRDefault="00013D83" w:rsidP="003775DC">
      <w:pPr>
        <w:pStyle w:val="BodyParaBullet"/>
      </w:pPr>
      <w:r w:rsidRPr="006B3796">
        <w:t>in deciding on which of the definitions already in the Tax Code is the core definition for a particular concept;</w:t>
      </w:r>
    </w:p>
    <w:p w:rsidR="00013D83" w:rsidRPr="006B3796" w:rsidRDefault="00013D83" w:rsidP="003775DC">
      <w:pPr>
        <w:pStyle w:val="BodyParaBullet"/>
      </w:pPr>
      <w:r w:rsidRPr="006B3796">
        <w:t>finding any core definition at all for some concepts.</w:t>
      </w:r>
    </w:p>
    <w:p w:rsidR="00013D83" w:rsidRPr="006B3796" w:rsidRDefault="00013D83" w:rsidP="007E4644">
      <w:pPr>
        <w:pStyle w:val="BodyNum"/>
      </w:pPr>
      <w:r w:rsidRPr="006B3796">
        <w:t xml:space="preserve">If this happens, you should discuss the issue with the </w:t>
      </w:r>
      <w:r w:rsidR="007A74C5">
        <w:t>Law</w:t>
      </w:r>
      <w:r w:rsidRPr="006B3796">
        <w:t xml:space="preserve"> Division at the Treasury with a view to settling the core definition.</w:t>
      </w:r>
    </w:p>
    <w:p w:rsidR="00013D83" w:rsidRPr="006B3796" w:rsidRDefault="00013D83" w:rsidP="007E4644">
      <w:pPr>
        <w:pStyle w:val="BodyNum"/>
      </w:pPr>
      <w:r w:rsidRPr="006B3796">
        <w:t>You should also raise with Treasury any cases where standardisation at a higher level may be possible. For example, “tracing” rules involving chains of trusts, partnerships and companies occur in a variety of contexts and take a variety of forms. These rules cover both indirect ownership or control as well as the flow</w:t>
      </w:r>
      <w:r w:rsidR="002860B3">
        <w:noBreakHyphen/>
      </w:r>
      <w:r w:rsidRPr="006B3796">
        <w:t>through of indirect distributions. There may be room for consistency in the approach taken in formulating these rules, and it is the sort of issue that could usefully be raised with Treasury.</w:t>
      </w:r>
    </w:p>
    <w:p w:rsidR="00013D83" w:rsidRPr="006B3796" w:rsidRDefault="00013D83" w:rsidP="007E4644">
      <w:pPr>
        <w:pStyle w:val="BodyNum"/>
      </w:pPr>
      <w:r w:rsidRPr="006B3796">
        <w:t>It is envisaged that, at some time, all of the defined terms in the Tax Code will be brought together in some form of Common Dictionary for the entire Code.</w:t>
      </w:r>
    </w:p>
    <w:p w:rsidR="00013D83" w:rsidRPr="006B3796" w:rsidRDefault="00013D83" w:rsidP="007E4644">
      <w:pPr>
        <w:pStyle w:val="BodyNum"/>
      </w:pPr>
      <w:r w:rsidRPr="006B3796">
        <w:t>At this stage, each definition (or a signpost to each definition) must be included in the relevant Dictionary:</w:t>
      </w:r>
    </w:p>
    <w:p w:rsidR="00013D83" w:rsidRPr="006B3796" w:rsidRDefault="002860B3" w:rsidP="003775DC">
      <w:pPr>
        <w:pStyle w:val="BodyParaBullet"/>
      </w:pPr>
      <w:r>
        <w:t>section 9</w:t>
      </w:r>
      <w:r w:rsidR="00013D83" w:rsidRPr="006B3796">
        <w:t>95</w:t>
      </w:r>
      <w:r>
        <w:noBreakHyphen/>
      </w:r>
      <w:r w:rsidR="00013D83" w:rsidRPr="006B3796">
        <w:t xml:space="preserve">1 of the 1997 Act for definitions in that Act, </w:t>
      </w:r>
      <w:r>
        <w:t>Schedule 1</w:t>
      </w:r>
      <w:r w:rsidR="00013D83" w:rsidRPr="006B3796">
        <w:t xml:space="preserve"> to the </w:t>
      </w:r>
      <w:r w:rsidR="00013D83" w:rsidRPr="006B3796">
        <w:rPr>
          <w:i/>
        </w:rPr>
        <w:t>Taxation Administration Act 1953</w:t>
      </w:r>
      <w:r w:rsidR="00013D83" w:rsidRPr="006B3796">
        <w:t xml:space="preserve"> and</w:t>
      </w:r>
      <w:r w:rsidR="00013D83" w:rsidRPr="006B3796">
        <w:rPr>
          <w:i/>
        </w:rPr>
        <w:t xml:space="preserve"> </w:t>
      </w:r>
      <w:r w:rsidR="00013D83" w:rsidRPr="006B3796">
        <w:t xml:space="preserve">the </w:t>
      </w:r>
      <w:r w:rsidR="00013D83" w:rsidRPr="006B3796">
        <w:rPr>
          <w:i/>
        </w:rPr>
        <w:t>Venture Capital Act 2002</w:t>
      </w:r>
      <w:r w:rsidR="00013D83" w:rsidRPr="006B3796">
        <w:t>;</w:t>
      </w:r>
    </w:p>
    <w:p w:rsidR="00013D83" w:rsidRPr="006B3796" w:rsidRDefault="002860B3" w:rsidP="003775DC">
      <w:pPr>
        <w:pStyle w:val="BodyParaBullet"/>
      </w:pPr>
      <w:r>
        <w:t>section 1</w:t>
      </w:r>
      <w:r w:rsidR="00013D83" w:rsidRPr="006B3796">
        <w:t>95</w:t>
      </w:r>
      <w:r>
        <w:noBreakHyphen/>
      </w:r>
      <w:r w:rsidR="00013D83" w:rsidRPr="006B3796">
        <w:t>1 of the GST Act for definitions in that Act;</w:t>
      </w:r>
    </w:p>
    <w:p w:rsidR="00013D83" w:rsidRPr="006B3796" w:rsidRDefault="002860B3" w:rsidP="003775DC">
      <w:pPr>
        <w:pStyle w:val="BodyParaBullet"/>
      </w:pPr>
      <w:r>
        <w:t>section 3</w:t>
      </w:r>
      <w:r w:rsidR="00013D83" w:rsidRPr="006B3796">
        <w:t>3</w:t>
      </w:r>
      <w:r>
        <w:noBreakHyphen/>
      </w:r>
      <w:r w:rsidR="00013D83" w:rsidRPr="006B3796">
        <w:t xml:space="preserve">1 of the </w:t>
      </w:r>
      <w:r w:rsidR="00013D83" w:rsidRPr="006B3796">
        <w:rPr>
          <w:i/>
        </w:rPr>
        <w:t>A New Tax System (Wine Equalisation Tax) Act 1999</w:t>
      </w:r>
      <w:r w:rsidR="00013D83" w:rsidRPr="006B3796">
        <w:t xml:space="preserve"> for definitions in that Act;</w:t>
      </w:r>
    </w:p>
    <w:p w:rsidR="00013D83" w:rsidRPr="006B3796" w:rsidRDefault="002860B3" w:rsidP="003775DC">
      <w:pPr>
        <w:pStyle w:val="BodyParaBullet"/>
      </w:pPr>
      <w:r>
        <w:t>section 2</w:t>
      </w:r>
      <w:r w:rsidR="00013D83" w:rsidRPr="006B3796">
        <w:t>7</w:t>
      </w:r>
      <w:r>
        <w:noBreakHyphen/>
      </w:r>
      <w:r w:rsidR="00013D83" w:rsidRPr="006B3796">
        <w:t xml:space="preserve">1 of the </w:t>
      </w:r>
      <w:r w:rsidR="00013D83" w:rsidRPr="006B3796">
        <w:rPr>
          <w:i/>
        </w:rPr>
        <w:t>A New Tax System (Luxury Car Tax) Act 1999</w:t>
      </w:r>
      <w:r w:rsidR="00013D83" w:rsidRPr="006B3796">
        <w:t xml:space="preserve"> for definitions in that Act;</w:t>
      </w:r>
    </w:p>
    <w:p w:rsidR="00013D83" w:rsidRPr="006B3796" w:rsidRDefault="002860B3" w:rsidP="003775DC">
      <w:pPr>
        <w:pStyle w:val="BodyParaBullet"/>
      </w:pPr>
      <w:r>
        <w:t>section 4</w:t>
      </w:r>
      <w:r w:rsidR="00013D83" w:rsidRPr="006B3796">
        <w:t>1 of the ABN Act for definitions in that Act.</w:t>
      </w:r>
    </w:p>
    <w:p w:rsidR="00013D83" w:rsidRPr="006B3796" w:rsidRDefault="00013D83" w:rsidP="007E4644">
      <w:pPr>
        <w:pStyle w:val="BodyNum"/>
      </w:pPr>
      <w:r w:rsidRPr="006B3796">
        <w:lastRenderedPageBreak/>
        <w:t>Other fundamental rules are:</w:t>
      </w:r>
    </w:p>
    <w:p w:rsidR="00013D83" w:rsidRPr="006B3796" w:rsidRDefault="00013D83" w:rsidP="003775DC">
      <w:pPr>
        <w:pStyle w:val="BodyParaBullet"/>
      </w:pPr>
      <w:r w:rsidRPr="006B3796">
        <w:t xml:space="preserve">don’t define a word in a way that conflicts with its ordinary meaning; </w:t>
      </w:r>
    </w:p>
    <w:p w:rsidR="00013D83" w:rsidRPr="006B3796" w:rsidRDefault="00013D83" w:rsidP="003775DC">
      <w:pPr>
        <w:pStyle w:val="BodyParaBullet"/>
      </w:pPr>
      <w:r w:rsidRPr="006B3796">
        <w:t xml:space="preserve">don’t change the scope of a defined concept by deeming provisions; </w:t>
      </w:r>
    </w:p>
    <w:p w:rsidR="00013D83" w:rsidRPr="006B3796" w:rsidRDefault="00013D83" w:rsidP="003775DC">
      <w:pPr>
        <w:pStyle w:val="BodyParaBullet"/>
      </w:pPr>
      <w:r w:rsidRPr="006B3796">
        <w:t>don’t use a definition to do work more appropriately done by a substantive rule (it might, for example, be more useful to scope a suite of provisions using a substantive provision, rather than creating yet another variation of a core concept).</w:t>
      </w:r>
    </w:p>
    <w:p w:rsidR="00013D83" w:rsidRPr="006B3796" w:rsidRDefault="00013D83" w:rsidP="007E4644">
      <w:pPr>
        <w:pStyle w:val="BodyNum"/>
      </w:pPr>
      <w:r w:rsidRPr="006B3796">
        <w:t>You should read the edited extract from TLIP Note 3 in Attachment B for a full description of the rules relating to definitions.</w:t>
      </w:r>
    </w:p>
    <w:p w:rsidR="00013D83" w:rsidRPr="006B3796" w:rsidRDefault="002860B3" w:rsidP="006B3796">
      <w:pPr>
        <w:pStyle w:val="Head2"/>
      </w:pPr>
      <w:bookmarkStart w:id="22" w:name="_Toc144733649"/>
      <w:r>
        <w:t>Part 7</w:t>
      </w:r>
      <w:r w:rsidR="00013D83" w:rsidRPr="006B3796">
        <w:t>—Guides and decentralised tables of contents (TLIP Notes 5 and 45)</w:t>
      </w:r>
      <w:bookmarkEnd w:id="22"/>
    </w:p>
    <w:p w:rsidR="00013D83" w:rsidRPr="006B3796" w:rsidRDefault="00013D83" w:rsidP="006B3796">
      <w:pPr>
        <w:pStyle w:val="Head3"/>
      </w:pPr>
      <w:bookmarkStart w:id="23" w:name="_Toc144733650"/>
      <w:r w:rsidRPr="006B3796">
        <w:t>Except in the indirect tax legislation</w:t>
      </w:r>
      <w:bookmarkEnd w:id="23"/>
    </w:p>
    <w:p w:rsidR="00013D83" w:rsidRPr="006B3796" w:rsidRDefault="00013D83" w:rsidP="006B3796">
      <w:pPr>
        <w:pStyle w:val="Head4"/>
      </w:pPr>
      <w:bookmarkStart w:id="24" w:name="_Toc144733651"/>
      <w:r w:rsidRPr="006B3796">
        <w:t>General</w:t>
      </w:r>
      <w:bookmarkEnd w:id="24"/>
    </w:p>
    <w:p w:rsidR="00013D83" w:rsidRPr="006B3796" w:rsidRDefault="00013D83" w:rsidP="007E4644">
      <w:pPr>
        <w:pStyle w:val="BodyNum"/>
      </w:pPr>
      <w:r w:rsidRPr="006B3796">
        <w:t>You must provide information at the start of each Division and Subdivision to give readers an idea of what to expect from the Division or Subdivision. This information must always include a table of Subdivisions or a table of sections (as appropriate). You should always include a Guide to a Division, unless there is good reason not to. You may choose to include a Guide to a Subdivision.</w:t>
      </w:r>
    </w:p>
    <w:p w:rsidR="00013D83" w:rsidRPr="006B3796" w:rsidRDefault="00013D83" w:rsidP="007E4644">
      <w:pPr>
        <w:pStyle w:val="BodyNum"/>
      </w:pPr>
      <w:r w:rsidRPr="006B3796">
        <w:t>You may also choose to provide a Guide explaining the key features of a Part, Chapter or Act.</w:t>
      </w:r>
    </w:p>
    <w:p w:rsidR="00013D83" w:rsidRPr="006B3796" w:rsidRDefault="00013D83" w:rsidP="007E4644">
      <w:pPr>
        <w:pStyle w:val="BodyNum"/>
      </w:pPr>
      <w:r w:rsidRPr="006B3796">
        <w:t xml:space="preserve">Sometimes a Guide will be a whole Division or Part. This kind of Guide is usually used to introduce a Part, Chapter or whole Act. (For example, see </w:t>
      </w:r>
      <w:r w:rsidR="002860B3">
        <w:t>Division 1</w:t>
      </w:r>
      <w:r w:rsidRPr="006B3796">
        <w:t>00 of the 1997 Act, which introduces the capital gains tax provisions of the 1997 Act.)</w:t>
      </w:r>
    </w:p>
    <w:p w:rsidR="00013D83" w:rsidRPr="006B3796" w:rsidRDefault="00013D83" w:rsidP="007E4644">
      <w:pPr>
        <w:pStyle w:val="BodyNum"/>
      </w:pPr>
      <w:r w:rsidRPr="006B3796">
        <w:t>The Guide status of the Division or Part should be shown by including the following provision in the Division or Part:</w:t>
      </w:r>
    </w:p>
    <w:p w:rsidR="00013D83" w:rsidRPr="006B3796" w:rsidRDefault="00013D83" w:rsidP="00013D83">
      <w:pPr>
        <w:pStyle w:val="subsection"/>
      </w:pPr>
      <w:r w:rsidRPr="006B3796">
        <w:tab/>
      </w:r>
      <w:r w:rsidRPr="006B3796">
        <w:tab/>
        <w:t>This Division is a Guide.</w:t>
      </w:r>
    </w:p>
    <w:p w:rsidR="00013D83" w:rsidRPr="006B3796" w:rsidRDefault="00013D83" w:rsidP="00CE2C66">
      <w:pPr>
        <w:pStyle w:val="notetext"/>
      </w:pPr>
      <w:r w:rsidRPr="006B3796">
        <w:t>Note:</w:t>
      </w:r>
      <w:r w:rsidRPr="006B3796">
        <w:tab/>
        <w:t xml:space="preserve">In interpreting an </w:t>
      </w:r>
      <w:r w:rsidRPr="00CE2C66">
        <w:t>operative</w:t>
      </w:r>
      <w:r w:rsidRPr="006B3796">
        <w:t xml:space="preserve"> provision, a Guide may be considered only for limited purposes: see </w:t>
      </w:r>
      <w:r w:rsidR="002860B3">
        <w:t>section 9</w:t>
      </w:r>
      <w:r w:rsidRPr="006B3796">
        <w:t>50</w:t>
      </w:r>
      <w:r w:rsidR="002860B3">
        <w:noBreakHyphen/>
      </w:r>
      <w:r w:rsidRPr="006B3796">
        <w:t>150.</w:t>
      </w:r>
    </w:p>
    <w:p w:rsidR="00013D83" w:rsidRPr="006B3796" w:rsidRDefault="00013D83" w:rsidP="007E4644">
      <w:pPr>
        <w:pStyle w:val="BodyNum"/>
      </w:pPr>
      <w:r w:rsidRPr="006B3796">
        <w:t xml:space="preserve">Subdivisions are sometimes used as part of a Division, where the whole of the Division is a Guide (see, for example, </w:t>
      </w:r>
      <w:r w:rsidR="002860B3">
        <w:t>Division 1</w:t>
      </w:r>
      <w:r w:rsidRPr="006B3796">
        <w:t>1 of the 1997 Act). In this case, the Guide status of each Subdivision in the Division should be shown by including the following provision in the Subdivision:</w:t>
      </w:r>
    </w:p>
    <w:p w:rsidR="00013D83" w:rsidRPr="006B3796" w:rsidRDefault="00013D83" w:rsidP="00013D83">
      <w:pPr>
        <w:pStyle w:val="subsection"/>
      </w:pPr>
      <w:r w:rsidRPr="006B3796">
        <w:tab/>
      </w:r>
      <w:r w:rsidRPr="006B3796">
        <w:tab/>
        <w:t>This Subdivision is a Guide.</w:t>
      </w:r>
    </w:p>
    <w:p w:rsidR="00013D83" w:rsidRPr="006B3796" w:rsidRDefault="00013D83" w:rsidP="00013D83">
      <w:pPr>
        <w:pStyle w:val="notetext"/>
      </w:pPr>
      <w:r w:rsidRPr="006B3796">
        <w:t>Note:</w:t>
      </w:r>
      <w:r w:rsidRPr="006B3796">
        <w:tab/>
        <w:t xml:space="preserve">In interpreting an operative provision, a Guide may be considered only for limited purposes: see </w:t>
      </w:r>
      <w:r w:rsidR="002860B3">
        <w:t>section 9</w:t>
      </w:r>
      <w:r w:rsidRPr="006B3796">
        <w:t>50</w:t>
      </w:r>
      <w:r w:rsidR="002860B3">
        <w:noBreakHyphen/>
      </w:r>
      <w:r w:rsidRPr="006B3796">
        <w:t>150.</w:t>
      </w:r>
    </w:p>
    <w:p w:rsidR="00013D83" w:rsidRPr="006B3796" w:rsidRDefault="00013D83" w:rsidP="00013D83">
      <w:pPr>
        <w:pStyle w:val="Body"/>
      </w:pPr>
      <w:r w:rsidRPr="006B3796">
        <w:t>The same provision need not appear at Division level.</w:t>
      </w:r>
    </w:p>
    <w:p w:rsidR="00013D83" w:rsidRPr="006B3796" w:rsidRDefault="00013D83" w:rsidP="007E4644">
      <w:pPr>
        <w:pStyle w:val="BodyNum"/>
      </w:pPr>
      <w:r w:rsidRPr="006B3796">
        <w:lastRenderedPageBreak/>
        <w:t>A “Subdivision” may also be used as a guide to the Division in which it appears. If so:</w:t>
      </w:r>
    </w:p>
    <w:p w:rsidR="00013D83" w:rsidRPr="006B3796" w:rsidRDefault="00013D83" w:rsidP="003775DC">
      <w:pPr>
        <w:pStyle w:val="BodyParaBullet"/>
      </w:pPr>
      <w:r w:rsidRPr="006B3796">
        <w:t>the heading to the Subdivision should indicate that it is a Guide (so it should read “Guide to Division x”, rather than “Subdivision x</w:t>
      </w:r>
      <w:r w:rsidR="002860B3">
        <w:noBreakHyphen/>
      </w:r>
      <w:r w:rsidRPr="006B3796">
        <w:t>A); and</w:t>
      </w:r>
    </w:p>
    <w:p w:rsidR="00013D83" w:rsidRPr="006B3796" w:rsidRDefault="00013D83" w:rsidP="003775DC">
      <w:pPr>
        <w:pStyle w:val="BodyParaBullet"/>
      </w:pPr>
      <w:r w:rsidRPr="006B3796">
        <w:t>the next Subdivision is “Subdivision x</w:t>
      </w:r>
      <w:r w:rsidR="002860B3">
        <w:noBreakHyphen/>
      </w:r>
      <w:r w:rsidRPr="006B3796">
        <w:t>A”; and</w:t>
      </w:r>
    </w:p>
    <w:p w:rsidR="00013D83" w:rsidRPr="006B3796" w:rsidRDefault="00013D83" w:rsidP="003775DC">
      <w:pPr>
        <w:pStyle w:val="BodyParaBullet"/>
      </w:pPr>
      <w:r w:rsidRPr="006B3796">
        <w:t>the provision mentioned in the previous paragraph need not be included.</w:t>
      </w:r>
    </w:p>
    <w:p w:rsidR="00013D83" w:rsidRPr="006B3796" w:rsidRDefault="00013D83" w:rsidP="007E4644">
      <w:pPr>
        <w:pStyle w:val="BodyNum"/>
      </w:pPr>
      <w:r w:rsidRPr="006B3796">
        <w:t>Information on how to format decentralised tables of conte</w:t>
      </w:r>
      <w:r w:rsidR="008F32F9">
        <w:t xml:space="preserve">nts is contained in Word Note </w:t>
      </w:r>
      <w:r w:rsidR="00E970F9">
        <w:t xml:space="preserve">No. </w:t>
      </w:r>
      <w:r w:rsidR="008F32F9">
        <w:t>3.2</w:t>
      </w:r>
      <w:r w:rsidRPr="006B3796">
        <w:t>. There is a macro available to create decentralised tables of contents in the Tax Code macros.</w:t>
      </w:r>
    </w:p>
    <w:p w:rsidR="00013D83" w:rsidRPr="006B3796" w:rsidRDefault="00013D83" w:rsidP="007E4644">
      <w:pPr>
        <w:pStyle w:val="BodyNum"/>
      </w:pPr>
      <w:r w:rsidRPr="006B3796">
        <w:t>If you are amending text covered by a decentralised table of contents, you should not amend the table of contents. This will be done automatically as part of the reprint process. If a parliamentary amendment changes text covered by a decentralised table, the table can be updated when the Third Reading or Assent print of the Bill is prepared. It is advisable to draw the need for the change to the attention of the Table Office of the relevant House.</w:t>
      </w:r>
    </w:p>
    <w:p w:rsidR="00013D83" w:rsidRPr="006B3796" w:rsidRDefault="00013D83" w:rsidP="007E4644">
      <w:pPr>
        <w:pStyle w:val="BodyNum"/>
      </w:pPr>
      <w:r w:rsidRPr="006B3796">
        <w:t>The following tables show the order and content of introductory information in Divisions and Subdivisions. Attachment A contains the examples referred to in the table. You should note that a new Division should always contain Subdivisions, unless the Division consists only of guide material.</w:t>
      </w:r>
    </w:p>
    <w:p w:rsidR="00013D83" w:rsidRPr="006B3796" w:rsidRDefault="00013D83" w:rsidP="00013D83">
      <w:pPr>
        <w:pStyle w:val="Tabletext"/>
      </w:pPr>
      <w:r w:rsidRPr="006B3796">
        <w:br w:type="page"/>
      </w:r>
    </w:p>
    <w:tbl>
      <w:tblPr>
        <w:tblW w:w="9120" w:type="dxa"/>
        <w:tblInd w:w="108" w:type="dxa"/>
        <w:tblBorders>
          <w:top w:val="single" w:sz="6" w:space="0" w:color="auto"/>
          <w:left w:val="single" w:sz="6" w:space="0" w:color="auto"/>
          <w:bottom w:val="single" w:sz="6" w:space="0" w:color="auto"/>
          <w:right w:val="single" w:sz="6" w:space="0" w:color="auto"/>
        </w:tblBorders>
        <w:tblLayout w:type="fixed"/>
        <w:tblLook w:val="0020" w:firstRow="1" w:lastRow="0" w:firstColumn="0" w:lastColumn="0" w:noHBand="0" w:noVBand="0"/>
      </w:tblPr>
      <w:tblGrid>
        <w:gridCol w:w="2880"/>
        <w:gridCol w:w="3120"/>
        <w:gridCol w:w="3120"/>
      </w:tblGrid>
      <w:tr w:rsidR="00013D83" w:rsidRPr="006B3796" w:rsidTr="001F3F21">
        <w:trPr>
          <w:cantSplit/>
        </w:trPr>
        <w:tc>
          <w:tcPr>
            <w:tcW w:w="9120" w:type="dxa"/>
            <w:gridSpan w:val="3"/>
            <w:tcBorders>
              <w:top w:val="single" w:sz="12" w:space="0" w:color="auto"/>
              <w:left w:val="single" w:sz="12" w:space="0" w:color="auto"/>
              <w:bottom w:val="single" w:sz="4" w:space="0" w:color="auto"/>
              <w:right w:val="single" w:sz="12" w:space="0" w:color="auto"/>
            </w:tcBorders>
          </w:tcPr>
          <w:p w:rsidR="00013D83" w:rsidRPr="006B3796" w:rsidRDefault="00013D83" w:rsidP="001F3F21">
            <w:pPr>
              <w:pStyle w:val="Tabletext"/>
            </w:pPr>
            <w:r w:rsidRPr="006B3796">
              <w:rPr>
                <w:b/>
              </w:rPr>
              <w:lastRenderedPageBreak/>
              <w:t>Division</w:t>
            </w:r>
          </w:p>
        </w:tc>
      </w:tr>
      <w:tr w:rsidR="00013D83" w:rsidRPr="006B3796" w:rsidTr="001F3F21">
        <w:trPr>
          <w:cantSplit/>
        </w:trPr>
        <w:tc>
          <w:tcPr>
            <w:tcW w:w="2880" w:type="dxa"/>
            <w:tcBorders>
              <w:top w:val="single" w:sz="4" w:space="0" w:color="auto"/>
              <w:left w:val="single" w:sz="12" w:space="0" w:color="auto"/>
              <w:bottom w:val="nil"/>
              <w:right w:val="single" w:sz="12" w:space="0" w:color="auto"/>
            </w:tcBorders>
          </w:tcPr>
          <w:p w:rsidR="00013D83" w:rsidRPr="006B3796" w:rsidRDefault="00013D83" w:rsidP="001F3F21">
            <w:pPr>
              <w:pStyle w:val="Tabletext"/>
            </w:pPr>
            <w:r w:rsidRPr="006B3796">
              <w:t>No Guide</w:t>
            </w:r>
          </w:p>
          <w:p w:rsidR="00013D83" w:rsidRPr="006B3796" w:rsidRDefault="00013D83" w:rsidP="001F3F21">
            <w:pPr>
              <w:pStyle w:val="Tabletext"/>
              <w:rPr>
                <w:i/>
              </w:rPr>
            </w:pPr>
            <w:r w:rsidRPr="006B3796">
              <w:rPr>
                <w:i/>
              </w:rPr>
              <w:t>(Example A)</w:t>
            </w:r>
          </w:p>
        </w:tc>
        <w:tc>
          <w:tcPr>
            <w:tcW w:w="6240" w:type="dxa"/>
            <w:gridSpan w:val="2"/>
            <w:tcBorders>
              <w:top w:val="single" w:sz="4" w:space="0" w:color="auto"/>
              <w:left w:val="nil"/>
              <w:bottom w:val="single" w:sz="6" w:space="0" w:color="auto"/>
              <w:right w:val="single" w:sz="12" w:space="0" w:color="auto"/>
            </w:tcBorders>
          </w:tcPr>
          <w:p w:rsidR="00013D83" w:rsidRPr="006B3796" w:rsidRDefault="00013D83" w:rsidP="001F3F21">
            <w:pPr>
              <w:pStyle w:val="Tabletext"/>
            </w:pPr>
            <w:r w:rsidRPr="006B3796">
              <w:t>Guide</w:t>
            </w:r>
          </w:p>
        </w:tc>
      </w:tr>
      <w:tr w:rsidR="00013D83" w:rsidRPr="006B3796" w:rsidTr="001F3F21">
        <w:trPr>
          <w:cantSplit/>
        </w:trPr>
        <w:tc>
          <w:tcPr>
            <w:tcW w:w="2880" w:type="dxa"/>
            <w:tcBorders>
              <w:top w:val="nil"/>
              <w:left w:val="single" w:sz="12" w:space="0" w:color="auto"/>
              <w:bottom w:val="nil"/>
              <w:right w:val="single" w:sz="12" w:space="0" w:color="auto"/>
            </w:tcBorders>
          </w:tcPr>
          <w:p w:rsidR="00013D83" w:rsidRPr="006B3796" w:rsidRDefault="00013D83" w:rsidP="001F3F21">
            <w:pPr>
              <w:keepNext/>
            </w:pPr>
          </w:p>
        </w:tc>
        <w:tc>
          <w:tcPr>
            <w:tcW w:w="3120" w:type="dxa"/>
            <w:tcBorders>
              <w:top w:val="nil"/>
              <w:left w:val="single" w:sz="12" w:space="0" w:color="auto"/>
              <w:bottom w:val="nil"/>
              <w:right w:val="single" w:sz="12" w:space="0" w:color="auto"/>
            </w:tcBorders>
          </w:tcPr>
          <w:p w:rsidR="00013D83" w:rsidRPr="006B3796" w:rsidRDefault="00013D83" w:rsidP="001F3F21">
            <w:pPr>
              <w:pStyle w:val="Tabletext"/>
            </w:pPr>
            <w:r w:rsidRPr="006B3796">
              <w:t>No sections in Guide except theme statement</w:t>
            </w:r>
          </w:p>
          <w:p w:rsidR="00013D83" w:rsidRPr="006B3796" w:rsidRDefault="00013D83" w:rsidP="001F3F21">
            <w:pPr>
              <w:pStyle w:val="Tabletext"/>
              <w:rPr>
                <w:i/>
              </w:rPr>
            </w:pPr>
            <w:r w:rsidRPr="006B3796">
              <w:rPr>
                <w:i/>
              </w:rPr>
              <w:t>(Example B)</w:t>
            </w:r>
          </w:p>
        </w:tc>
        <w:tc>
          <w:tcPr>
            <w:tcW w:w="3120" w:type="dxa"/>
            <w:tcBorders>
              <w:top w:val="nil"/>
              <w:left w:val="single" w:sz="12" w:space="0" w:color="auto"/>
              <w:bottom w:val="nil"/>
              <w:right w:val="single" w:sz="12" w:space="0" w:color="auto"/>
            </w:tcBorders>
          </w:tcPr>
          <w:p w:rsidR="00013D83" w:rsidRPr="006B3796" w:rsidRDefault="00013D83" w:rsidP="001F3F21">
            <w:pPr>
              <w:pStyle w:val="Tabletext"/>
            </w:pPr>
            <w:r w:rsidRPr="006B3796">
              <w:t>1 or more non</w:t>
            </w:r>
            <w:r w:rsidR="002860B3">
              <w:noBreakHyphen/>
            </w:r>
            <w:r w:rsidRPr="006B3796">
              <w:t>theme statement sections in Guide</w:t>
            </w:r>
          </w:p>
          <w:p w:rsidR="00013D83" w:rsidRPr="006B3796" w:rsidRDefault="00013D83" w:rsidP="001F3F21">
            <w:pPr>
              <w:pStyle w:val="Tabletext"/>
              <w:rPr>
                <w:i/>
              </w:rPr>
            </w:pPr>
            <w:r w:rsidRPr="006B3796">
              <w:rPr>
                <w:i/>
              </w:rPr>
              <w:t>(Example C)</w:t>
            </w:r>
          </w:p>
        </w:tc>
      </w:tr>
      <w:tr w:rsidR="00013D83" w:rsidRPr="006B3796" w:rsidTr="001F3F21">
        <w:trPr>
          <w:cantSplit/>
        </w:trPr>
        <w:tc>
          <w:tcPr>
            <w:tcW w:w="2880" w:type="dxa"/>
            <w:tcBorders>
              <w:top w:val="single" w:sz="18" w:space="0" w:color="auto"/>
              <w:left w:val="single" w:sz="12" w:space="0" w:color="auto"/>
              <w:bottom w:val="dotted" w:sz="4" w:space="0" w:color="auto"/>
              <w:right w:val="nil"/>
            </w:tcBorders>
          </w:tcPr>
          <w:p w:rsidR="00013D83" w:rsidRPr="006B3796" w:rsidRDefault="00013D83" w:rsidP="001F3F21">
            <w:pPr>
              <w:pStyle w:val="Tabletext"/>
            </w:pPr>
            <w:r w:rsidRPr="006B3796">
              <w:t>Div. heading</w:t>
            </w:r>
          </w:p>
        </w:tc>
        <w:tc>
          <w:tcPr>
            <w:tcW w:w="3120" w:type="dxa"/>
            <w:tcBorders>
              <w:top w:val="single" w:sz="18" w:space="0" w:color="auto"/>
              <w:left w:val="single" w:sz="12" w:space="0" w:color="auto"/>
              <w:bottom w:val="dotted" w:sz="4" w:space="0" w:color="auto"/>
              <w:right w:val="nil"/>
            </w:tcBorders>
          </w:tcPr>
          <w:p w:rsidR="00013D83" w:rsidRPr="006B3796" w:rsidRDefault="00013D83" w:rsidP="001F3F21">
            <w:pPr>
              <w:pStyle w:val="Tabletext"/>
            </w:pPr>
            <w:r w:rsidRPr="006B3796">
              <w:t>Div. heading</w:t>
            </w:r>
          </w:p>
        </w:tc>
        <w:tc>
          <w:tcPr>
            <w:tcW w:w="3120" w:type="dxa"/>
            <w:tcBorders>
              <w:top w:val="single" w:sz="18" w:space="0" w:color="auto"/>
              <w:left w:val="single" w:sz="12" w:space="0" w:color="auto"/>
              <w:bottom w:val="dotted" w:sz="4" w:space="0" w:color="auto"/>
              <w:right w:val="single" w:sz="12" w:space="0" w:color="auto"/>
            </w:tcBorders>
          </w:tcPr>
          <w:p w:rsidR="00013D83" w:rsidRPr="006B3796" w:rsidRDefault="00013D83" w:rsidP="001F3F21">
            <w:pPr>
              <w:pStyle w:val="Tabletext"/>
            </w:pPr>
            <w:r w:rsidRPr="006B3796">
              <w:t>Div. heading</w:t>
            </w:r>
          </w:p>
        </w:tc>
      </w:tr>
      <w:tr w:rsidR="00013D83" w:rsidRPr="006B3796" w:rsidTr="001F3F21">
        <w:trPr>
          <w:cantSplit/>
        </w:trPr>
        <w:tc>
          <w:tcPr>
            <w:tcW w:w="2880" w:type="dxa"/>
            <w:tcBorders>
              <w:top w:val="nil"/>
              <w:left w:val="single" w:sz="12" w:space="0" w:color="auto"/>
              <w:bottom w:val="dotted" w:sz="6" w:space="0" w:color="auto"/>
              <w:right w:val="nil"/>
            </w:tcBorders>
          </w:tcPr>
          <w:p w:rsidR="00013D83" w:rsidRPr="006B3796" w:rsidRDefault="00013D83" w:rsidP="001F3F21">
            <w:pPr>
              <w:pStyle w:val="Tabletext"/>
            </w:pPr>
            <w:r w:rsidRPr="006B3796">
              <w:t>Table of Subdivision headings</w:t>
            </w:r>
          </w:p>
        </w:tc>
        <w:tc>
          <w:tcPr>
            <w:tcW w:w="3120" w:type="dxa"/>
            <w:tcBorders>
              <w:top w:val="nil"/>
              <w:left w:val="single" w:sz="12" w:space="0" w:color="auto"/>
              <w:bottom w:val="nil"/>
              <w:right w:val="nil"/>
            </w:tcBorders>
          </w:tcPr>
          <w:p w:rsidR="00013D83" w:rsidRPr="006B3796" w:rsidRDefault="00013D83" w:rsidP="001F3F21">
            <w:pPr>
              <w:pStyle w:val="Tabletext"/>
            </w:pPr>
            <w:r w:rsidRPr="006B3796">
              <w:t>Table of Guide and Subdivision headings</w:t>
            </w:r>
          </w:p>
        </w:tc>
        <w:tc>
          <w:tcPr>
            <w:tcW w:w="3120" w:type="dxa"/>
            <w:tcBorders>
              <w:top w:val="nil"/>
              <w:left w:val="single" w:sz="12" w:space="0" w:color="auto"/>
              <w:bottom w:val="nil"/>
              <w:right w:val="single" w:sz="12" w:space="0" w:color="auto"/>
            </w:tcBorders>
          </w:tcPr>
          <w:p w:rsidR="00013D83" w:rsidRPr="006B3796" w:rsidRDefault="00013D83" w:rsidP="001F3F21">
            <w:pPr>
              <w:pStyle w:val="Tabletext"/>
            </w:pPr>
            <w:r w:rsidRPr="006B3796">
              <w:t>Table of Guide and Subdivision headings</w:t>
            </w:r>
          </w:p>
        </w:tc>
      </w:tr>
      <w:tr w:rsidR="00013D83" w:rsidRPr="006B3796" w:rsidTr="001F3F21">
        <w:trPr>
          <w:cantSplit/>
        </w:trPr>
        <w:tc>
          <w:tcPr>
            <w:tcW w:w="2880" w:type="dxa"/>
            <w:tcBorders>
              <w:top w:val="nil"/>
              <w:left w:val="single" w:sz="12" w:space="0" w:color="auto"/>
              <w:right w:val="nil"/>
            </w:tcBorders>
          </w:tcPr>
          <w:p w:rsidR="00013D83" w:rsidRPr="006B3796" w:rsidRDefault="00013D83" w:rsidP="001F3F21">
            <w:pPr>
              <w:keepNext/>
            </w:pPr>
          </w:p>
        </w:tc>
        <w:tc>
          <w:tcPr>
            <w:tcW w:w="3120" w:type="dxa"/>
            <w:tcBorders>
              <w:top w:val="dotted" w:sz="6" w:space="0" w:color="auto"/>
              <w:left w:val="single" w:sz="12" w:space="0" w:color="auto"/>
              <w:bottom w:val="nil"/>
              <w:right w:val="nil"/>
            </w:tcBorders>
          </w:tcPr>
          <w:p w:rsidR="00013D83" w:rsidRPr="006B3796" w:rsidRDefault="00013D83" w:rsidP="001F3F21">
            <w:pPr>
              <w:pStyle w:val="Tabletext"/>
            </w:pPr>
            <w:r w:rsidRPr="006B3796">
              <w:t>Guide heading</w:t>
            </w:r>
          </w:p>
        </w:tc>
        <w:tc>
          <w:tcPr>
            <w:tcW w:w="3120" w:type="dxa"/>
            <w:tcBorders>
              <w:top w:val="dotted" w:sz="6" w:space="0" w:color="auto"/>
              <w:left w:val="single" w:sz="12" w:space="0" w:color="auto"/>
              <w:bottom w:val="nil"/>
              <w:right w:val="single" w:sz="12" w:space="0" w:color="auto"/>
            </w:tcBorders>
          </w:tcPr>
          <w:p w:rsidR="00013D83" w:rsidRPr="006B3796" w:rsidRDefault="00013D83" w:rsidP="001F3F21">
            <w:pPr>
              <w:pStyle w:val="Tabletext"/>
            </w:pPr>
            <w:r w:rsidRPr="006B3796">
              <w:t>Guide heading</w:t>
            </w:r>
          </w:p>
        </w:tc>
      </w:tr>
      <w:tr w:rsidR="00013D83" w:rsidRPr="006B3796" w:rsidTr="001F3F21">
        <w:trPr>
          <w:cantSplit/>
        </w:trPr>
        <w:tc>
          <w:tcPr>
            <w:tcW w:w="2880" w:type="dxa"/>
            <w:tcBorders>
              <w:left w:val="single" w:sz="12" w:space="0" w:color="auto"/>
              <w:right w:val="nil"/>
            </w:tcBorders>
          </w:tcPr>
          <w:p w:rsidR="00013D83" w:rsidRPr="006B3796" w:rsidRDefault="00013D83" w:rsidP="001F3F21">
            <w:pPr>
              <w:keepNext/>
            </w:pPr>
          </w:p>
        </w:tc>
        <w:tc>
          <w:tcPr>
            <w:tcW w:w="3120" w:type="dxa"/>
            <w:tcBorders>
              <w:top w:val="dotted" w:sz="6" w:space="0" w:color="auto"/>
              <w:left w:val="single" w:sz="12" w:space="0" w:color="auto"/>
              <w:bottom w:val="dotted" w:sz="6" w:space="0" w:color="auto"/>
              <w:right w:val="nil"/>
            </w:tcBorders>
          </w:tcPr>
          <w:p w:rsidR="00013D83" w:rsidRPr="006B3796" w:rsidRDefault="00013D83" w:rsidP="00AA4163">
            <w:pPr>
              <w:pStyle w:val="Tabletext"/>
            </w:pPr>
            <w:r w:rsidRPr="006B3796">
              <w:t xml:space="preserve">Theme statement (see paragraph </w:t>
            </w:r>
            <w:r w:rsidR="006B4552">
              <w:fldChar w:fldCharType="begin"/>
            </w:r>
            <w:r w:rsidR="00AA4163">
              <w:instrText xml:space="preserve"> REF _Ref269388012 \r \h </w:instrText>
            </w:r>
            <w:r w:rsidR="006B4552">
              <w:fldChar w:fldCharType="separate"/>
            </w:r>
            <w:r w:rsidR="002860B3">
              <w:t>59</w:t>
            </w:r>
            <w:r w:rsidR="006B4552">
              <w:fldChar w:fldCharType="end"/>
            </w:r>
            <w:r w:rsidRPr="006B3796">
              <w:t>)</w:t>
            </w:r>
          </w:p>
        </w:tc>
        <w:tc>
          <w:tcPr>
            <w:tcW w:w="3120" w:type="dxa"/>
            <w:tcBorders>
              <w:top w:val="dotted" w:sz="6" w:space="0" w:color="auto"/>
              <w:left w:val="single" w:sz="12" w:space="0" w:color="auto"/>
              <w:bottom w:val="nil"/>
              <w:right w:val="single" w:sz="12" w:space="0" w:color="auto"/>
            </w:tcBorders>
          </w:tcPr>
          <w:p w:rsidR="00013D83" w:rsidRPr="006B3796" w:rsidRDefault="00013D83" w:rsidP="00AA4163">
            <w:pPr>
              <w:pStyle w:val="Tabletext"/>
            </w:pPr>
            <w:r w:rsidRPr="006B3796">
              <w:t xml:space="preserve">Theme statement (see paragraph </w:t>
            </w:r>
            <w:r w:rsidR="006B4552">
              <w:fldChar w:fldCharType="begin"/>
            </w:r>
            <w:r w:rsidR="00AA4163">
              <w:instrText xml:space="preserve"> REF _Ref269388012 \r \h </w:instrText>
            </w:r>
            <w:r w:rsidR="006B4552">
              <w:fldChar w:fldCharType="separate"/>
            </w:r>
            <w:r w:rsidR="002860B3">
              <w:t>59</w:t>
            </w:r>
            <w:r w:rsidR="006B4552">
              <w:fldChar w:fldCharType="end"/>
            </w:r>
            <w:r w:rsidRPr="006B3796">
              <w:t>)</w:t>
            </w:r>
          </w:p>
        </w:tc>
      </w:tr>
      <w:tr w:rsidR="00013D83" w:rsidRPr="006B3796" w:rsidTr="001F3F21">
        <w:trPr>
          <w:cantSplit/>
        </w:trPr>
        <w:tc>
          <w:tcPr>
            <w:tcW w:w="2880" w:type="dxa"/>
            <w:tcBorders>
              <w:left w:val="single" w:sz="12" w:space="0" w:color="auto"/>
              <w:right w:val="nil"/>
            </w:tcBorders>
          </w:tcPr>
          <w:p w:rsidR="00013D83" w:rsidRPr="006B3796" w:rsidRDefault="00013D83" w:rsidP="001F3F21">
            <w:pPr>
              <w:keepNext/>
            </w:pPr>
          </w:p>
        </w:tc>
        <w:tc>
          <w:tcPr>
            <w:tcW w:w="3120" w:type="dxa"/>
            <w:tcBorders>
              <w:top w:val="nil"/>
              <w:left w:val="single" w:sz="12" w:space="0" w:color="auto"/>
              <w:right w:val="nil"/>
            </w:tcBorders>
          </w:tcPr>
          <w:p w:rsidR="00013D83" w:rsidRPr="006B3796" w:rsidRDefault="00013D83" w:rsidP="001F3F21">
            <w:pPr>
              <w:keepNext/>
            </w:pPr>
          </w:p>
        </w:tc>
        <w:tc>
          <w:tcPr>
            <w:tcW w:w="3120" w:type="dxa"/>
            <w:tcBorders>
              <w:top w:val="dotted" w:sz="6" w:space="0" w:color="auto"/>
              <w:left w:val="single" w:sz="12" w:space="0" w:color="auto"/>
              <w:bottom w:val="dotted" w:sz="6" w:space="0" w:color="auto"/>
              <w:right w:val="single" w:sz="12" w:space="0" w:color="auto"/>
            </w:tcBorders>
          </w:tcPr>
          <w:p w:rsidR="00013D83" w:rsidRPr="006B3796" w:rsidRDefault="00013D83" w:rsidP="001F3F21">
            <w:pPr>
              <w:pStyle w:val="Tabletext"/>
            </w:pPr>
            <w:r w:rsidRPr="006B3796">
              <w:t>Table of non</w:t>
            </w:r>
            <w:r w:rsidR="002860B3">
              <w:noBreakHyphen/>
            </w:r>
            <w:r w:rsidRPr="006B3796">
              <w:t>theme statement section(s) in Guide</w:t>
            </w:r>
          </w:p>
        </w:tc>
      </w:tr>
      <w:tr w:rsidR="00013D83" w:rsidRPr="006B3796" w:rsidTr="001F3F21">
        <w:trPr>
          <w:cantSplit/>
        </w:trPr>
        <w:tc>
          <w:tcPr>
            <w:tcW w:w="2880" w:type="dxa"/>
            <w:tcBorders>
              <w:left w:val="single" w:sz="12" w:space="0" w:color="auto"/>
              <w:bottom w:val="nil"/>
              <w:right w:val="nil"/>
            </w:tcBorders>
          </w:tcPr>
          <w:p w:rsidR="00013D83" w:rsidRPr="006B3796" w:rsidRDefault="00013D83" w:rsidP="001F3F21">
            <w:pPr>
              <w:keepNext/>
            </w:pPr>
          </w:p>
        </w:tc>
        <w:tc>
          <w:tcPr>
            <w:tcW w:w="3120" w:type="dxa"/>
            <w:tcBorders>
              <w:left w:val="single" w:sz="12" w:space="0" w:color="auto"/>
              <w:bottom w:val="nil"/>
              <w:right w:val="nil"/>
            </w:tcBorders>
          </w:tcPr>
          <w:p w:rsidR="00013D83" w:rsidRPr="006B3796" w:rsidRDefault="00013D83" w:rsidP="001F3F21">
            <w:pPr>
              <w:keepNext/>
            </w:pPr>
          </w:p>
        </w:tc>
        <w:tc>
          <w:tcPr>
            <w:tcW w:w="3120" w:type="dxa"/>
            <w:tcBorders>
              <w:top w:val="nil"/>
              <w:left w:val="single" w:sz="12" w:space="0" w:color="auto"/>
              <w:bottom w:val="nil"/>
              <w:right w:val="single" w:sz="12" w:space="0" w:color="auto"/>
            </w:tcBorders>
          </w:tcPr>
          <w:p w:rsidR="00013D83" w:rsidRPr="006B3796" w:rsidRDefault="00013D83" w:rsidP="001F3F21">
            <w:pPr>
              <w:pStyle w:val="Tabletext"/>
            </w:pPr>
            <w:r w:rsidRPr="006B3796">
              <w:t>Non</w:t>
            </w:r>
            <w:r w:rsidR="002860B3">
              <w:noBreakHyphen/>
            </w:r>
            <w:r w:rsidRPr="006B3796">
              <w:t>theme statement section(s)</w:t>
            </w:r>
          </w:p>
        </w:tc>
      </w:tr>
      <w:tr w:rsidR="00013D83" w:rsidRPr="006B3796" w:rsidTr="001F3F21">
        <w:trPr>
          <w:cantSplit/>
        </w:trPr>
        <w:tc>
          <w:tcPr>
            <w:tcW w:w="2880" w:type="dxa"/>
            <w:tcBorders>
              <w:top w:val="dotted" w:sz="6" w:space="0" w:color="auto"/>
              <w:left w:val="single" w:sz="12" w:space="0" w:color="auto"/>
              <w:bottom w:val="single" w:sz="18" w:space="0" w:color="auto"/>
              <w:right w:val="nil"/>
            </w:tcBorders>
          </w:tcPr>
          <w:p w:rsidR="00013D83" w:rsidRPr="006B3796" w:rsidRDefault="00013D83" w:rsidP="001F3F21">
            <w:pPr>
              <w:pStyle w:val="Tabletext"/>
            </w:pPr>
            <w:r w:rsidRPr="006B3796">
              <w:t>Subdivision A heading</w:t>
            </w:r>
          </w:p>
        </w:tc>
        <w:tc>
          <w:tcPr>
            <w:tcW w:w="3120" w:type="dxa"/>
            <w:tcBorders>
              <w:top w:val="dotted" w:sz="6" w:space="0" w:color="auto"/>
              <w:left w:val="single" w:sz="12" w:space="0" w:color="auto"/>
              <w:bottom w:val="single" w:sz="18" w:space="0" w:color="auto"/>
              <w:right w:val="nil"/>
            </w:tcBorders>
          </w:tcPr>
          <w:p w:rsidR="00013D83" w:rsidRPr="006B3796" w:rsidRDefault="00013D83" w:rsidP="001F3F21">
            <w:pPr>
              <w:pStyle w:val="Tabletext"/>
            </w:pPr>
            <w:r w:rsidRPr="006B3796">
              <w:t>Subdivision A heading</w:t>
            </w:r>
          </w:p>
        </w:tc>
        <w:tc>
          <w:tcPr>
            <w:tcW w:w="3120" w:type="dxa"/>
            <w:tcBorders>
              <w:top w:val="dotted" w:sz="6" w:space="0" w:color="auto"/>
              <w:left w:val="single" w:sz="12" w:space="0" w:color="auto"/>
              <w:bottom w:val="single" w:sz="18" w:space="0" w:color="auto"/>
              <w:right w:val="single" w:sz="12" w:space="0" w:color="auto"/>
            </w:tcBorders>
          </w:tcPr>
          <w:p w:rsidR="00013D83" w:rsidRPr="006B3796" w:rsidRDefault="00013D83" w:rsidP="001F3F21">
            <w:pPr>
              <w:pStyle w:val="Tabletext"/>
            </w:pPr>
            <w:r w:rsidRPr="006B3796">
              <w:t>Subdivision A heading</w:t>
            </w:r>
          </w:p>
        </w:tc>
      </w:tr>
    </w:tbl>
    <w:p w:rsidR="00013D83" w:rsidRPr="006B3796" w:rsidRDefault="00013D83" w:rsidP="00013D83">
      <w:pPr>
        <w:pStyle w:val="Tabletext"/>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CellMar>
          <w:left w:w="107" w:type="dxa"/>
          <w:right w:w="107" w:type="dxa"/>
        </w:tblCellMar>
        <w:tblLook w:val="0020" w:firstRow="1" w:lastRow="0" w:firstColumn="0" w:lastColumn="0" w:noHBand="0" w:noVBand="0"/>
      </w:tblPr>
      <w:tblGrid>
        <w:gridCol w:w="4535"/>
        <w:gridCol w:w="4536"/>
      </w:tblGrid>
      <w:tr w:rsidR="00013D83" w:rsidRPr="006B3796" w:rsidTr="001F3F21">
        <w:trPr>
          <w:cantSplit/>
          <w:tblHeader/>
        </w:trPr>
        <w:tc>
          <w:tcPr>
            <w:tcW w:w="9071" w:type="dxa"/>
            <w:gridSpan w:val="2"/>
            <w:tcBorders>
              <w:top w:val="single" w:sz="18" w:space="0" w:color="auto"/>
              <w:left w:val="single" w:sz="18" w:space="0" w:color="auto"/>
              <w:bottom w:val="single" w:sz="6" w:space="0" w:color="auto"/>
              <w:right w:val="single" w:sz="18" w:space="0" w:color="auto"/>
            </w:tcBorders>
          </w:tcPr>
          <w:p w:rsidR="00013D83" w:rsidRPr="006B3796" w:rsidRDefault="00013D83" w:rsidP="001F3F21">
            <w:pPr>
              <w:pStyle w:val="Tabletext"/>
            </w:pPr>
            <w:r w:rsidRPr="006B3796">
              <w:rPr>
                <w:b/>
              </w:rPr>
              <w:t>Subdivision</w:t>
            </w:r>
          </w:p>
        </w:tc>
      </w:tr>
      <w:tr w:rsidR="00013D83" w:rsidRPr="006B3796" w:rsidTr="001F3F21">
        <w:trPr>
          <w:cantSplit/>
        </w:trPr>
        <w:tc>
          <w:tcPr>
            <w:tcW w:w="4535" w:type="dxa"/>
            <w:tcBorders>
              <w:top w:val="nil"/>
              <w:left w:val="single" w:sz="18" w:space="0" w:color="auto"/>
              <w:bottom w:val="nil"/>
              <w:right w:val="nil"/>
            </w:tcBorders>
          </w:tcPr>
          <w:p w:rsidR="00013D83" w:rsidRPr="006B3796" w:rsidRDefault="00013D83" w:rsidP="001F3F21">
            <w:pPr>
              <w:pStyle w:val="Tabletext"/>
            </w:pPr>
            <w:r w:rsidRPr="006B3796">
              <w:t>No Guide</w:t>
            </w:r>
          </w:p>
          <w:p w:rsidR="00013D83" w:rsidRPr="006B3796" w:rsidRDefault="00013D83" w:rsidP="001F3F21">
            <w:pPr>
              <w:pStyle w:val="Tabletext"/>
              <w:rPr>
                <w:i/>
              </w:rPr>
            </w:pPr>
            <w:r w:rsidRPr="006B3796">
              <w:rPr>
                <w:i/>
              </w:rPr>
              <w:t>(Example D)</w:t>
            </w:r>
          </w:p>
        </w:tc>
        <w:tc>
          <w:tcPr>
            <w:tcW w:w="4536" w:type="dxa"/>
            <w:tcBorders>
              <w:top w:val="nil"/>
              <w:left w:val="single" w:sz="18" w:space="0" w:color="auto"/>
              <w:bottom w:val="nil"/>
              <w:right w:val="single" w:sz="18" w:space="0" w:color="auto"/>
            </w:tcBorders>
          </w:tcPr>
          <w:p w:rsidR="00013D83" w:rsidRPr="006B3796" w:rsidRDefault="00013D83" w:rsidP="001F3F21">
            <w:pPr>
              <w:pStyle w:val="Tabletext"/>
            </w:pPr>
            <w:r w:rsidRPr="006B3796">
              <w:t>Guide</w:t>
            </w:r>
          </w:p>
          <w:p w:rsidR="00013D83" w:rsidRPr="006B3796" w:rsidRDefault="00013D83" w:rsidP="001F3F21">
            <w:pPr>
              <w:pStyle w:val="Tabletext"/>
              <w:rPr>
                <w:i/>
              </w:rPr>
            </w:pPr>
            <w:r w:rsidRPr="006B3796">
              <w:rPr>
                <w:i/>
              </w:rPr>
              <w:t>(Example E)</w:t>
            </w:r>
          </w:p>
        </w:tc>
      </w:tr>
      <w:tr w:rsidR="00013D83" w:rsidRPr="006B3796" w:rsidTr="001F3F21">
        <w:trPr>
          <w:cantSplit/>
        </w:trPr>
        <w:tc>
          <w:tcPr>
            <w:tcW w:w="4535" w:type="dxa"/>
            <w:tcBorders>
              <w:top w:val="single" w:sz="18" w:space="0" w:color="auto"/>
              <w:left w:val="single" w:sz="18" w:space="0" w:color="auto"/>
              <w:bottom w:val="dotted" w:sz="6" w:space="0" w:color="auto"/>
              <w:right w:val="nil"/>
            </w:tcBorders>
          </w:tcPr>
          <w:p w:rsidR="00013D83" w:rsidRPr="006B3796" w:rsidRDefault="00013D83" w:rsidP="001F3F21">
            <w:pPr>
              <w:pStyle w:val="Tabletext"/>
            </w:pPr>
            <w:r w:rsidRPr="006B3796">
              <w:t>Subdivision heading</w:t>
            </w:r>
          </w:p>
        </w:tc>
        <w:tc>
          <w:tcPr>
            <w:tcW w:w="4536" w:type="dxa"/>
            <w:tcBorders>
              <w:top w:val="single" w:sz="18" w:space="0" w:color="auto"/>
              <w:left w:val="single" w:sz="18" w:space="0" w:color="auto"/>
              <w:bottom w:val="dotted" w:sz="6" w:space="0" w:color="auto"/>
              <w:right w:val="single" w:sz="18" w:space="0" w:color="auto"/>
            </w:tcBorders>
          </w:tcPr>
          <w:p w:rsidR="00013D83" w:rsidRPr="006B3796" w:rsidRDefault="00013D83" w:rsidP="001F3F21">
            <w:pPr>
              <w:pStyle w:val="Tabletext"/>
            </w:pPr>
            <w:r w:rsidRPr="006B3796">
              <w:t>Subdivision heading</w:t>
            </w:r>
          </w:p>
        </w:tc>
      </w:tr>
      <w:tr w:rsidR="00013D83" w:rsidRPr="006B3796" w:rsidTr="001F3F21">
        <w:trPr>
          <w:cantSplit/>
        </w:trPr>
        <w:tc>
          <w:tcPr>
            <w:tcW w:w="4535" w:type="dxa"/>
            <w:tcBorders>
              <w:top w:val="nil"/>
              <w:left w:val="single" w:sz="18" w:space="0" w:color="auto"/>
              <w:right w:val="nil"/>
            </w:tcBorders>
          </w:tcPr>
          <w:p w:rsidR="00013D83" w:rsidRPr="006B3796" w:rsidRDefault="00013D83" w:rsidP="001F3F21">
            <w:pPr>
              <w:keepNext/>
            </w:pPr>
          </w:p>
        </w:tc>
        <w:tc>
          <w:tcPr>
            <w:tcW w:w="4536" w:type="dxa"/>
            <w:tcBorders>
              <w:top w:val="nil"/>
              <w:left w:val="single" w:sz="18" w:space="0" w:color="auto"/>
              <w:bottom w:val="nil"/>
              <w:right w:val="single" w:sz="18" w:space="0" w:color="auto"/>
            </w:tcBorders>
          </w:tcPr>
          <w:p w:rsidR="00013D83" w:rsidRPr="006B3796" w:rsidRDefault="00013D83" w:rsidP="001F3F21">
            <w:pPr>
              <w:pStyle w:val="Tabletext"/>
            </w:pPr>
            <w:r w:rsidRPr="006B3796">
              <w:t>Guide heading</w:t>
            </w:r>
          </w:p>
        </w:tc>
      </w:tr>
      <w:tr w:rsidR="00013D83" w:rsidRPr="006B3796" w:rsidTr="001F3F21">
        <w:trPr>
          <w:cantSplit/>
        </w:trPr>
        <w:tc>
          <w:tcPr>
            <w:tcW w:w="4535" w:type="dxa"/>
            <w:tcBorders>
              <w:left w:val="single" w:sz="18" w:space="0" w:color="auto"/>
              <w:bottom w:val="nil"/>
              <w:right w:val="nil"/>
            </w:tcBorders>
          </w:tcPr>
          <w:p w:rsidR="00013D83" w:rsidRPr="006B3796" w:rsidRDefault="00013D83" w:rsidP="001F3F21">
            <w:pPr>
              <w:keepNext/>
            </w:pPr>
          </w:p>
        </w:tc>
        <w:tc>
          <w:tcPr>
            <w:tcW w:w="4536" w:type="dxa"/>
            <w:tcBorders>
              <w:top w:val="dotted" w:sz="6" w:space="0" w:color="auto"/>
              <w:left w:val="single" w:sz="18" w:space="0" w:color="auto"/>
              <w:bottom w:val="dotted" w:sz="6" w:space="0" w:color="auto"/>
              <w:right w:val="single" w:sz="18" w:space="0" w:color="auto"/>
            </w:tcBorders>
          </w:tcPr>
          <w:p w:rsidR="00013D83" w:rsidRPr="006B3796" w:rsidRDefault="00013D83" w:rsidP="001F3F21">
            <w:pPr>
              <w:pStyle w:val="Tabletext"/>
            </w:pPr>
            <w:r w:rsidRPr="006B3796">
              <w:t>Theme statement</w:t>
            </w:r>
          </w:p>
        </w:tc>
      </w:tr>
      <w:tr w:rsidR="00013D83" w:rsidRPr="006B3796" w:rsidTr="001F3F21">
        <w:trPr>
          <w:cantSplit/>
        </w:trPr>
        <w:tc>
          <w:tcPr>
            <w:tcW w:w="4535" w:type="dxa"/>
            <w:tcBorders>
              <w:top w:val="dotted" w:sz="6" w:space="0" w:color="auto"/>
              <w:left w:val="single" w:sz="18" w:space="0" w:color="auto"/>
              <w:bottom w:val="nil"/>
              <w:right w:val="nil"/>
            </w:tcBorders>
          </w:tcPr>
          <w:p w:rsidR="00013D83" w:rsidRPr="006B3796" w:rsidRDefault="00013D83" w:rsidP="001F3F21">
            <w:pPr>
              <w:pStyle w:val="Tabletext"/>
            </w:pPr>
            <w:r w:rsidRPr="006B3796">
              <w:t>Table of section and any group headings</w:t>
            </w:r>
          </w:p>
        </w:tc>
        <w:tc>
          <w:tcPr>
            <w:tcW w:w="4536" w:type="dxa"/>
            <w:tcBorders>
              <w:top w:val="nil"/>
              <w:left w:val="single" w:sz="18" w:space="0" w:color="auto"/>
              <w:bottom w:val="dotted" w:sz="6" w:space="0" w:color="auto"/>
              <w:right w:val="single" w:sz="18" w:space="0" w:color="auto"/>
            </w:tcBorders>
          </w:tcPr>
          <w:p w:rsidR="00013D83" w:rsidRPr="006B3796" w:rsidRDefault="00013D83" w:rsidP="001F3F21">
            <w:pPr>
              <w:pStyle w:val="Tabletext"/>
            </w:pPr>
            <w:r w:rsidRPr="006B3796">
              <w:t>Table of section and group headings</w:t>
            </w:r>
          </w:p>
        </w:tc>
      </w:tr>
      <w:tr w:rsidR="00013D83" w:rsidRPr="006B3796" w:rsidTr="001F3F21">
        <w:trPr>
          <w:cantSplit/>
        </w:trPr>
        <w:tc>
          <w:tcPr>
            <w:tcW w:w="4535" w:type="dxa"/>
            <w:tcBorders>
              <w:top w:val="dotted" w:sz="6" w:space="0" w:color="auto"/>
              <w:left w:val="single" w:sz="18" w:space="0" w:color="auto"/>
              <w:bottom w:val="nil"/>
              <w:right w:val="nil"/>
            </w:tcBorders>
          </w:tcPr>
          <w:p w:rsidR="00013D83" w:rsidRPr="006B3796" w:rsidRDefault="00013D83" w:rsidP="001F3F21">
            <w:pPr>
              <w:keepNext/>
            </w:pPr>
          </w:p>
        </w:tc>
        <w:tc>
          <w:tcPr>
            <w:tcW w:w="4536" w:type="dxa"/>
            <w:tcBorders>
              <w:top w:val="nil"/>
              <w:left w:val="single" w:sz="18" w:space="0" w:color="auto"/>
              <w:bottom w:val="nil"/>
              <w:right w:val="single" w:sz="18" w:space="0" w:color="auto"/>
            </w:tcBorders>
          </w:tcPr>
          <w:p w:rsidR="00013D83" w:rsidRPr="006B3796" w:rsidRDefault="00013D83" w:rsidP="001F3F21">
            <w:pPr>
              <w:pStyle w:val="Tabletext"/>
            </w:pPr>
            <w:r w:rsidRPr="006B3796">
              <w:t>Any non</w:t>
            </w:r>
            <w:r w:rsidR="002860B3">
              <w:noBreakHyphen/>
            </w:r>
            <w:r w:rsidRPr="006B3796">
              <w:t>theme statement sections in Guide</w:t>
            </w:r>
          </w:p>
        </w:tc>
      </w:tr>
      <w:tr w:rsidR="00013D83" w:rsidRPr="006B3796" w:rsidTr="001F3F21">
        <w:trPr>
          <w:cantSplit/>
        </w:trPr>
        <w:tc>
          <w:tcPr>
            <w:tcW w:w="4535" w:type="dxa"/>
            <w:tcBorders>
              <w:top w:val="dotted" w:sz="6" w:space="0" w:color="auto"/>
              <w:left w:val="single" w:sz="18" w:space="0" w:color="auto"/>
              <w:bottom w:val="dotted" w:sz="6" w:space="0" w:color="auto"/>
              <w:right w:val="nil"/>
            </w:tcBorders>
          </w:tcPr>
          <w:p w:rsidR="00013D83" w:rsidRPr="006B3796" w:rsidRDefault="00013D83" w:rsidP="001F3F21">
            <w:pPr>
              <w:pStyle w:val="Tabletext"/>
            </w:pPr>
            <w:r w:rsidRPr="006B3796">
              <w:t>Group heading (if any)</w:t>
            </w:r>
          </w:p>
        </w:tc>
        <w:tc>
          <w:tcPr>
            <w:tcW w:w="4536" w:type="dxa"/>
            <w:tcBorders>
              <w:top w:val="dotted" w:sz="6" w:space="0" w:color="auto"/>
              <w:left w:val="single" w:sz="18" w:space="0" w:color="auto"/>
              <w:bottom w:val="dotted" w:sz="6" w:space="0" w:color="auto"/>
              <w:right w:val="single" w:sz="18" w:space="0" w:color="auto"/>
            </w:tcBorders>
          </w:tcPr>
          <w:p w:rsidR="00013D83" w:rsidRPr="006B3796" w:rsidRDefault="00013D83" w:rsidP="001F3F21">
            <w:pPr>
              <w:pStyle w:val="Tabletext"/>
            </w:pPr>
            <w:r w:rsidRPr="006B3796">
              <w:t>Group heading</w:t>
            </w:r>
          </w:p>
        </w:tc>
      </w:tr>
      <w:tr w:rsidR="00013D83" w:rsidRPr="006B3796" w:rsidTr="001F3F21">
        <w:trPr>
          <w:cantSplit/>
        </w:trPr>
        <w:tc>
          <w:tcPr>
            <w:tcW w:w="4535" w:type="dxa"/>
            <w:tcBorders>
              <w:top w:val="nil"/>
              <w:left w:val="single" w:sz="18" w:space="0" w:color="auto"/>
              <w:bottom w:val="single" w:sz="18" w:space="0" w:color="auto"/>
              <w:right w:val="nil"/>
            </w:tcBorders>
          </w:tcPr>
          <w:p w:rsidR="00013D83" w:rsidRPr="006B3796" w:rsidRDefault="00013D83" w:rsidP="001F3F21">
            <w:pPr>
              <w:pStyle w:val="Tabletext"/>
            </w:pPr>
            <w:r w:rsidRPr="006B3796">
              <w:t>First operative section</w:t>
            </w:r>
          </w:p>
        </w:tc>
        <w:tc>
          <w:tcPr>
            <w:tcW w:w="4536" w:type="dxa"/>
            <w:tcBorders>
              <w:top w:val="nil"/>
              <w:left w:val="single" w:sz="18" w:space="0" w:color="auto"/>
              <w:bottom w:val="single" w:sz="18" w:space="0" w:color="auto"/>
              <w:right w:val="single" w:sz="18" w:space="0" w:color="auto"/>
            </w:tcBorders>
          </w:tcPr>
          <w:p w:rsidR="00013D83" w:rsidRPr="006B3796" w:rsidRDefault="00013D83" w:rsidP="001F3F21">
            <w:pPr>
              <w:pStyle w:val="Tabletext"/>
            </w:pPr>
            <w:r w:rsidRPr="006B3796">
              <w:t>First operative section</w:t>
            </w:r>
          </w:p>
        </w:tc>
      </w:tr>
    </w:tbl>
    <w:p w:rsidR="00013D83" w:rsidRPr="006B3796" w:rsidRDefault="00013D83" w:rsidP="006B3796">
      <w:pPr>
        <w:pStyle w:val="Head4"/>
      </w:pPr>
      <w:bookmarkStart w:id="25" w:name="_Toc144733652"/>
      <w:r w:rsidRPr="006B3796">
        <w:t>Theme statements</w:t>
      </w:r>
      <w:bookmarkEnd w:id="25"/>
    </w:p>
    <w:p w:rsidR="00013D83" w:rsidRPr="006B3796" w:rsidRDefault="00013D83" w:rsidP="007E4644">
      <w:pPr>
        <w:pStyle w:val="BodyNum"/>
      </w:pPr>
      <w:bookmarkStart w:id="26" w:name="_Ref269388012"/>
      <w:r w:rsidRPr="006B3796">
        <w:t>A theme statement is the text that you put in a box at or near the start of a Guide. As originally conceived, its true function is to state in one or 2 sentences (at most) what the Division or Subdivision is about. This is based on Tony Golsby</w:t>
      </w:r>
      <w:r w:rsidR="002860B3">
        <w:noBreakHyphen/>
      </w:r>
      <w:r w:rsidRPr="006B3796">
        <w:t>Smith’s proposition that you do not truly understand the subject matter of your text unless you can state its thesis in this form.</w:t>
      </w:r>
      <w:bookmarkEnd w:id="26"/>
    </w:p>
    <w:p w:rsidR="00013D83" w:rsidRPr="006B3796" w:rsidRDefault="00013D83" w:rsidP="007E4644">
      <w:pPr>
        <w:pStyle w:val="BodyNum"/>
      </w:pPr>
      <w:r w:rsidRPr="006B3796">
        <w:t xml:space="preserve">A theme statement is meant to </w:t>
      </w:r>
      <w:r w:rsidRPr="006B3796">
        <w:rPr>
          <w:i/>
        </w:rPr>
        <w:t>encapsulate</w:t>
      </w:r>
      <w:r w:rsidRPr="006B3796">
        <w:t xml:space="preserve"> rather than to </w:t>
      </w:r>
      <w:r w:rsidRPr="006B3796">
        <w:rPr>
          <w:i/>
        </w:rPr>
        <w:t>summarise</w:t>
      </w:r>
      <w:r w:rsidRPr="006B3796">
        <w:t>. In particular, it is meant to establish the relevance of the provisions to the reader. A theme statement is thus different from a simplified outline. Here is an example (</w:t>
      </w:r>
      <w:r w:rsidR="002860B3">
        <w:t>section 3</w:t>
      </w:r>
      <w:r w:rsidRPr="006B3796">
        <w:t>87</w:t>
      </w:r>
      <w:r w:rsidR="002860B3">
        <w:noBreakHyphen/>
      </w:r>
      <w:r w:rsidRPr="006B3796">
        <w:t>160 of the 1997 Act):</w:t>
      </w:r>
    </w:p>
    <w:p w:rsidR="00013D83" w:rsidRPr="006B3796" w:rsidRDefault="00013D83" w:rsidP="00013D83">
      <w:pPr>
        <w:pStyle w:val="BoxText"/>
      </w:pPr>
      <w:r w:rsidRPr="006B3796">
        <w:t>You can deduct capital expenditure on establishing a horticultural plant that you own and use for commercial horticulture. The period over which you can deduct the expenditure depends on the effective life of the plant.</w:t>
      </w:r>
    </w:p>
    <w:p w:rsidR="00013D83" w:rsidRPr="006B3796" w:rsidRDefault="00013D83" w:rsidP="007E4644">
      <w:pPr>
        <w:pStyle w:val="BodyNum"/>
      </w:pPr>
      <w:r w:rsidRPr="006B3796">
        <w:t>If further Guide material is needed to prepare the reader for the operative provisions, it should be included in additional sections within the Guide, not in the theme statement.</w:t>
      </w:r>
    </w:p>
    <w:p w:rsidR="00013D83" w:rsidRPr="006B3796" w:rsidRDefault="00013D83" w:rsidP="00013D83">
      <w:pPr>
        <w:pStyle w:val="notemargin"/>
        <w:ind w:left="1134" w:hanging="1134"/>
      </w:pPr>
      <w:r w:rsidRPr="006B3796">
        <w:lastRenderedPageBreak/>
        <w:t>Example:</w:t>
      </w:r>
      <w:r w:rsidRPr="006B3796">
        <w:tab/>
      </w:r>
      <w:r w:rsidRPr="006B3796">
        <w:tab/>
        <w:t xml:space="preserve">See </w:t>
      </w:r>
      <w:r w:rsidR="002860B3">
        <w:t>Subdivision 1</w:t>
      </w:r>
      <w:r w:rsidRPr="006B3796">
        <w:t>70</w:t>
      </w:r>
      <w:r w:rsidR="002860B3">
        <w:noBreakHyphen/>
      </w:r>
      <w:r w:rsidRPr="006B3796">
        <w:t>A of the 1997 Act.</w:t>
      </w:r>
    </w:p>
    <w:p w:rsidR="00013D83" w:rsidRPr="006B3796" w:rsidRDefault="00013D83" w:rsidP="007E4644">
      <w:pPr>
        <w:pStyle w:val="BodyNum"/>
      </w:pPr>
      <w:r w:rsidRPr="006B3796">
        <w:t xml:space="preserve">In practice, theme statements have got a lot longer than one or 2 sentences. In some cases this is because the principle in paragraph </w:t>
      </w:r>
      <w:r w:rsidR="006B4552">
        <w:fldChar w:fldCharType="begin"/>
      </w:r>
      <w:r w:rsidR="00AA4163">
        <w:instrText xml:space="preserve"> REF _Ref269388012 \r \h </w:instrText>
      </w:r>
      <w:r w:rsidR="006B4552">
        <w:fldChar w:fldCharType="separate"/>
      </w:r>
      <w:r w:rsidR="002860B3">
        <w:t>59</w:t>
      </w:r>
      <w:r w:rsidR="006B4552">
        <w:fldChar w:fldCharType="end"/>
      </w:r>
      <w:r w:rsidRPr="006B3796">
        <w:t xml:space="preserve"> has not been observed. In others, it is because one or 2 sentences weren’t quite enough, but the further explanatory material didn’t quite seem to justify additional Guide sections. This last point is a legitimate consideration, but should not be used to undermine the basic principle. </w:t>
      </w:r>
    </w:p>
    <w:p w:rsidR="00013D83" w:rsidRPr="006B3796" w:rsidRDefault="00013D83" w:rsidP="007E4644">
      <w:pPr>
        <w:pStyle w:val="BodyNum"/>
      </w:pPr>
      <w:r w:rsidRPr="006B3796">
        <w:t>In drafting theme statements, a degree of judgment is required, but the following points should be observed (as well as the ones already mentioned).</w:t>
      </w:r>
    </w:p>
    <w:p w:rsidR="00013D83" w:rsidRPr="006B3796" w:rsidRDefault="00013D83" w:rsidP="007E4644">
      <w:pPr>
        <w:pStyle w:val="BodyNum"/>
      </w:pPr>
      <w:bookmarkStart w:id="27" w:name="_Ref269388055"/>
      <w:r w:rsidRPr="006B3796">
        <w:t>Try not to start with “This Division ...”. It wastes words and delays the real message. In some cases, however, this form may be necessary, perhaps because the subject matter of the provisions is too diverse to encapsulate well.</w:t>
      </w:r>
      <w:bookmarkEnd w:id="27"/>
    </w:p>
    <w:p w:rsidR="00013D83" w:rsidRPr="006B3796" w:rsidRDefault="00013D83" w:rsidP="00013D83">
      <w:pPr>
        <w:pStyle w:val="notemargin"/>
        <w:ind w:left="1134" w:hanging="1134"/>
      </w:pPr>
      <w:r w:rsidRPr="006B3796">
        <w:t>Examples:</w:t>
      </w:r>
      <w:r w:rsidRPr="006B3796">
        <w:tab/>
      </w:r>
      <w:r w:rsidR="002860B3">
        <w:t>Section 3</w:t>
      </w:r>
      <w:r w:rsidRPr="006B3796">
        <w:t>6</w:t>
      </w:r>
      <w:r w:rsidR="002860B3">
        <w:noBreakHyphen/>
      </w:r>
      <w:r w:rsidRPr="006B3796">
        <w:t>1 of the 1997 Act is as follows:</w:t>
      </w:r>
    </w:p>
    <w:p w:rsidR="00013D83" w:rsidRPr="006B3796" w:rsidRDefault="00013D83" w:rsidP="00013D83">
      <w:pPr>
        <w:pStyle w:val="BoxText"/>
      </w:pPr>
      <w:r w:rsidRPr="006B3796">
        <w:t xml:space="preserve">If you have more deductions for an income year than you have income, the difference is a </w:t>
      </w:r>
      <w:r w:rsidRPr="006B3796">
        <w:rPr>
          <w:b/>
          <w:i/>
        </w:rPr>
        <w:t>tax loss</w:t>
      </w:r>
      <w:r w:rsidRPr="006B3796">
        <w:t xml:space="preserve"> which you may be able to deduct in a later income year.</w:t>
      </w:r>
    </w:p>
    <w:p w:rsidR="00013D83" w:rsidRPr="006B3796" w:rsidRDefault="00013D83" w:rsidP="00013D83">
      <w:pPr>
        <w:pStyle w:val="notemargin"/>
        <w:ind w:left="1134" w:hanging="1134"/>
      </w:pPr>
      <w:r w:rsidRPr="006B3796">
        <w:tab/>
      </w:r>
      <w:r w:rsidRPr="006B3796">
        <w:tab/>
        <w:t xml:space="preserve">By contrast, </w:t>
      </w:r>
      <w:r w:rsidR="002860B3">
        <w:t>section 4</w:t>
      </w:r>
      <w:r w:rsidRPr="006B3796">
        <w:t>1</w:t>
      </w:r>
      <w:r w:rsidR="002860B3">
        <w:noBreakHyphen/>
      </w:r>
      <w:r w:rsidRPr="006B3796">
        <w:t>1 of the 1997 Act is as follows:</w:t>
      </w:r>
    </w:p>
    <w:p w:rsidR="00013D83" w:rsidRPr="006B3796" w:rsidRDefault="00013D83" w:rsidP="00013D83">
      <w:pPr>
        <w:pStyle w:val="BoxText"/>
      </w:pPr>
      <w:r w:rsidRPr="006B3796">
        <w:t>This Division has a group of rules that are common to some of the capital allowances.</w:t>
      </w:r>
    </w:p>
    <w:p w:rsidR="00013D83" w:rsidRPr="006B3796" w:rsidRDefault="00013D83" w:rsidP="007E4644">
      <w:pPr>
        <w:pStyle w:val="BodyNum"/>
      </w:pPr>
      <w:r w:rsidRPr="006B3796">
        <w:t xml:space="preserve">The first of the examples in paragraph </w:t>
      </w:r>
      <w:r w:rsidR="006B4552">
        <w:fldChar w:fldCharType="begin"/>
      </w:r>
      <w:r w:rsidR="00AA4163">
        <w:instrText xml:space="preserve"> REF _Ref269388055 \r \h </w:instrText>
      </w:r>
      <w:r w:rsidR="006B4552">
        <w:fldChar w:fldCharType="separate"/>
      </w:r>
      <w:r w:rsidR="002860B3">
        <w:t>64</w:t>
      </w:r>
      <w:r w:rsidR="006B4552">
        <w:fldChar w:fldCharType="end"/>
      </w:r>
      <w:r w:rsidR="00AA4163">
        <w:t xml:space="preserve"> </w:t>
      </w:r>
      <w:r w:rsidRPr="006B3796">
        <w:t>also illustrates the principle that the theme statement is often better for not using technical language, especially if the language is not defined until the reader gets to the operative provisions. Encapsulation means getting a good handle on the basic idea: technical accuracy can often get in the way of that.</w:t>
      </w:r>
    </w:p>
    <w:p w:rsidR="00013D83" w:rsidRPr="006B3796" w:rsidRDefault="00013D83" w:rsidP="007E4644">
      <w:pPr>
        <w:pStyle w:val="BodyNum"/>
      </w:pPr>
      <w:r w:rsidRPr="006B3796">
        <w:t xml:space="preserve">The second of the examples in paragraph </w:t>
      </w:r>
      <w:r w:rsidR="006B4552">
        <w:fldChar w:fldCharType="begin"/>
      </w:r>
      <w:r w:rsidR="00AA4163">
        <w:instrText xml:space="preserve"> REF _Ref269388055 \r \h </w:instrText>
      </w:r>
      <w:r w:rsidR="006B4552">
        <w:fldChar w:fldCharType="separate"/>
      </w:r>
      <w:r w:rsidR="002860B3">
        <w:t>64</w:t>
      </w:r>
      <w:r w:rsidR="006B4552">
        <w:fldChar w:fldCharType="end"/>
      </w:r>
      <w:r w:rsidR="00AA4163">
        <w:t xml:space="preserve"> </w:t>
      </w:r>
      <w:r w:rsidRPr="006B3796">
        <w:t>illustrates the principle that in some cases it is necessary for the theme statement to be very general rather than for it to attempt to set out all of the particular cases.</w:t>
      </w:r>
    </w:p>
    <w:p w:rsidR="00013D83" w:rsidRPr="006B3796" w:rsidRDefault="00013D83" w:rsidP="007E4644">
      <w:pPr>
        <w:pStyle w:val="BodyNum"/>
      </w:pPr>
      <w:r w:rsidRPr="006B3796">
        <w:t>No block of text in the theme statement should be more than 5 lines long. Even if the theme statement is broken into a number of blocks of text, the theme statement should never be longer than 10 lines. If you are having trouble keeping your theme statement within this principle, there is either too much material in the Division or Subdivision, or you have not thought through the unifying concept.</w:t>
      </w:r>
    </w:p>
    <w:p w:rsidR="00013D83" w:rsidRPr="006B3796" w:rsidRDefault="00013D83" w:rsidP="006B3796">
      <w:pPr>
        <w:pStyle w:val="Head3"/>
        <w:rPr>
          <w:i w:val="0"/>
        </w:rPr>
      </w:pPr>
      <w:bookmarkStart w:id="28" w:name="_Toc144733653"/>
      <w:r w:rsidRPr="006B3796">
        <w:t>In the indirect tax legislation</w:t>
      </w:r>
      <w:bookmarkEnd w:id="28"/>
    </w:p>
    <w:p w:rsidR="00013D83" w:rsidRPr="006B3796" w:rsidRDefault="00013D83" w:rsidP="007E4644">
      <w:pPr>
        <w:pStyle w:val="BodyNum"/>
      </w:pPr>
      <w:r w:rsidRPr="006B3796">
        <w:t>The GST Act uses a streamlined version of the system used elsewhere in the Tax Code, as follows.</w:t>
      </w:r>
    </w:p>
    <w:p w:rsidR="00013D83" w:rsidRPr="006B3796" w:rsidRDefault="00013D83" w:rsidP="007E4644">
      <w:pPr>
        <w:pStyle w:val="BodyNum"/>
      </w:pPr>
      <w:r w:rsidRPr="006B3796">
        <w:t>You must provide information at the start of each Division and Subdivision to give readers an idea of what to expect from the Division or Subdivision. The Division or Subdivision heading may be adequate for this purpose, but you may choose to include other material as well. In most cases, a theme statement is added following the practice in the income tax law.</w:t>
      </w:r>
    </w:p>
    <w:p w:rsidR="00013D83" w:rsidRPr="006B3796" w:rsidRDefault="00013D83" w:rsidP="007E4644">
      <w:pPr>
        <w:pStyle w:val="BodyNum"/>
      </w:pPr>
      <w:r w:rsidRPr="006B3796">
        <w:t xml:space="preserve">A table of Subdivisions is included at the start of a Division, but a table of sections is </w:t>
      </w:r>
      <w:r w:rsidRPr="006B3796">
        <w:rPr>
          <w:i/>
        </w:rPr>
        <w:t>not</w:t>
      </w:r>
      <w:r w:rsidRPr="006B3796">
        <w:t xml:space="preserve"> included at the start of a Division or Subdivision. Also, the expression “Guide” is not </w:t>
      </w:r>
      <w:r w:rsidRPr="006B3796">
        <w:lastRenderedPageBreak/>
        <w:t>used. The reason for not including these features in indirect tax laws is that these laws are much shorter than the income tax laws, and this amount of explanatory architecture was therefore hard to justify.</w:t>
      </w:r>
    </w:p>
    <w:p w:rsidR="00013D83" w:rsidRPr="006B3796" w:rsidRDefault="00013D83" w:rsidP="007E4644">
      <w:pPr>
        <w:pStyle w:val="BodyNum"/>
      </w:pPr>
      <w:r w:rsidRPr="006B3796">
        <w:t>The following table shows the order and content of introductory information in Divisions and Subdivisions.</w:t>
      </w:r>
    </w:p>
    <w:p w:rsidR="00013D83" w:rsidRPr="006B3796" w:rsidRDefault="00013D83" w:rsidP="00013D83">
      <w:pPr>
        <w:pStyle w:val="Tabletext"/>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20" w:firstRow="1" w:lastRow="0" w:firstColumn="0" w:lastColumn="0" w:noHBand="0" w:noVBand="0"/>
      </w:tblPr>
      <w:tblGrid>
        <w:gridCol w:w="3600"/>
        <w:gridCol w:w="3480"/>
      </w:tblGrid>
      <w:tr w:rsidR="00013D83" w:rsidRPr="006B3796" w:rsidTr="001F3F21">
        <w:trPr>
          <w:cantSplit/>
        </w:trPr>
        <w:tc>
          <w:tcPr>
            <w:tcW w:w="3600" w:type="dxa"/>
            <w:tcBorders>
              <w:top w:val="single" w:sz="18" w:space="0" w:color="auto"/>
              <w:left w:val="single" w:sz="18" w:space="0" w:color="auto"/>
              <w:right w:val="nil"/>
            </w:tcBorders>
          </w:tcPr>
          <w:p w:rsidR="00013D83" w:rsidRPr="006B3796" w:rsidRDefault="00013D83" w:rsidP="001F3F21">
            <w:pPr>
              <w:pStyle w:val="Tabletext"/>
              <w:ind w:left="322"/>
            </w:pPr>
            <w:r w:rsidRPr="006B3796">
              <w:rPr>
                <w:b/>
              </w:rPr>
              <w:t>Division</w:t>
            </w:r>
          </w:p>
        </w:tc>
        <w:tc>
          <w:tcPr>
            <w:tcW w:w="3480" w:type="dxa"/>
            <w:tcBorders>
              <w:top w:val="single" w:sz="18" w:space="0" w:color="auto"/>
              <w:left w:val="single" w:sz="18" w:space="0" w:color="auto"/>
              <w:right w:val="single" w:sz="18" w:space="0" w:color="auto"/>
            </w:tcBorders>
          </w:tcPr>
          <w:p w:rsidR="00013D83" w:rsidRPr="006B3796" w:rsidRDefault="00013D83" w:rsidP="001F3F21">
            <w:pPr>
              <w:pStyle w:val="Tabletext"/>
              <w:ind w:left="322"/>
            </w:pPr>
            <w:r w:rsidRPr="006B3796">
              <w:rPr>
                <w:b/>
              </w:rPr>
              <w:t>Subdivision</w:t>
            </w:r>
          </w:p>
        </w:tc>
      </w:tr>
      <w:tr w:rsidR="00013D83" w:rsidRPr="006B3796" w:rsidTr="001F3F21">
        <w:trPr>
          <w:cantSplit/>
        </w:trPr>
        <w:tc>
          <w:tcPr>
            <w:tcW w:w="3600" w:type="dxa"/>
            <w:tcBorders>
              <w:top w:val="single" w:sz="18" w:space="0" w:color="auto"/>
              <w:left w:val="single" w:sz="18" w:space="0" w:color="auto"/>
              <w:right w:val="nil"/>
            </w:tcBorders>
          </w:tcPr>
          <w:p w:rsidR="00013D83" w:rsidRPr="006B3796" w:rsidRDefault="00013D83" w:rsidP="001F3F21">
            <w:pPr>
              <w:pStyle w:val="Tabletext"/>
              <w:ind w:left="322"/>
            </w:pPr>
            <w:r w:rsidRPr="006B3796">
              <w:t>Div. heading</w:t>
            </w:r>
          </w:p>
        </w:tc>
        <w:tc>
          <w:tcPr>
            <w:tcW w:w="3480" w:type="dxa"/>
            <w:tcBorders>
              <w:top w:val="single" w:sz="18" w:space="0" w:color="auto"/>
              <w:left w:val="single" w:sz="18" w:space="0" w:color="auto"/>
              <w:right w:val="single" w:sz="18" w:space="0" w:color="auto"/>
            </w:tcBorders>
          </w:tcPr>
          <w:p w:rsidR="00013D83" w:rsidRPr="006B3796" w:rsidRDefault="00013D83" w:rsidP="001F3F21">
            <w:pPr>
              <w:pStyle w:val="Tabletext"/>
              <w:ind w:left="322"/>
            </w:pPr>
            <w:r w:rsidRPr="006B3796">
              <w:t>Subdiv. heading</w:t>
            </w:r>
          </w:p>
        </w:tc>
      </w:tr>
      <w:tr w:rsidR="00013D83" w:rsidRPr="006B3796" w:rsidTr="001F3F21">
        <w:trPr>
          <w:cantSplit/>
        </w:trPr>
        <w:tc>
          <w:tcPr>
            <w:tcW w:w="3600" w:type="dxa"/>
            <w:tcBorders>
              <w:left w:val="single" w:sz="18" w:space="0" w:color="auto"/>
              <w:right w:val="nil"/>
            </w:tcBorders>
          </w:tcPr>
          <w:p w:rsidR="00013D83" w:rsidRPr="006B3796" w:rsidRDefault="00013D83" w:rsidP="001F3F21">
            <w:pPr>
              <w:pStyle w:val="Tabletext"/>
              <w:ind w:left="322"/>
            </w:pPr>
            <w:r w:rsidRPr="006B3796">
              <w:t>Table of Subdivision headings</w:t>
            </w:r>
          </w:p>
        </w:tc>
        <w:tc>
          <w:tcPr>
            <w:tcW w:w="3480" w:type="dxa"/>
            <w:tcBorders>
              <w:left w:val="single" w:sz="18" w:space="0" w:color="auto"/>
              <w:right w:val="single" w:sz="18" w:space="0" w:color="auto"/>
            </w:tcBorders>
          </w:tcPr>
          <w:p w:rsidR="00013D83" w:rsidRPr="006B3796" w:rsidRDefault="00013D83" w:rsidP="001F3F21">
            <w:pPr>
              <w:pStyle w:val="Tabletext"/>
              <w:ind w:left="322"/>
            </w:pPr>
          </w:p>
        </w:tc>
      </w:tr>
      <w:tr w:rsidR="00013D83" w:rsidRPr="006B3796" w:rsidTr="001F3F21">
        <w:trPr>
          <w:cantSplit/>
        </w:trPr>
        <w:tc>
          <w:tcPr>
            <w:tcW w:w="3600" w:type="dxa"/>
            <w:tcBorders>
              <w:left w:val="single" w:sz="18" w:space="0" w:color="auto"/>
              <w:right w:val="nil"/>
            </w:tcBorders>
          </w:tcPr>
          <w:p w:rsidR="00013D83" w:rsidRPr="006B3796" w:rsidRDefault="00013D83" w:rsidP="001F3F21">
            <w:pPr>
              <w:pStyle w:val="Tabletext"/>
              <w:ind w:left="322"/>
            </w:pPr>
            <w:r w:rsidRPr="006B3796">
              <w:t>Explanatory sections (if any)</w:t>
            </w:r>
          </w:p>
        </w:tc>
        <w:tc>
          <w:tcPr>
            <w:tcW w:w="3480" w:type="dxa"/>
            <w:tcBorders>
              <w:left w:val="single" w:sz="18" w:space="0" w:color="auto"/>
              <w:right w:val="single" w:sz="18" w:space="0" w:color="auto"/>
            </w:tcBorders>
          </w:tcPr>
          <w:p w:rsidR="00013D83" w:rsidRPr="006B3796" w:rsidRDefault="00013D83" w:rsidP="001F3F21">
            <w:pPr>
              <w:pStyle w:val="Tabletext"/>
              <w:ind w:left="322"/>
            </w:pPr>
          </w:p>
        </w:tc>
      </w:tr>
      <w:tr w:rsidR="00013D83" w:rsidRPr="006B3796" w:rsidTr="001F3F21">
        <w:trPr>
          <w:cantSplit/>
        </w:trPr>
        <w:tc>
          <w:tcPr>
            <w:tcW w:w="3600" w:type="dxa"/>
            <w:tcBorders>
              <w:left w:val="single" w:sz="18" w:space="0" w:color="auto"/>
              <w:bottom w:val="single" w:sz="18" w:space="0" w:color="auto"/>
              <w:right w:val="nil"/>
            </w:tcBorders>
          </w:tcPr>
          <w:p w:rsidR="00013D83" w:rsidRPr="006B3796" w:rsidRDefault="00013D83" w:rsidP="001F3F21">
            <w:pPr>
              <w:pStyle w:val="Tabletext"/>
              <w:ind w:left="322"/>
            </w:pPr>
            <w:r w:rsidRPr="006B3796">
              <w:t>Subdivision A heading</w:t>
            </w:r>
          </w:p>
        </w:tc>
        <w:tc>
          <w:tcPr>
            <w:tcW w:w="3480" w:type="dxa"/>
            <w:tcBorders>
              <w:left w:val="single" w:sz="18" w:space="0" w:color="auto"/>
              <w:bottom w:val="single" w:sz="18" w:space="0" w:color="auto"/>
              <w:right w:val="single" w:sz="18" w:space="0" w:color="auto"/>
            </w:tcBorders>
          </w:tcPr>
          <w:p w:rsidR="00013D83" w:rsidRPr="006B3796" w:rsidRDefault="00013D83" w:rsidP="001F3F21">
            <w:pPr>
              <w:pStyle w:val="Tabletext"/>
              <w:ind w:left="322"/>
            </w:pPr>
            <w:r w:rsidRPr="006B3796">
              <w:t>First operative section</w:t>
            </w:r>
          </w:p>
        </w:tc>
      </w:tr>
    </w:tbl>
    <w:p w:rsidR="00013D83" w:rsidRPr="006B3796" w:rsidRDefault="00013D83" w:rsidP="00013D83">
      <w:pPr>
        <w:pStyle w:val="Tabletext"/>
      </w:pPr>
    </w:p>
    <w:p w:rsidR="00013D83" w:rsidRPr="006B3796" w:rsidRDefault="00013D83" w:rsidP="007E4644">
      <w:pPr>
        <w:pStyle w:val="BodyNum"/>
      </w:pPr>
      <w:r w:rsidRPr="006B3796">
        <w:t xml:space="preserve">The term </w:t>
      </w:r>
      <w:r w:rsidRPr="006B3796">
        <w:rPr>
          <w:i/>
        </w:rPr>
        <w:t>explanatory section</w:t>
      </w:r>
      <w:r w:rsidRPr="006B3796">
        <w:t xml:space="preserve"> is defined in </w:t>
      </w:r>
      <w:r w:rsidR="002860B3">
        <w:t>section 1</w:t>
      </w:r>
      <w:r w:rsidRPr="006B3796">
        <w:t>82</w:t>
      </w:r>
      <w:r w:rsidR="002860B3">
        <w:noBreakHyphen/>
      </w:r>
      <w:r w:rsidRPr="006B3796">
        <w:t>10 of the GST Act. It is used to identify briefly sections that are not operative. It covers all TLIP style theme statements, but any other non</w:t>
      </w:r>
      <w:r w:rsidR="002860B3">
        <w:noBreakHyphen/>
      </w:r>
      <w:r w:rsidRPr="006B3796">
        <w:t>operative sections should end with a note as follows:</w:t>
      </w:r>
    </w:p>
    <w:p w:rsidR="00013D83" w:rsidRPr="006B3796" w:rsidRDefault="00013D83" w:rsidP="00013D83">
      <w:pPr>
        <w:pStyle w:val="notetext"/>
      </w:pPr>
      <w:r w:rsidRPr="006B3796">
        <w:t>Note:</w:t>
      </w:r>
      <w:r w:rsidRPr="006B3796">
        <w:tab/>
        <w:t>This is an explanatory section.</w:t>
      </w:r>
    </w:p>
    <w:p w:rsidR="00013D83" w:rsidRPr="006B3796" w:rsidRDefault="002860B3" w:rsidP="006B3796">
      <w:pPr>
        <w:pStyle w:val="Head2"/>
      </w:pPr>
      <w:bookmarkStart w:id="29" w:name="_Toc144733654"/>
      <w:r>
        <w:t>Part 8</w:t>
      </w:r>
      <w:r w:rsidR="00013D83" w:rsidRPr="006B3796">
        <w:t>—End of a Guide</w:t>
      </w:r>
      <w:bookmarkEnd w:id="29"/>
    </w:p>
    <w:p w:rsidR="00013D83" w:rsidRPr="006B3796" w:rsidRDefault="00013D83" w:rsidP="007E4644">
      <w:pPr>
        <w:pStyle w:val="BodyNum"/>
      </w:pPr>
      <w:r w:rsidRPr="006B3796">
        <w:t>The Guide to a Division ends just before the heading to the first numbered Subdivision of the Division. A Guide to a Subdivision ends just before the next group heading in the Subdivision.</w:t>
      </w:r>
    </w:p>
    <w:p w:rsidR="00013D83" w:rsidRPr="006B3796" w:rsidRDefault="00013D83" w:rsidP="007E4644">
      <w:pPr>
        <w:pStyle w:val="BodyNum"/>
      </w:pPr>
      <w:r w:rsidRPr="006B3796">
        <w:t>A group heading is a heading to a group of sections within a Subdivision. The first group heading is the heading for the Guide itself. If no other, more meaningful, group heading is available to mark the beginning of the operative provisions of a Subdivision that contains a Guide, you should include the group heading “Operative provisions”. Group headings are formatted in the Subdivision heading style.</w:t>
      </w:r>
    </w:p>
    <w:p w:rsidR="00013D83" w:rsidRPr="006B3796" w:rsidRDefault="002860B3" w:rsidP="006B3796">
      <w:pPr>
        <w:pStyle w:val="Head2"/>
      </w:pPr>
      <w:bookmarkStart w:id="30" w:name="_Toc144733655"/>
      <w:r>
        <w:t>Part 9</w:t>
      </w:r>
      <w:r w:rsidR="00013D83" w:rsidRPr="006B3796">
        <w:t>—Link notes</w:t>
      </w:r>
      <w:bookmarkEnd w:id="30"/>
    </w:p>
    <w:p w:rsidR="00013D83" w:rsidRPr="006B3796" w:rsidRDefault="00013D83" w:rsidP="007E4644">
      <w:pPr>
        <w:pStyle w:val="BodyNum"/>
      </w:pPr>
      <w:r w:rsidRPr="006B3796">
        <w:t>Link notes were, at one time, used:</w:t>
      </w:r>
    </w:p>
    <w:p w:rsidR="00013D83" w:rsidRPr="006B3796" w:rsidRDefault="00013D83" w:rsidP="003775DC">
      <w:pPr>
        <w:pStyle w:val="BodyParaBullet"/>
      </w:pPr>
      <w:r w:rsidRPr="006B3796">
        <w:t>to let a reader know that s/he had reached the end of a Guide; and</w:t>
      </w:r>
    </w:p>
    <w:p w:rsidR="00013D83" w:rsidRPr="006B3796" w:rsidRDefault="00013D83" w:rsidP="003775DC">
      <w:pPr>
        <w:pStyle w:val="BodyParaBullet"/>
      </w:pPr>
      <w:r w:rsidRPr="006B3796">
        <w:t>to let a reader know the number of the next provision where there was a gap in numbering.</w:t>
      </w:r>
    </w:p>
    <w:p w:rsidR="00013D83" w:rsidRPr="006B3796" w:rsidRDefault="00013D83" w:rsidP="007E4644">
      <w:pPr>
        <w:pStyle w:val="BodyNum"/>
      </w:pPr>
      <w:r w:rsidRPr="006B3796">
        <w:t>These notes are no longer used. All link notes have been repealed.</w:t>
      </w:r>
    </w:p>
    <w:p w:rsidR="00013D83" w:rsidRPr="006B3796" w:rsidRDefault="002860B3" w:rsidP="006B3796">
      <w:pPr>
        <w:pStyle w:val="Head2"/>
      </w:pPr>
      <w:bookmarkStart w:id="31" w:name="_Toc144733656"/>
      <w:r>
        <w:t>Part 1</w:t>
      </w:r>
      <w:r w:rsidR="00013D83" w:rsidRPr="006B3796">
        <w:t>0—Amending group, section and subsection headings (TLIP Note 43)</w:t>
      </w:r>
      <w:bookmarkEnd w:id="31"/>
    </w:p>
    <w:p w:rsidR="00013D83" w:rsidRPr="006B3796" w:rsidRDefault="00013D83" w:rsidP="007E4644">
      <w:pPr>
        <w:pStyle w:val="BodyNum"/>
      </w:pPr>
      <w:r w:rsidRPr="006B3796">
        <w:t xml:space="preserve">Group headings, section headings and subsection headings all form part of the 1997 Act and the other Acts in the Tax Code. (This includes </w:t>
      </w:r>
      <w:r w:rsidR="002860B3">
        <w:t>Schedule 1</w:t>
      </w:r>
      <w:r w:rsidRPr="006B3796">
        <w:t xml:space="preserve"> to the </w:t>
      </w:r>
      <w:r w:rsidRPr="006B3796">
        <w:rPr>
          <w:i/>
        </w:rPr>
        <w:t>Taxation Administration Act 1953</w:t>
      </w:r>
      <w:r w:rsidRPr="006B3796">
        <w:t xml:space="preserve">, but </w:t>
      </w:r>
      <w:r w:rsidRPr="006B3796">
        <w:rPr>
          <w:i/>
        </w:rPr>
        <w:t>not</w:t>
      </w:r>
      <w:r w:rsidRPr="006B3796">
        <w:t xml:space="preserve"> </w:t>
      </w:r>
      <w:r w:rsidR="002860B3">
        <w:t>Schedules 2</w:t>
      </w:r>
      <w:r w:rsidRPr="006B3796">
        <w:t xml:space="preserve">C to 2J to the </w:t>
      </w:r>
      <w:r w:rsidRPr="006B3796">
        <w:rPr>
          <w:i/>
        </w:rPr>
        <w:t>Income Tax Assessment Act 1936</w:t>
      </w:r>
      <w:r w:rsidRPr="006B3796">
        <w:t>.)</w:t>
      </w:r>
    </w:p>
    <w:p w:rsidR="00013D83" w:rsidRPr="006B3796" w:rsidRDefault="00013D83" w:rsidP="007E4644">
      <w:pPr>
        <w:pStyle w:val="BodyNum"/>
      </w:pPr>
      <w:r w:rsidRPr="006B3796">
        <w:lastRenderedPageBreak/>
        <w:t>Therefore, any amendment of such a heading needs to be done by an amending item in a Schedule to a Bill (and not just a note to an amending item).</w:t>
      </w:r>
    </w:p>
    <w:p w:rsidR="00013D83" w:rsidRPr="006B3796" w:rsidRDefault="00013D83" w:rsidP="007E4644">
      <w:pPr>
        <w:pStyle w:val="BodyNum"/>
      </w:pPr>
      <w:r w:rsidRPr="006B3796">
        <w:t>Any amendment of an existing group heading, section heading or subsection heading must be made by repealing the heading and substituting a new heading (to be consistent with the practice for amending other headings).</w:t>
      </w:r>
    </w:p>
    <w:p w:rsidR="00013D83" w:rsidRPr="006B3796" w:rsidRDefault="00013D83" w:rsidP="007E4644">
      <w:pPr>
        <w:pStyle w:val="BodyNum"/>
      </w:pPr>
      <w:r w:rsidRPr="006B3796">
        <w:t>Examples of the amending forms to be used are in the extract from TLIP Note 43 in Attachment B.</w:t>
      </w:r>
    </w:p>
    <w:p w:rsidR="00013D83" w:rsidRPr="006B3796" w:rsidRDefault="002860B3" w:rsidP="006B3796">
      <w:pPr>
        <w:pStyle w:val="Head2"/>
      </w:pPr>
      <w:bookmarkStart w:id="32" w:name="_Toc144733657"/>
      <w:r>
        <w:t>Part 1</w:t>
      </w:r>
      <w:r w:rsidR="00013D83" w:rsidRPr="006B3796">
        <w:t>1—When to use “you” (TLIP Note 11)</w:t>
      </w:r>
      <w:bookmarkEnd w:id="32"/>
    </w:p>
    <w:p w:rsidR="00013D83" w:rsidRPr="006B3796" w:rsidRDefault="00013D83" w:rsidP="007E4644">
      <w:pPr>
        <w:pStyle w:val="BodyNum"/>
      </w:pPr>
      <w:r w:rsidRPr="006B3796">
        <w:t>Generally, you should use “you” and draft in the second person when dealing with taxpayers. However, there are some cases where it is inappropriate to use “you”. The exceptions are:</w:t>
      </w:r>
    </w:p>
    <w:p w:rsidR="00013D83" w:rsidRPr="006B3796" w:rsidRDefault="00013D83" w:rsidP="003775DC">
      <w:pPr>
        <w:pStyle w:val="BodyParaBullet"/>
      </w:pPr>
      <w:r w:rsidRPr="006B3796">
        <w:t xml:space="preserve">when “you” would refer </w:t>
      </w:r>
      <w:r w:rsidRPr="006B3796">
        <w:rPr>
          <w:i/>
        </w:rPr>
        <w:t>only</w:t>
      </w:r>
      <w:r w:rsidRPr="006B3796">
        <w:t xml:space="preserve"> to a person who is not an individual;</w:t>
      </w:r>
    </w:p>
    <w:p w:rsidR="00013D83" w:rsidRPr="006B3796" w:rsidRDefault="00013D83" w:rsidP="003775DC">
      <w:pPr>
        <w:pStyle w:val="BodyParaBullet"/>
      </w:pPr>
      <w:r w:rsidRPr="006B3796">
        <w:t>when “you” would refer to an individual who is dead;</w:t>
      </w:r>
    </w:p>
    <w:p w:rsidR="00013D83" w:rsidRPr="006B3796" w:rsidRDefault="00013D83" w:rsidP="003775DC">
      <w:pPr>
        <w:pStyle w:val="BodyParaBullet"/>
      </w:pPr>
      <w:r w:rsidRPr="006B3796">
        <w:t>when there are a number of key players;</w:t>
      </w:r>
    </w:p>
    <w:p w:rsidR="00013D83" w:rsidRPr="006B3796" w:rsidRDefault="00013D83" w:rsidP="003775DC">
      <w:pPr>
        <w:pStyle w:val="BodyParaBullet"/>
      </w:pPr>
      <w:r w:rsidRPr="006B3796">
        <w:t>when the provision affects the tax position of more than one entity;</w:t>
      </w:r>
    </w:p>
    <w:p w:rsidR="00013D83" w:rsidRPr="006B3796" w:rsidRDefault="00013D83" w:rsidP="003775DC">
      <w:pPr>
        <w:pStyle w:val="BodyParaBullet"/>
      </w:pPr>
      <w:r w:rsidRPr="006B3796">
        <w:t>when creating obligations, rights etc. for someone other than as a taxpayer.</w:t>
      </w:r>
    </w:p>
    <w:p w:rsidR="00013D83" w:rsidRPr="006B3796" w:rsidRDefault="00013D83" w:rsidP="00013D83">
      <w:pPr>
        <w:pStyle w:val="notemargin"/>
      </w:pPr>
      <w:r w:rsidRPr="006B3796">
        <w:tab/>
        <w:t>[For example, the obligations to withhold amounts from payments to taxpayers do not address the withholders as “you”.]</w:t>
      </w:r>
    </w:p>
    <w:p w:rsidR="00013D83" w:rsidRPr="006B3796" w:rsidRDefault="00013D83" w:rsidP="007E4644">
      <w:pPr>
        <w:pStyle w:val="BodyNum"/>
      </w:pPr>
      <w:r w:rsidRPr="006B3796">
        <w:t>The edited extract from TLIP Note 11 in Attachment B contains more information about these exceptions.</w:t>
      </w:r>
    </w:p>
    <w:p w:rsidR="00013D83" w:rsidRPr="006B3796" w:rsidRDefault="002860B3" w:rsidP="006B3796">
      <w:pPr>
        <w:pStyle w:val="Head2"/>
      </w:pPr>
      <w:bookmarkStart w:id="33" w:name="_Toc144733658"/>
      <w:r>
        <w:t>Part 1</w:t>
      </w:r>
      <w:r w:rsidR="00013D83" w:rsidRPr="006B3796">
        <w:t>2—References to things in certain Schedules</w:t>
      </w:r>
      <w:bookmarkEnd w:id="33"/>
    </w:p>
    <w:p w:rsidR="00013D83" w:rsidRPr="006B3796" w:rsidRDefault="00013D83" w:rsidP="007E4644">
      <w:pPr>
        <w:pStyle w:val="BodyNum"/>
      </w:pPr>
      <w:r w:rsidRPr="006B3796">
        <w:t xml:space="preserve">The units of text in </w:t>
      </w:r>
      <w:r w:rsidR="002860B3">
        <w:t>Schedules 2</w:t>
      </w:r>
      <w:r w:rsidRPr="006B3796">
        <w:t xml:space="preserve">C to 2J to the </w:t>
      </w:r>
      <w:r w:rsidRPr="006B3796">
        <w:rPr>
          <w:i/>
        </w:rPr>
        <w:t>Income Tax Assessment Act 1936</w:t>
      </w:r>
      <w:r w:rsidRPr="006B3796">
        <w:t xml:space="preserve"> and </w:t>
      </w:r>
      <w:r w:rsidR="002860B3">
        <w:t>Schedule 1</w:t>
      </w:r>
      <w:r w:rsidRPr="006B3796">
        <w:t xml:space="preserve"> to the </w:t>
      </w:r>
      <w:r w:rsidRPr="006B3796">
        <w:rPr>
          <w:i/>
        </w:rPr>
        <w:t>Taxation Administration Act 1953</w:t>
      </w:r>
      <w:r w:rsidRPr="006B3796">
        <w:t xml:space="preserve"> that would normally be described as clauses of the Schedule are to be described as sections in the Schedule (eg </w:t>
      </w:r>
      <w:r w:rsidR="002860B3">
        <w:t>section 1</w:t>
      </w:r>
      <w:r w:rsidRPr="006B3796">
        <w:t>8</w:t>
      </w:r>
      <w:r w:rsidR="002860B3">
        <w:noBreakHyphen/>
      </w:r>
      <w:r w:rsidRPr="006B3796">
        <w:t xml:space="preserve">45 in </w:t>
      </w:r>
      <w:r w:rsidR="002860B3">
        <w:t>Schedule 1</w:t>
      </w:r>
      <w:r w:rsidRPr="006B3796">
        <w:t>) [note the use of “in” rather than “of”].</w:t>
      </w:r>
    </w:p>
    <w:p w:rsidR="00013D83" w:rsidRPr="006B3796" w:rsidRDefault="00013D83" w:rsidP="007E4644">
      <w:pPr>
        <w:pStyle w:val="BodyNum"/>
      </w:pPr>
      <w:r w:rsidRPr="006B3796">
        <w:t>This should be used when amending the Schedule and when referring to the Schedule in a cross</w:t>
      </w:r>
      <w:r w:rsidR="002860B3">
        <w:noBreakHyphen/>
      </w:r>
      <w:r w:rsidRPr="006B3796">
        <w:t>reference.</w:t>
      </w:r>
    </w:p>
    <w:p w:rsidR="00013D83" w:rsidRPr="006B3796" w:rsidRDefault="002860B3" w:rsidP="006B3796">
      <w:pPr>
        <w:pStyle w:val="Head2"/>
      </w:pPr>
      <w:bookmarkStart w:id="34" w:name="_Toc144733659"/>
      <w:r>
        <w:t>Part 1</w:t>
      </w:r>
      <w:r w:rsidR="00013D83" w:rsidRPr="006B3796">
        <w:t>3—Notes aligned to the right</w:t>
      </w:r>
      <w:r>
        <w:noBreakHyphen/>
      </w:r>
      <w:r w:rsidR="00013D83" w:rsidRPr="006B3796">
        <w:t>hand margin</w:t>
      </w:r>
      <w:bookmarkEnd w:id="34"/>
    </w:p>
    <w:p w:rsidR="00013D83" w:rsidRPr="006B3796" w:rsidRDefault="00013D83" w:rsidP="007E4644">
      <w:pPr>
        <w:pStyle w:val="BodyNum"/>
      </w:pPr>
      <w:r w:rsidRPr="006B3796">
        <w:t>These were developed for the purpose of signposting. Here are some examples:</w:t>
      </w:r>
    </w:p>
    <w:p w:rsidR="00013D83" w:rsidRPr="006B3796" w:rsidRDefault="00013D83" w:rsidP="00013D83">
      <w:pPr>
        <w:pStyle w:val="TLPnoteright"/>
      </w:pPr>
      <w:r w:rsidRPr="006B3796">
        <w:t xml:space="preserve">See </w:t>
      </w:r>
      <w:r w:rsidR="002860B3">
        <w:t>Division 4</w:t>
      </w:r>
      <w:r w:rsidRPr="006B3796">
        <w:t xml:space="preserve">, starting at </w:t>
      </w:r>
      <w:r w:rsidR="002860B3">
        <w:t>section 4</w:t>
      </w:r>
      <w:r w:rsidR="002860B3">
        <w:noBreakHyphen/>
      </w:r>
      <w:r w:rsidRPr="006B3796">
        <w:t>1.</w:t>
      </w:r>
    </w:p>
    <w:p w:rsidR="00013D83" w:rsidRPr="006B3796" w:rsidRDefault="00013D83" w:rsidP="00013D83">
      <w:pPr>
        <w:pStyle w:val="TLPnoteright"/>
      </w:pPr>
      <w:r w:rsidRPr="006B3796">
        <w:t xml:space="preserve">For a list of the entities that must pay income tax, see </w:t>
      </w:r>
      <w:r w:rsidR="002860B3">
        <w:t>Division 9</w:t>
      </w:r>
      <w:r w:rsidRPr="006B3796">
        <w:t xml:space="preserve">, starting at </w:t>
      </w:r>
      <w:r w:rsidR="002860B3">
        <w:t>section 9</w:t>
      </w:r>
      <w:r w:rsidR="002860B3">
        <w:noBreakHyphen/>
      </w:r>
      <w:r w:rsidRPr="006B3796">
        <w:t>1.</w:t>
      </w:r>
    </w:p>
    <w:p w:rsidR="00013D83" w:rsidRPr="006B3796" w:rsidRDefault="00013D83" w:rsidP="007E4644">
      <w:pPr>
        <w:pStyle w:val="BodyNum"/>
      </w:pPr>
      <w:r w:rsidRPr="006B3796">
        <w:t>They are no longer used, although the existing right</w:t>
      </w:r>
      <w:r w:rsidR="002860B3">
        <w:noBreakHyphen/>
      </w:r>
      <w:r w:rsidRPr="006B3796">
        <w:t xml:space="preserve">aligned notes will not be repealed. </w:t>
      </w:r>
    </w:p>
    <w:p w:rsidR="00013D83" w:rsidRPr="006B3796" w:rsidRDefault="002860B3" w:rsidP="006B3796">
      <w:pPr>
        <w:pStyle w:val="Head2"/>
      </w:pPr>
      <w:bookmarkStart w:id="35" w:name="_Toc144733660"/>
      <w:r>
        <w:lastRenderedPageBreak/>
        <w:t>Part 1</w:t>
      </w:r>
      <w:r w:rsidR="00013D83" w:rsidRPr="006B3796">
        <w:t>4—Signposting in the GST Act</w:t>
      </w:r>
      <w:bookmarkEnd w:id="35"/>
    </w:p>
    <w:p w:rsidR="00013D83" w:rsidRPr="006B3796" w:rsidRDefault="00013D83" w:rsidP="007E4644">
      <w:pPr>
        <w:pStyle w:val="BodyNum"/>
      </w:pPr>
      <w:r w:rsidRPr="006B3796">
        <w:t xml:space="preserve">The GST Act has a signposting system that links basic rules to particular special rules (at the end of Divisions and Subdivisions in </w:t>
      </w:r>
      <w:r w:rsidR="002860B3">
        <w:t>Chapter 2</w:t>
      </w:r>
      <w:r w:rsidRPr="006B3796">
        <w:t xml:space="preserve">). This system should be maintained if changes are made to </w:t>
      </w:r>
      <w:r w:rsidR="002860B3">
        <w:t>Chapter 4</w:t>
      </w:r>
      <w:r w:rsidRPr="006B3796">
        <w:t xml:space="preserve">. (Note also that new special rules require an amendment to the list in </w:t>
      </w:r>
      <w:r w:rsidR="002860B3">
        <w:t>Division 3</w:t>
      </w:r>
      <w:r w:rsidRPr="006B3796">
        <w:t>7.)</w:t>
      </w:r>
    </w:p>
    <w:p w:rsidR="00013D83" w:rsidRPr="006B3796" w:rsidRDefault="002860B3" w:rsidP="006B3796">
      <w:pPr>
        <w:pStyle w:val="Head2"/>
      </w:pPr>
      <w:bookmarkStart w:id="36" w:name="_Toc144733661"/>
      <w:r>
        <w:t>Part 1</w:t>
      </w:r>
      <w:r w:rsidR="00013D83" w:rsidRPr="006B3796">
        <w:t>5—All other rules to be followed</w:t>
      </w:r>
      <w:bookmarkEnd w:id="36"/>
    </w:p>
    <w:p w:rsidR="00013D83" w:rsidRPr="006B3796" w:rsidRDefault="00013D83" w:rsidP="007E4644">
      <w:pPr>
        <w:pStyle w:val="BodyNum"/>
      </w:pPr>
      <w:r w:rsidRPr="006B3796">
        <w:t>All other rules contained in other Drafting Directions (including the Amending Forms Manual) and Word Notes must be complied with when drafting material for the Tax Code.</w:t>
      </w:r>
    </w:p>
    <w:p w:rsidR="00013D83" w:rsidRPr="006B3796" w:rsidRDefault="00013D83" w:rsidP="00013D83">
      <w:pPr>
        <w:pStyle w:val="Body"/>
      </w:pPr>
    </w:p>
    <w:p w:rsidR="00013D83" w:rsidRPr="006B3796" w:rsidRDefault="00013D83" w:rsidP="00013D83">
      <w:pPr>
        <w:pStyle w:val="Body"/>
      </w:pPr>
    </w:p>
    <w:p w:rsidR="00013D83" w:rsidRDefault="00DF75AF" w:rsidP="00013D83">
      <w:pPr>
        <w:pStyle w:val="Body"/>
      </w:pPr>
      <w:r>
        <w:t>Meredith Leigh</w:t>
      </w:r>
      <w:r w:rsidR="00013D83" w:rsidRPr="006B3796">
        <w:br/>
        <w:t>First Parliamentary Counsel</w:t>
      </w:r>
      <w:r w:rsidR="00013D83" w:rsidRPr="006B3796">
        <w:br/>
      </w:r>
      <w:r w:rsidR="002860B3">
        <w:t>4 September</w:t>
      </w:r>
      <w:r w:rsidR="00526189">
        <w:t xml:space="preserve"> 2023</w:t>
      </w:r>
    </w:p>
    <w:p w:rsidR="00F560BE" w:rsidRPr="00F560BE" w:rsidRDefault="00F560BE" w:rsidP="00F560BE">
      <w:pPr>
        <w:pStyle w:val="Body"/>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3009"/>
        <w:gridCol w:w="3009"/>
        <w:gridCol w:w="3009"/>
      </w:tblGrid>
      <w:tr w:rsidR="00F560BE" w:rsidRPr="006B3796" w:rsidTr="00526189">
        <w:trPr>
          <w:tblHeader/>
        </w:trPr>
        <w:tc>
          <w:tcPr>
            <w:tcW w:w="9027" w:type="dxa"/>
            <w:gridSpan w:val="3"/>
            <w:tcBorders>
              <w:top w:val="single" w:sz="12" w:space="0" w:color="auto"/>
              <w:bottom w:val="single" w:sz="6" w:space="0" w:color="auto"/>
            </w:tcBorders>
            <w:shd w:val="clear" w:color="auto" w:fill="auto"/>
          </w:tcPr>
          <w:p w:rsidR="00F560BE" w:rsidRPr="006B3796" w:rsidRDefault="00F560BE" w:rsidP="001F3F21">
            <w:pPr>
              <w:pStyle w:val="Tabletext"/>
              <w:keepNext/>
              <w:rPr>
                <w:b/>
              </w:rPr>
            </w:pPr>
            <w:r w:rsidRPr="006B3796">
              <w:rPr>
                <w:b/>
              </w:rPr>
              <w:t>Document History</w:t>
            </w:r>
          </w:p>
        </w:tc>
      </w:tr>
      <w:tr w:rsidR="00F560BE" w:rsidRPr="006B3796" w:rsidTr="00526189">
        <w:trPr>
          <w:tblHeader/>
        </w:trPr>
        <w:tc>
          <w:tcPr>
            <w:tcW w:w="3009" w:type="dxa"/>
            <w:tcBorders>
              <w:top w:val="single" w:sz="6" w:space="0" w:color="auto"/>
              <w:bottom w:val="single" w:sz="12" w:space="0" w:color="auto"/>
            </w:tcBorders>
            <w:shd w:val="clear" w:color="auto" w:fill="auto"/>
          </w:tcPr>
          <w:p w:rsidR="00F560BE" w:rsidRPr="006B3796" w:rsidRDefault="00F560BE" w:rsidP="001F3F21">
            <w:pPr>
              <w:pStyle w:val="Tabletext"/>
              <w:keepNext/>
              <w:rPr>
                <w:b/>
              </w:rPr>
            </w:pPr>
            <w:r>
              <w:rPr>
                <w:b/>
              </w:rPr>
              <w:t>Release</w:t>
            </w:r>
          </w:p>
        </w:tc>
        <w:tc>
          <w:tcPr>
            <w:tcW w:w="3009" w:type="dxa"/>
            <w:tcBorders>
              <w:top w:val="single" w:sz="6" w:space="0" w:color="auto"/>
              <w:bottom w:val="single" w:sz="12" w:space="0" w:color="auto"/>
            </w:tcBorders>
            <w:shd w:val="clear" w:color="auto" w:fill="auto"/>
          </w:tcPr>
          <w:p w:rsidR="00F560BE" w:rsidRPr="006B3796" w:rsidRDefault="00F560BE" w:rsidP="001F3F21">
            <w:pPr>
              <w:pStyle w:val="Tabletext"/>
              <w:keepNext/>
              <w:rPr>
                <w:b/>
              </w:rPr>
            </w:pPr>
            <w:r w:rsidRPr="006B3796">
              <w:rPr>
                <w:b/>
              </w:rPr>
              <w:t>Release date</w:t>
            </w:r>
          </w:p>
        </w:tc>
        <w:tc>
          <w:tcPr>
            <w:tcW w:w="3009" w:type="dxa"/>
            <w:tcBorders>
              <w:top w:val="single" w:sz="6" w:space="0" w:color="auto"/>
              <w:bottom w:val="single" w:sz="12" w:space="0" w:color="auto"/>
            </w:tcBorders>
            <w:shd w:val="clear" w:color="auto" w:fill="auto"/>
          </w:tcPr>
          <w:p w:rsidR="00F560BE" w:rsidRPr="006B3796" w:rsidRDefault="00F560BE" w:rsidP="001F3F21">
            <w:pPr>
              <w:pStyle w:val="Tabletext"/>
              <w:keepNext/>
              <w:rPr>
                <w:b/>
              </w:rPr>
            </w:pPr>
            <w:r w:rsidRPr="006B3796">
              <w:rPr>
                <w:b/>
              </w:rPr>
              <w:t>Document number</w:t>
            </w:r>
          </w:p>
        </w:tc>
      </w:tr>
      <w:tr w:rsidR="00F560BE" w:rsidRPr="006B3796" w:rsidTr="00526189">
        <w:tc>
          <w:tcPr>
            <w:tcW w:w="3009" w:type="dxa"/>
            <w:tcBorders>
              <w:top w:val="single" w:sz="12" w:space="0" w:color="auto"/>
              <w:bottom w:val="single" w:sz="2" w:space="0" w:color="auto"/>
            </w:tcBorders>
            <w:shd w:val="clear" w:color="auto" w:fill="auto"/>
          </w:tcPr>
          <w:p w:rsidR="00F560BE" w:rsidRPr="006B3796" w:rsidRDefault="00F560BE" w:rsidP="001F3F21">
            <w:pPr>
              <w:pStyle w:val="Tabletext"/>
            </w:pPr>
            <w:r w:rsidRPr="006B3796">
              <w:t>1.0</w:t>
            </w:r>
          </w:p>
        </w:tc>
        <w:tc>
          <w:tcPr>
            <w:tcW w:w="3009" w:type="dxa"/>
            <w:tcBorders>
              <w:top w:val="single" w:sz="12" w:space="0" w:color="auto"/>
              <w:bottom w:val="single" w:sz="2" w:space="0" w:color="auto"/>
            </w:tcBorders>
            <w:shd w:val="clear" w:color="auto" w:fill="auto"/>
          </w:tcPr>
          <w:p w:rsidR="00F560BE" w:rsidRPr="006B3796" w:rsidRDefault="002860B3" w:rsidP="001F3F21">
            <w:pPr>
              <w:pStyle w:val="Tabletext"/>
            </w:pPr>
            <w:r>
              <w:t>1 May</w:t>
            </w:r>
            <w:r w:rsidR="00F560BE" w:rsidRPr="006B3796">
              <w:t xml:space="preserve"> 2006</w:t>
            </w:r>
          </w:p>
        </w:tc>
        <w:tc>
          <w:tcPr>
            <w:tcW w:w="3009" w:type="dxa"/>
            <w:tcBorders>
              <w:top w:val="single" w:sz="12" w:space="0" w:color="auto"/>
              <w:bottom w:val="single" w:sz="2" w:space="0" w:color="auto"/>
            </w:tcBorders>
            <w:shd w:val="clear" w:color="auto" w:fill="auto"/>
          </w:tcPr>
          <w:p w:rsidR="00F560BE" w:rsidRPr="006B3796" w:rsidRDefault="00F560BE" w:rsidP="001F3F21">
            <w:pPr>
              <w:pStyle w:val="Tabletext"/>
            </w:pPr>
            <w:r w:rsidRPr="006B3796">
              <w:t>s06pf334.v01.doc</w:t>
            </w:r>
          </w:p>
        </w:tc>
      </w:tr>
      <w:tr w:rsidR="00DF75AF" w:rsidRPr="006B3796" w:rsidTr="00526189">
        <w:tc>
          <w:tcPr>
            <w:tcW w:w="3009" w:type="dxa"/>
            <w:tcBorders>
              <w:top w:val="single" w:sz="2" w:space="0" w:color="auto"/>
              <w:bottom w:val="single" w:sz="12" w:space="0" w:color="auto"/>
            </w:tcBorders>
            <w:shd w:val="clear" w:color="auto" w:fill="auto"/>
          </w:tcPr>
          <w:p w:rsidR="00DF75AF" w:rsidRPr="006B3796" w:rsidRDefault="00526189" w:rsidP="001F3F21">
            <w:pPr>
              <w:pStyle w:val="Tabletext"/>
            </w:pPr>
            <w:r>
              <w:t>1.1</w:t>
            </w:r>
          </w:p>
        </w:tc>
        <w:tc>
          <w:tcPr>
            <w:tcW w:w="3009" w:type="dxa"/>
            <w:tcBorders>
              <w:top w:val="single" w:sz="2" w:space="0" w:color="auto"/>
              <w:bottom w:val="single" w:sz="12" w:space="0" w:color="auto"/>
            </w:tcBorders>
            <w:shd w:val="clear" w:color="auto" w:fill="auto"/>
          </w:tcPr>
          <w:p w:rsidR="00DF75AF" w:rsidRPr="006B3796" w:rsidRDefault="002860B3" w:rsidP="001F3F21">
            <w:pPr>
              <w:pStyle w:val="Tabletext"/>
            </w:pPr>
            <w:r>
              <w:t>4 September</w:t>
            </w:r>
            <w:r w:rsidR="00526189">
              <w:t xml:space="preserve"> 2023</w:t>
            </w:r>
          </w:p>
        </w:tc>
        <w:tc>
          <w:tcPr>
            <w:tcW w:w="3009" w:type="dxa"/>
            <w:tcBorders>
              <w:top w:val="single" w:sz="2" w:space="0" w:color="auto"/>
              <w:bottom w:val="single" w:sz="12" w:space="0" w:color="auto"/>
            </w:tcBorders>
            <w:shd w:val="clear" w:color="auto" w:fill="auto"/>
          </w:tcPr>
          <w:p w:rsidR="00DF75AF" w:rsidRPr="006B3796" w:rsidRDefault="00526189" w:rsidP="001F3F21">
            <w:pPr>
              <w:pStyle w:val="Tabletext"/>
            </w:pPr>
            <w:r w:rsidRPr="006B3796">
              <w:t>s06pf334.v0</w:t>
            </w:r>
            <w:r>
              <w:t>8</w:t>
            </w:r>
            <w:r w:rsidRPr="006B3796">
              <w:t>.doc</w:t>
            </w:r>
            <w:r>
              <w:t>x</w:t>
            </w:r>
          </w:p>
        </w:tc>
      </w:tr>
    </w:tbl>
    <w:p w:rsidR="00F560BE" w:rsidRPr="006B3796" w:rsidRDefault="00F560BE" w:rsidP="00F560BE">
      <w:pPr>
        <w:pStyle w:val="notemargin"/>
      </w:pPr>
      <w:r w:rsidRPr="006B3796">
        <w:t>Note:</w:t>
      </w:r>
      <w:r w:rsidRPr="006B3796">
        <w:tab/>
        <w:t>Before the issue of the current series of Drafting Directions, this Drafting Direction was known as Drafting Direction No. 6 of 2005.</w:t>
      </w:r>
    </w:p>
    <w:p w:rsidR="00013D83" w:rsidRPr="006B3796" w:rsidRDefault="00013D83" w:rsidP="002860B3">
      <w:pPr>
        <w:pStyle w:val="Head2"/>
        <w:pageBreakBefore/>
      </w:pPr>
      <w:bookmarkStart w:id="37" w:name="_Toc144733662"/>
      <w:r w:rsidRPr="006B3796">
        <w:lastRenderedPageBreak/>
        <w:t>Attachment A—Order and content of introductory information in Divisions and Subdivisions</w:t>
      </w:r>
      <w:bookmarkEnd w:id="37"/>
    </w:p>
    <w:p w:rsidR="00013D83" w:rsidRPr="006B3796" w:rsidRDefault="00013D83" w:rsidP="00013D83">
      <w:pPr>
        <w:pStyle w:val="Special2"/>
      </w:pPr>
      <w:r w:rsidRPr="006B3796">
        <w:t>Example A</w:t>
      </w:r>
    </w:p>
    <w:p w:rsidR="00013D83" w:rsidRPr="006B3796" w:rsidRDefault="002860B3" w:rsidP="000C12AB">
      <w:pPr>
        <w:pStyle w:val="Speciald"/>
      </w:pPr>
      <w:r w:rsidRPr="002860B3">
        <w:t>Division 9</w:t>
      </w:r>
      <w:r w:rsidR="00013D83" w:rsidRPr="002860B3">
        <w:t>75</w:t>
      </w:r>
      <w:r w:rsidR="00013D83" w:rsidRPr="006B3796">
        <w:t>—</w:t>
      </w:r>
      <w:r w:rsidR="00013D83" w:rsidRPr="002860B3">
        <w:t>Concepts about companies</w:t>
      </w:r>
    </w:p>
    <w:p w:rsidR="00013D83" w:rsidRPr="006B3796" w:rsidRDefault="00013D83" w:rsidP="00013D83">
      <w:pPr>
        <w:pStyle w:val="TofSectsHeading"/>
      </w:pPr>
      <w:r w:rsidRPr="006B3796">
        <w:t>Table of Subdivisions</w:t>
      </w:r>
    </w:p>
    <w:p w:rsidR="00013D83" w:rsidRPr="006B3796" w:rsidRDefault="00013D83" w:rsidP="00013D83">
      <w:pPr>
        <w:pStyle w:val="TofSectsSubdiv"/>
      </w:pPr>
      <w:r w:rsidRPr="006B3796">
        <w:t>975</w:t>
      </w:r>
      <w:r w:rsidR="002860B3">
        <w:noBreakHyphen/>
      </w:r>
      <w:r w:rsidRPr="006B3796">
        <w:t>A</w:t>
      </w:r>
      <w:r w:rsidRPr="006B3796">
        <w:tab/>
        <w:t>General</w:t>
      </w:r>
    </w:p>
    <w:p w:rsidR="00013D83" w:rsidRPr="006B3796" w:rsidRDefault="00013D83" w:rsidP="00013D83">
      <w:pPr>
        <w:pStyle w:val="TofSectsSubdiv"/>
      </w:pPr>
      <w:r w:rsidRPr="006B3796">
        <w:t>975</w:t>
      </w:r>
      <w:r w:rsidR="002860B3">
        <w:noBreakHyphen/>
      </w:r>
      <w:r w:rsidRPr="006B3796">
        <w:t>W</w:t>
      </w:r>
      <w:r w:rsidRPr="006B3796">
        <w:tab/>
        <w:t>Wholly</w:t>
      </w:r>
      <w:r w:rsidR="002860B3">
        <w:noBreakHyphen/>
      </w:r>
      <w:r w:rsidRPr="006B3796">
        <w:t>owned groups of companies</w:t>
      </w:r>
    </w:p>
    <w:p w:rsidR="00013D83" w:rsidRPr="006B3796" w:rsidRDefault="002860B3" w:rsidP="000C12AB">
      <w:pPr>
        <w:pStyle w:val="Specialsd"/>
      </w:pPr>
      <w:r w:rsidRPr="002860B3">
        <w:t>Subdivision 9</w:t>
      </w:r>
      <w:r w:rsidR="00013D83" w:rsidRPr="002860B3">
        <w:t>75</w:t>
      </w:r>
      <w:r w:rsidRPr="002860B3">
        <w:noBreakHyphen/>
      </w:r>
      <w:r w:rsidR="00013D83" w:rsidRPr="002860B3">
        <w:t>A</w:t>
      </w:r>
      <w:r w:rsidR="00013D83" w:rsidRPr="006B3796">
        <w:t>—</w:t>
      </w:r>
      <w:r w:rsidR="00013D83" w:rsidRPr="002860B3">
        <w:t>General</w:t>
      </w:r>
    </w:p>
    <w:p w:rsidR="00013D83" w:rsidRPr="006B3796" w:rsidRDefault="00013D83" w:rsidP="002860B3">
      <w:pPr>
        <w:pStyle w:val="Special2"/>
        <w:pageBreakBefore/>
      </w:pPr>
      <w:r w:rsidRPr="006B3796">
        <w:lastRenderedPageBreak/>
        <w:t>Example B</w:t>
      </w:r>
    </w:p>
    <w:p w:rsidR="00013D83" w:rsidRPr="002860B3" w:rsidRDefault="002860B3" w:rsidP="000C12AB">
      <w:pPr>
        <w:pStyle w:val="Speciald"/>
      </w:pPr>
      <w:r w:rsidRPr="002860B3">
        <w:t>Division 1</w:t>
      </w:r>
      <w:r w:rsidR="00013D83" w:rsidRPr="002860B3">
        <w:t>08—CGT assets</w:t>
      </w:r>
    </w:p>
    <w:p w:rsidR="00013D83" w:rsidRPr="006B3796" w:rsidRDefault="00013D83" w:rsidP="00013D83">
      <w:pPr>
        <w:pStyle w:val="TofSectsHeading"/>
      </w:pPr>
      <w:r w:rsidRPr="006B3796">
        <w:t>Table of Subdivisions</w:t>
      </w:r>
    </w:p>
    <w:p w:rsidR="00013D83" w:rsidRPr="006B3796" w:rsidRDefault="00013D83" w:rsidP="00013D83">
      <w:pPr>
        <w:pStyle w:val="TofSectsSubdiv"/>
      </w:pPr>
      <w:r w:rsidRPr="006B3796">
        <w:tab/>
        <w:t xml:space="preserve">Guide to </w:t>
      </w:r>
      <w:r w:rsidR="002860B3">
        <w:t>Division 1</w:t>
      </w:r>
      <w:r w:rsidRPr="006B3796">
        <w:t>08</w:t>
      </w:r>
    </w:p>
    <w:p w:rsidR="00013D83" w:rsidRPr="006B3796" w:rsidRDefault="00013D83" w:rsidP="00013D83">
      <w:pPr>
        <w:pStyle w:val="TofSectsSubdiv"/>
      </w:pPr>
      <w:r w:rsidRPr="006B3796">
        <w:t>108</w:t>
      </w:r>
      <w:r w:rsidR="002860B3">
        <w:noBreakHyphen/>
      </w:r>
      <w:r w:rsidRPr="006B3796">
        <w:t>A</w:t>
      </w:r>
      <w:r w:rsidRPr="006B3796">
        <w:tab/>
        <w:t>What a CGT asset is</w:t>
      </w:r>
    </w:p>
    <w:p w:rsidR="00013D83" w:rsidRPr="006B3796" w:rsidRDefault="00013D83" w:rsidP="00013D83">
      <w:pPr>
        <w:pStyle w:val="TofSectsSubdiv"/>
      </w:pPr>
      <w:r w:rsidRPr="006B3796">
        <w:t>108</w:t>
      </w:r>
      <w:r w:rsidR="002860B3">
        <w:noBreakHyphen/>
      </w:r>
      <w:r w:rsidRPr="006B3796">
        <w:t>B</w:t>
      </w:r>
      <w:r w:rsidRPr="006B3796">
        <w:tab/>
        <w:t>Collectables</w:t>
      </w:r>
    </w:p>
    <w:p w:rsidR="00013D83" w:rsidRPr="006B3796" w:rsidRDefault="00013D83" w:rsidP="00013D83">
      <w:pPr>
        <w:pStyle w:val="TofSectsSubdiv"/>
      </w:pPr>
      <w:r w:rsidRPr="006B3796">
        <w:t>108</w:t>
      </w:r>
      <w:r w:rsidR="002860B3">
        <w:noBreakHyphen/>
      </w:r>
      <w:r w:rsidRPr="006B3796">
        <w:t>C</w:t>
      </w:r>
      <w:r w:rsidRPr="006B3796">
        <w:tab/>
        <w:t>Personal use assets</w:t>
      </w:r>
    </w:p>
    <w:p w:rsidR="00013D83" w:rsidRPr="006B3796" w:rsidRDefault="00013D83" w:rsidP="00013D83">
      <w:pPr>
        <w:pStyle w:val="TofSectsSubdiv"/>
      </w:pPr>
      <w:r w:rsidRPr="006B3796">
        <w:t>108</w:t>
      </w:r>
      <w:r w:rsidR="002860B3">
        <w:noBreakHyphen/>
      </w:r>
      <w:r w:rsidRPr="006B3796">
        <w:t>D</w:t>
      </w:r>
      <w:r w:rsidRPr="006B3796">
        <w:tab/>
        <w:t>Separate CGT assets</w:t>
      </w:r>
    </w:p>
    <w:p w:rsidR="00013D83" w:rsidRPr="002860B3" w:rsidRDefault="00013D83" w:rsidP="000C12AB">
      <w:pPr>
        <w:pStyle w:val="Specialsd"/>
      </w:pPr>
      <w:r w:rsidRPr="002860B3">
        <w:t xml:space="preserve">Guide to </w:t>
      </w:r>
      <w:r w:rsidR="002860B3" w:rsidRPr="002860B3">
        <w:t>Division 1</w:t>
      </w:r>
      <w:r w:rsidRPr="002860B3">
        <w:t>08</w:t>
      </w:r>
    </w:p>
    <w:p w:rsidR="00013D83" w:rsidRPr="006B3796" w:rsidRDefault="00013D83" w:rsidP="000C12AB">
      <w:pPr>
        <w:pStyle w:val="Specials"/>
      </w:pPr>
      <w:r w:rsidRPr="002860B3">
        <w:t>108</w:t>
      </w:r>
      <w:r w:rsidR="002860B3" w:rsidRPr="002860B3">
        <w:noBreakHyphen/>
      </w:r>
      <w:r w:rsidRPr="002860B3">
        <w:t>1</w:t>
      </w:r>
      <w:r w:rsidRPr="006B3796">
        <w:t xml:space="preserve">  What this Division is about</w:t>
      </w:r>
    </w:p>
    <w:p w:rsidR="00013D83" w:rsidRPr="006B3796" w:rsidRDefault="00013D83" w:rsidP="00013D83">
      <w:pPr>
        <w:pStyle w:val="BoxText"/>
      </w:pPr>
      <w:r w:rsidRPr="006B3796">
        <w:t>This Division defines the various categories of assets that are relevant to working out your capital gains and losses. They are CGT assets, collectables and personal use assets.</w:t>
      </w:r>
    </w:p>
    <w:p w:rsidR="00013D83" w:rsidRPr="006B3796" w:rsidRDefault="00013D83" w:rsidP="00013D83">
      <w:pPr>
        <w:pStyle w:val="BoxText"/>
      </w:pPr>
      <w:r w:rsidRPr="006B3796">
        <w:t>It also tells you how capital losses from collectables and personal use assets are relevant to working out your net capital gain or loss.</w:t>
      </w:r>
    </w:p>
    <w:p w:rsidR="00013D83" w:rsidRPr="006B3796" w:rsidRDefault="00013D83" w:rsidP="00013D83">
      <w:pPr>
        <w:pStyle w:val="BoxText"/>
      </w:pPr>
      <w:r w:rsidRPr="006B3796">
        <w:t>It also sets out when land, buildings and capital improvements are taken to be separate CGT assets.</w:t>
      </w:r>
    </w:p>
    <w:p w:rsidR="00013D83" w:rsidRPr="002860B3" w:rsidRDefault="002860B3" w:rsidP="000C12AB">
      <w:pPr>
        <w:pStyle w:val="Specialsd"/>
      </w:pPr>
      <w:r w:rsidRPr="002860B3">
        <w:t>Subdivision 1</w:t>
      </w:r>
      <w:r w:rsidR="00013D83" w:rsidRPr="002860B3">
        <w:t>08</w:t>
      </w:r>
      <w:r w:rsidRPr="002860B3">
        <w:noBreakHyphen/>
      </w:r>
      <w:r w:rsidR="00013D83" w:rsidRPr="002860B3">
        <w:t>A—What a CGT asset is</w:t>
      </w:r>
    </w:p>
    <w:p w:rsidR="00013D83" w:rsidRPr="006B3796" w:rsidRDefault="00013D83" w:rsidP="002860B3">
      <w:pPr>
        <w:pStyle w:val="Special2"/>
        <w:pageBreakBefore/>
      </w:pPr>
      <w:r w:rsidRPr="006B3796">
        <w:lastRenderedPageBreak/>
        <w:t>Example C</w:t>
      </w:r>
    </w:p>
    <w:p w:rsidR="00013D83" w:rsidRPr="002860B3" w:rsidRDefault="002860B3" w:rsidP="000C12AB">
      <w:pPr>
        <w:pStyle w:val="Speciald"/>
      </w:pPr>
      <w:r w:rsidRPr="002860B3">
        <w:t>Division 3</w:t>
      </w:r>
      <w:r w:rsidR="00013D83" w:rsidRPr="002860B3">
        <w:t>0—Gifts or contributions</w:t>
      </w:r>
    </w:p>
    <w:p w:rsidR="00013D83" w:rsidRPr="006B3796" w:rsidRDefault="00013D83" w:rsidP="00013D83">
      <w:pPr>
        <w:pStyle w:val="TofSectsHeading"/>
      </w:pPr>
      <w:r w:rsidRPr="006B3796">
        <w:t>Table of Subdivisions</w:t>
      </w:r>
    </w:p>
    <w:p w:rsidR="00013D83" w:rsidRPr="006B3796" w:rsidRDefault="00013D83" w:rsidP="00013D83">
      <w:pPr>
        <w:pStyle w:val="TofSectsSubdiv"/>
        <w:ind w:firstLine="0"/>
      </w:pPr>
      <w:r w:rsidRPr="006B3796">
        <w:t xml:space="preserve">Guide to </w:t>
      </w:r>
      <w:r w:rsidR="002860B3">
        <w:t>Division 3</w:t>
      </w:r>
      <w:r w:rsidRPr="006B3796">
        <w:t>0</w:t>
      </w:r>
    </w:p>
    <w:p w:rsidR="00013D83" w:rsidRPr="006B3796" w:rsidRDefault="00013D83" w:rsidP="00013D83">
      <w:pPr>
        <w:pStyle w:val="TofSectsSubdiv"/>
      </w:pPr>
      <w:r w:rsidRPr="006B3796">
        <w:t>30</w:t>
      </w:r>
      <w:r w:rsidR="002860B3">
        <w:noBreakHyphen/>
      </w:r>
      <w:r w:rsidRPr="006B3796">
        <w:t>A</w:t>
      </w:r>
      <w:r w:rsidRPr="006B3796">
        <w:tab/>
        <w:t>Deductions for gifts or contributions</w:t>
      </w:r>
    </w:p>
    <w:p w:rsidR="00013D83" w:rsidRPr="006B3796" w:rsidRDefault="00013D83" w:rsidP="00013D83">
      <w:pPr>
        <w:pStyle w:val="TofSectsSubdiv"/>
      </w:pPr>
      <w:r w:rsidRPr="006B3796">
        <w:t>30</w:t>
      </w:r>
      <w:r w:rsidR="002860B3">
        <w:noBreakHyphen/>
      </w:r>
      <w:r w:rsidRPr="006B3796">
        <w:t>B</w:t>
      </w:r>
      <w:r w:rsidRPr="006B3796">
        <w:tab/>
        <w:t>Tables of recipients for deductible gifts</w:t>
      </w:r>
    </w:p>
    <w:p w:rsidR="00013D83" w:rsidRPr="006B3796" w:rsidRDefault="00013D83" w:rsidP="00013D83">
      <w:pPr>
        <w:pStyle w:val="TofSectsSubdiv"/>
      </w:pPr>
      <w:r w:rsidRPr="006B3796">
        <w:t>30</w:t>
      </w:r>
      <w:r w:rsidR="002860B3">
        <w:noBreakHyphen/>
      </w:r>
      <w:r w:rsidRPr="006B3796">
        <w:t>C</w:t>
      </w:r>
      <w:r w:rsidRPr="006B3796">
        <w:tab/>
        <w:t>Rules applying to particular gifts of property</w:t>
      </w:r>
    </w:p>
    <w:p w:rsidR="00013D83" w:rsidRPr="006B3796" w:rsidRDefault="00013D83" w:rsidP="00013D83">
      <w:pPr>
        <w:pStyle w:val="TofSectsSubdiv"/>
      </w:pPr>
      <w:r w:rsidRPr="006B3796">
        <w:t>30</w:t>
      </w:r>
      <w:r w:rsidR="002860B3">
        <w:noBreakHyphen/>
      </w:r>
      <w:r w:rsidRPr="006B3796">
        <w:t>D</w:t>
      </w:r>
      <w:r w:rsidRPr="006B3796">
        <w:tab/>
        <w:t>Testamentary gifts under the Cultural Bequests Program</w:t>
      </w:r>
    </w:p>
    <w:p w:rsidR="00013D83" w:rsidRPr="006B3796" w:rsidRDefault="00013D83" w:rsidP="00013D83">
      <w:pPr>
        <w:pStyle w:val="TofSectsSubdiv"/>
      </w:pPr>
      <w:r w:rsidRPr="006B3796">
        <w:t>30</w:t>
      </w:r>
      <w:r w:rsidR="002860B3">
        <w:noBreakHyphen/>
      </w:r>
      <w:r w:rsidRPr="006B3796">
        <w:t>E</w:t>
      </w:r>
      <w:r w:rsidRPr="006B3796">
        <w:tab/>
        <w:t>Register of environmental organisations</w:t>
      </w:r>
    </w:p>
    <w:p w:rsidR="00013D83" w:rsidRPr="006B3796" w:rsidRDefault="00013D83" w:rsidP="00013D83">
      <w:pPr>
        <w:pStyle w:val="TofSectsSubdiv"/>
      </w:pPr>
      <w:r w:rsidRPr="006B3796">
        <w:t>30</w:t>
      </w:r>
      <w:r w:rsidR="002860B3">
        <w:noBreakHyphen/>
      </w:r>
      <w:r w:rsidRPr="006B3796">
        <w:t>F</w:t>
      </w:r>
      <w:r w:rsidRPr="006B3796">
        <w:tab/>
        <w:t>Register of cultural organisations</w:t>
      </w:r>
    </w:p>
    <w:p w:rsidR="00013D83" w:rsidRPr="006B3796" w:rsidRDefault="00013D83" w:rsidP="00013D83">
      <w:pPr>
        <w:pStyle w:val="TofSectsSubdiv"/>
      </w:pPr>
      <w:r w:rsidRPr="006B3796">
        <w:t>30</w:t>
      </w:r>
      <w:r w:rsidR="002860B3">
        <w:noBreakHyphen/>
      </w:r>
      <w:r w:rsidRPr="006B3796">
        <w:t>G</w:t>
      </w:r>
      <w:r w:rsidRPr="006B3796">
        <w:tab/>
        <w:t>Index to this Division</w:t>
      </w:r>
    </w:p>
    <w:p w:rsidR="00013D83" w:rsidRPr="002860B3" w:rsidRDefault="00013D83" w:rsidP="000C12AB">
      <w:pPr>
        <w:pStyle w:val="Specialsd"/>
      </w:pPr>
      <w:r w:rsidRPr="002860B3">
        <w:t xml:space="preserve">Guide to </w:t>
      </w:r>
      <w:r w:rsidR="002860B3" w:rsidRPr="002860B3">
        <w:t>Division 3</w:t>
      </w:r>
      <w:r w:rsidRPr="002860B3">
        <w:t>0</w:t>
      </w:r>
    </w:p>
    <w:p w:rsidR="00013D83" w:rsidRPr="002860B3" w:rsidRDefault="00013D83" w:rsidP="000C12AB">
      <w:pPr>
        <w:pStyle w:val="Specials"/>
      </w:pPr>
      <w:r w:rsidRPr="002860B3">
        <w:t>30</w:t>
      </w:r>
      <w:r w:rsidR="002860B3" w:rsidRPr="002860B3">
        <w:noBreakHyphen/>
      </w:r>
      <w:r w:rsidRPr="002860B3">
        <w:t>1  What this Division is about</w:t>
      </w:r>
    </w:p>
    <w:p w:rsidR="00013D83" w:rsidRPr="006B3796" w:rsidRDefault="00013D83" w:rsidP="00013D83">
      <w:pPr>
        <w:pStyle w:val="BoxText"/>
        <w:suppressLineNumbers/>
        <w:spacing w:before="120"/>
      </w:pPr>
      <w:r w:rsidRPr="006B3796">
        <w:t>This Division sets out the rules for working out deductions for certain gifts or contributions that you make.</w:t>
      </w:r>
    </w:p>
    <w:p w:rsidR="00013D83" w:rsidRPr="006B3796" w:rsidRDefault="00013D83" w:rsidP="00013D83">
      <w:pPr>
        <w:pStyle w:val="TofSectsHeading"/>
      </w:pPr>
      <w:r w:rsidRPr="006B3796">
        <w:t>Table of sections</w:t>
      </w:r>
    </w:p>
    <w:p w:rsidR="00013D83" w:rsidRPr="006B3796" w:rsidRDefault="00013D83" w:rsidP="00013D83">
      <w:pPr>
        <w:pStyle w:val="TofSectsSection"/>
      </w:pPr>
      <w:r w:rsidRPr="006B3796">
        <w:t>30</w:t>
      </w:r>
      <w:r w:rsidR="002860B3">
        <w:noBreakHyphen/>
      </w:r>
      <w:r w:rsidRPr="006B3796">
        <w:t>5</w:t>
      </w:r>
      <w:r w:rsidRPr="006B3796">
        <w:tab/>
        <w:t>How to find your way around this Division</w:t>
      </w:r>
    </w:p>
    <w:p w:rsidR="00013D83" w:rsidRPr="006B3796" w:rsidRDefault="00013D83" w:rsidP="00013D83">
      <w:pPr>
        <w:pStyle w:val="TofSectsSection"/>
      </w:pPr>
      <w:r w:rsidRPr="006B3796">
        <w:t>30</w:t>
      </w:r>
      <w:r w:rsidR="002860B3">
        <w:noBreakHyphen/>
      </w:r>
      <w:r w:rsidRPr="006B3796">
        <w:t>10</w:t>
      </w:r>
      <w:r w:rsidRPr="006B3796">
        <w:tab/>
        <w:t>Index</w:t>
      </w:r>
    </w:p>
    <w:p w:rsidR="00013D83" w:rsidRPr="002860B3" w:rsidRDefault="00013D83" w:rsidP="000C12AB">
      <w:pPr>
        <w:pStyle w:val="Specials"/>
      </w:pPr>
      <w:r w:rsidRPr="002860B3">
        <w:t>30</w:t>
      </w:r>
      <w:r w:rsidR="002860B3" w:rsidRPr="002860B3">
        <w:noBreakHyphen/>
      </w:r>
      <w:r w:rsidRPr="002860B3">
        <w:t>5  How to find your way around this Division</w:t>
      </w:r>
    </w:p>
    <w:p w:rsidR="00013D83" w:rsidRPr="002860B3" w:rsidRDefault="00013D83" w:rsidP="000C12AB">
      <w:pPr>
        <w:pStyle w:val="Specials"/>
      </w:pPr>
      <w:r w:rsidRPr="002860B3">
        <w:t>30</w:t>
      </w:r>
      <w:r w:rsidR="002860B3" w:rsidRPr="002860B3">
        <w:noBreakHyphen/>
      </w:r>
      <w:r w:rsidRPr="002860B3">
        <w:t>10  Index</w:t>
      </w:r>
    </w:p>
    <w:p w:rsidR="00013D83" w:rsidRPr="002860B3" w:rsidRDefault="002860B3" w:rsidP="000C12AB">
      <w:pPr>
        <w:pStyle w:val="Specialsd"/>
      </w:pPr>
      <w:r w:rsidRPr="002860B3">
        <w:t>Subdivision 3</w:t>
      </w:r>
      <w:r w:rsidR="00013D83" w:rsidRPr="002860B3">
        <w:t>0</w:t>
      </w:r>
      <w:r w:rsidRPr="002860B3">
        <w:noBreakHyphen/>
      </w:r>
      <w:r w:rsidR="00013D83" w:rsidRPr="002860B3">
        <w:t>A—Deductions for gifts or contributions</w:t>
      </w:r>
    </w:p>
    <w:p w:rsidR="00013D83" w:rsidRPr="006B3796" w:rsidRDefault="00013D83" w:rsidP="002860B3">
      <w:pPr>
        <w:pStyle w:val="Special2"/>
        <w:pageBreakBefore/>
      </w:pPr>
      <w:r w:rsidRPr="006B3796">
        <w:lastRenderedPageBreak/>
        <w:t>Example D</w:t>
      </w:r>
    </w:p>
    <w:p w:rsidR="00013D83" w:rsidRPr="002860B3" w:rsidRDefault="002860B3" w:rsidP="000C12AB">
      <w:pPr>
        <w:pStyle w:val="Specialsd"/>
      </w:pPr>
      <w:r w:rsidRPr="002860B3">
        <w:t>Subdivision 1</w:t>
      </w:r>
      <w:r w:rsidR="00013D83" w:rsidRPr="002860B3">
        <w:t>08</w:t>
      </w:r>
      <w:r w:rsidRPr="002860B3">
        <w:noBreakHyphen/>
      </w:r>
      <w:r w:rsidR="00013D83" w:rsidRPr="002860B3">
        <w:t>A—What a CGT asset is</w:t>
      </w:r>
    </w:p>
    <w:p w:rsidR="00013D83" w:rsidRPr="006B3796" w:rsidRDefault="00013D83" w:rsidP="00013D83">
      <w:pPr>
        <w:pStyle w:val="TofSectsHeading"/>
      </w:pPr>
      <w:r w:rsidRPr="006B3796">
        <w:t>Table of sections</w:t>
      </w:r>
    </w:p>
    <w:p w:rsidR="00013D83" w:rsidRPr="006B3796" w:rsidRDefault="00013D83" w:rsidP="00013D83">
      <w:pPr>
        <w:pStyle w:val="TofSectsSection"/>
      </w:pPr>
      <w:r w:rsidRPr="006B3796">
        <w:t>108</w:t>
      </w:r>
      <w:r w:rsidR="002860B3">
        <w:noBreakHyphen/>
      </w:r>
      <w:r w:rsidRPr="006B3796">
        <w:t>5</w:t>
      </w:r>
      <w:r w:rsidRPr="006B3796">
        <w:tab/>
        <w:t>CGT assets</w:t>
      </w:r>
    </w:p>
    <w:p w:rsidR="00013D83" w:rsidRPr="006B3796" w:rsidRDefault="00013D83" w:rsidP="00013D83">
      <w:pPr>
        <w:pStyle w:val="TofSectsSection"/>
      </w:pPr>
      <w:r w:rsidRPr="006B3796">
        <w:t>108</w:t>
      </w:r>
      <w:r w:rsidR="002860B3">
        <w:noBreakHyphen/>
      </w:r>
      <w:r w:rsidRPr="006B3796">
        <w:t>7</w:t>
      </w:r>
      <w:r w:rsidRPr="006B3796">
        <w:tab/>
        <w:t>Interest in CGT assets as joint tenants</w:t>
      </w:r>
    </w:p>
    <w:p w:rsidR="00013D83" w:rsidRPr="002860B3" w:rsidRDefault="00013D83" w:rsidP="000C12AB">
      <w:pPr>
        <w:pStyle w:val="Specials"/>
      </w:pPr>
      <w:r w:rsidRPr="002860B3">
        <w:t>108</w:t>
      </w:r>
      <w:r w:rsidR="002860B3" w:rsidRPr="002860B3">
        <w:noBreakHyphen/>
      </w:r>
      <w:r w:rsidRPr="002860B3">
        <w:t>5  CGT assets</w:t>
      </w:r>
    </w:p>
    <w:p w:rsidR="00013D83" w:rsidRPr="006B3796" w:rsidRDefault="00013D83" w:rsidP="002860B3">
      <w:pPr>
        <w:pStyle w:val="Special2"/>
        <w:pageBreakBefore/>
      </w:pPr>
      <w:r w:rsidRPr="006B3796">
        <w:lastRenderedPageBreak/>
        <w:t>Example E</w:t>
      </w:r>
    </w:p>
    <w:p w:rsidR="00013D83" w:rsidRPr="002860B3" w:rsidRDefault="002860B3" w:rsidP="000C12AB">
      <w:pPr>
        <w:pStyle w:val="Specialsd"/>
      </w:pPr>
      <w:r w:rsidRPr="002860B3">
        <w:t>Subdivision 1</w:t>
      </w:r>
      <w:r w:rsidR="00013D83" w:rsidRPr="002860B3">
        <w:t>08</w:t>
      </w:r>
      <w:r w:rsidRPr="002860B3">
        <w:noBreakHyphen/>
      </w:r>
      <w:r w:rsidR="00013D83" w:rsidRPr="002860B3">
        <w:t>D—Separate CGT assets</w:t>
      </w:r>
    </w:p>
    <w:p w:rsidR="00013D83" w:rsidRPr="002860B3" w:rsidRDefault="00013D83" w:rsidP="000C12AB">
      <w:pPr>
        <w:pStyle w:val="Specialsd"/>
      </w:pPr>
      <w:r w:rsidRPr="002860B3">
        <w:t xml:space="preserve">Guide to </w:t>
      </w:r>
      <w:r w:rsidR="002860B3" w:rsidRPr="002860B3">
        <w:t>Subdivision 1</w:t>
      </w:r>
      <w:r w:rsidRPr="002860B3">
        <w:t>08</w:t>
      </w:r>
      <w:r w:rsidR="002860B3" w:rsidRPr="002860B3">
        <w:noBreakHyphen/>
      </w:r>
      <w:r w:rsidRPr="002860B3">
        <w:t>D</w:t>
      </w:r>
    </w:p>
    <w:p w:rsidR="00013D83" w:rsidRPr="002860B3" w:rsidRDefault="00013D83" w:rsidP="000C12AB">
      <w:pPr>
        <w:pStyle w:val="Specials"/>
      </w:pPr>
      <w:r w:rsidRPr="002860B3">
        <w:t>108</w:t>
      </w:r>
      <w:r w:rsidR="002860B3" w:rsidRPr="002860B3">
        <w:noBreakHyphen/>
      </w:r>
      <w:r w:rsidRPr="002860B3">
        <w:t>50  What this Subdivision is about</w:t>
      </w:r>
    </w:p>
    <w:p w:rsidR="00013D83" w:rsidRPr="006B3796" w:rsidRDefault="00013D83" w:rsidP="00013D83">
      <w:pPr>
        <w:pStyle w:val="BoxText"/>
      </w:pPr>
      <w:r w:rsidRPr="006B3796">
        <w:t>For CGT purposes, there are:</w:t>
      </w:r>
    </w:p>
    <w:p w:rsidR="00013D83" w:rsidRPr="006B3796" w:rsidRDefault="00013D83" w:rsidP="00013D83">
      <w:pPr>
        <w:pStyle w:val="TLPboxbullet"/>
        <w:tabs>
          <w:tab w:val="clear" w:pos="1531"/>
          <w:tab w:val="right" w:pos="1701"/>
        </w:tabs>
      </w:pPr>
      <w:r w:rsidRPr="006B3796">
        <w:rPr>
          <w:sz w:val="28"/>
        </w:rPr>
        <w:t>•</w:t>
      </w:r>
      <w:r w:rsidRPr="006B3796">
        <w:tab/>
      </w:r>
      <w:r w:rsidRPr="006B3796">
        <w:tab/>
        <w:t>exceptions to the common law principle that what is attached to the land is part of the land; and</w:t>
      </w:r>
    </w:p>
    <w:p w:rsidR="00013D83" w:rsidRPr="006B3796" w:rsidRDefault="00013D83" w:rsidP="00013D83">
      <w:pPr>
        <w:pStyle w:val="TLPboxbullet"/>
        <w:tabs>
          <w:tab w:val="clear" w:pos="1531"/>
          <w:tab w:val="right" w:pos="1701"/>
        </w:tabs>
      </w:pPr>
      <w:r w:rsidRPr="006B3796">
        <w:rPr>
          <w:sz w:val="28"/>
        </w:rPr>
        <w:t>•</w:t>
      </w:r>
      <w:r w:rsidRPr="006B3796">
        <w:rPr>
          <w:sz w:val="28"/>
        </w:rPr>
        <w:tab/>
      </w:r>
      <w:r w:rsidRPr="006B3796">
        <w:t>special rules about buildings and adjacent land; and</w:t>
      </w:r>
    </w:p>
    <w:p w:rsidR="00013D83" w:rsidRPr="006B3796" w:rsidRDefault="00013D83" w:rsidP="00013D83">
      <w:pPr>
        <w:pStyle w:val="TLPboxbullet"/>
      </w:pPr>
      <w:r w:rsidRPr="006B3796">
        <w:rPr>
          <w:sz w:val="28"/>
        </w:rPr>
        <w:t>•</w:t>
      </w:r>
      <w:r w:rsidRPr="006B3796">
        <w:rPr>
          <w:sz w:val="32"/>
        </w:rPr>
        <w:tab/>
      </w:r>
      <w:r w:rsidRPr="006B3796">
        <w:tab/>
        <w:t>rules about when a capital improvement to a CGT asset is treated as a separate CGT asset.</w:t>
      </w:r>
    </w:p>
    <w:p w:rsidR="00013D83" w:rsidRPr="006B3796" w:rsidRDefault="00013D83" w:rsidP="00013D83">
      <w:pPr>
        <w:pStyle w:val="TofSectsHeading"/>
      </w:pPr>
      <w:r w:rsidRPr="006B3796">
        <w:t>Table of sections</w:t>
      </w:r>
    </w:p>
    <w:p w:rsidR="00013D83" w:rsidRPr="006B3796" w:rsidRDefault="00013D83" w:rsidP="00013D83">
      <w:pPr>
        <w:pStyle w:val="TofSectsGroupHeading"/>
      </w:pPr>
      <w:r w:rsidRPr="006B3796">
        <w:t xml:space="preserve">Operative </w:t>
      </w:r>
      <w:r w:rsidR="006B3796">
        <w:t>p</w:t>
      </w:r>
      <w:r w:rsidRPr="006B3796">
        <w:t>rovisions</w:t>
      </w:r>
    </w:p>
    <w:p w:rsidR="00013D83" w:rsidRPr="006B3796" w:rsidRDefault="00013D83" w:rsidP="00013D83">
      <w:pPr>
        <w:pStyle w:val="TofSectsSection"/>
        <w:rPr>
          <w:szCs w:val="18"/>
        </w:rPr>
      </w:pPr>
      <w:r w:rsidRPr="006B3796">
        <w:rPr>
          <w:szCs w:val="18"/>
        </w:rPr>
        <w:t>108</w:t>
      </w:r>
      <w:r w:rsidR="002860B3">
        <w:rPr>
          <w:szCs w:val="18"/>
        </w:rPr>
        <w:noBreakHyphen/>
      </w:r>
      <w:r w:rsidRPr="006B3796">
        <w:rPr>
          <w:szCs w:val="18"/>
        </w:rPr>
        <w:t>55</w:t>
      </w:r>
      <w:r w:rsidRPr="006B3796">
        <w:rPr>
          <w:szCs w:val="18"/>
        </w:rPr>
        <w:tab/>
        <w:t>When is a building a separate asset from land?</w:t>
      </w:r>
    </w:p>
    <w:p w:rsidR="00013D83" w:rsidRPr="006B3796" w:rsidRDefault="00013D83" w:rsidP="00013D83">
      <w:pPr>
        <w:pStyle w:val="TofSectsSection"/>
        <w:rPr>
          <w:szCs w:val="18"/>
        </w:rPr>
      </w:pPr>
      <w:r w:rsidRPr="006B3796">
        <w:rPr>
          <w:szCs w:val="18"/>
        </w:rPr>
        <w:t>108</w:t>
      </w:r>
      <w:r w:rsidR="002860B3">
        <w:rPr>
          <w:szCs w:val="18"/>
        </w:rPr>
        <w:noBreakHyphen/>
      </w:r>
      <w:r w:rsidRPr="006B3796">
        <w:rPr>
          <w:szCs w:val="18"/>
        </w:rPr>
        <w:t>60</w:t>
      </w:r>
      <w:r w:rsidRPr="006B3796">
        <w:rPr>
          <w:szCs w:val="18"/>
        </w:rPr>
        <w:tab/>
        <w:t>Plant that is part of a building is a separate asset</w:t>
      </w:r>
    </w:p>
    <w:p w:rsidR="00013D83" w:rsidRPr="006B3796" w:rsidRDefault="00013D83" w:rsidP="00013D83">
      <w:pPr>
        <w:pStyle w:val="TofSectsSection"/>
        <w:rPr>
          <w:szCs w:val="18"/>
        </w:rPr>
      </w:pPr>
      <w:r w:rsidRPr="006B3796">
        <w:rPr>
          <w:szCs w:val="18"/>
        </w:rPr>
        <w:t>108</w:t>
      </w:r>
      <w:r w:rsidR="002860B3">
        <w:rPr>
          <w:szCs w:val="18"/>
        </w:rPr>
        <w:noBreakHyphen/>
      </w:r>
      <w:r w:rsidRPr="006B3796">
        <w:rPr>
          <w:szCs w:val="18"/>
        </w:rPr>
        <w:t>65</w:t>
      </w:r>
      <w:r w:rsidRPr="006B3796">
        <w:rPr>
          <w:szCs w:val="18"/>
        </w:rPr>
        <w:tab/>
        <w:t xml:space="preserve">Land adjacent to land acquired before </w:t>
      </w:r>
      <w:r w:rsidR="002860B3">
        <w:rPr>
          <w:szCs w:val="18"/>
        </w:rPr>
        <w:t>20 September</w:t>
      </w:r>
      <w:r w:rsidRPr="006B3796">
        <w:rPr>
          <w:szCs w:val="18"/>
        </w:rPr>
        <w:t xml:space="preserve"> 1985</w:t>
      </w:r>
    </w:p>
    <w:p w:rsidR="00013D83" w:rsidRPr="006B3796" w:rsidRDefault="00013D83" w:rsidP="00013D83">
      <w:pPr>
        <w:pStyle w:val="TofSectsSection"/>
        <w:rPr>
          <w:szCs w:val="18"/>
        </w:rPr>
      </w:pPr>
      <w:r w:rsidRPr="006B3796">
        <w:rPr>
          <w:szCs w:val="18"/>
        </w:rPr>
        <w:t>108</w:t>
      </w:r>
      <w:r w:rsidR="002860B3">
        <w:rPr>
          <w:szCs w:val="18"/>
        </w:rPr>
        <w:noBreakHyphen/>
      </w:r>
      <w:r w:rsidRPr="006B3796">
        <w:rPr>
          <w:szCs w:val="18"/>
        </w:rPr>
        <w:t>70</w:t>
      </w:r>
      <w:r w:rsidRPr="006B3796">
        <w:rPr>
          <w:szCs w:val="18"/>
        </w:rPr>
        <w:tab/>
        <w:t>When is a capital improvement a separate asset?</w:t>
      </w:r>
    </w:p>
    <w:p w:rsidR="00013D83" w:rsidRPr="006B3796" w:rsidRDefault="00013D83" w:rsidP="00013D83">
      <w:pPr>
        <w:pStyle w:val="TofSectsSection"/>
        <w:rPr>
          <w:szCs w:val="18"/>
        </w:rPr>
      </w:pPr>
      <w:r w:rsidRPr="006B3796">
        <w:rPr>
          <w:szCs w:val="18"/>
        </w:rPr>
        <w:t>108</w:t>
      </w:r>
      <w:r w:rsidR="002860B3">
        <w:rPr>
          <w:szCs w:val="18"/>
        </w:rPr>
        <w:noBreakHyphen/>
      </w:r>
      <w:r w:rsidRPr="006B3796">
        <w:rPr>
          <w:szCs w:val="18"/>
        </w:rPr>
        <w:t>75</w:t>
      </w:r>
      <w:r w:rsidRPr="006B3796">
        <w:rPr>
          <w:szCs w:val="18"/>
        </w:rPr>
        <w:tab/>
        <w:t>Capital improvements to CGT assets for which a roll</w:t>
      </w:r>
      <w:r w:rsidR="002860B3">
        <w:rPr>
          <w:szCs w:val="18"/>
        </w:rPr>
        <w:noBreakHyphen/>
      </w:r>
      <w:r w:rsidRPr="006B3796">
        <w:rPr>
          <w:szCs w:val="18"/>
        </w:rPr>
        <w:t>over may be available</w:t>
      </w:r>
    </w:p>
    <w:p w:rsidR="00013D83" w:rsidRPr="006B3796" w:rsidRDefault="00013D83" w:rsidP="00013D83">
      <w:pPr>
        <w:pStyle w:val="TofSectsSection"/>
        <w:rPr>
          <w:szCs w:val="18"/>
        </w:rPr>
      </w:pPr>
      <w:r w:rsidRPr="006B3796">
        <w:rPr>
          <w:szCs w:val="18"/>
        </w:rPr>
        <w:t>108</w:t>
      </w:r>
      <w:r w:rsidR="002860B3">
        <w:rPr>
          <w:szCs w:val="18"/>
        </w:rPr>
        <w:noBreakHyphen/>
      </w:r>
      <w:r w:rsidRPr="006B3796">
        <w:rPr>
          <w:szCs w:val="18"/>
        </w:rPr>
        <w:t>80</w:t>
      </w:r>
      <w:r w:rsidRPr="006B3796">
        <w:rPr>
          <w:szCs w:val="18"/>
        </w:rPr>
        <w:tab/>
        <w:t>Deciding if capital improvements are related to each other</w:t>
      </w:r>
    </w:p>
    <w:p w:rsidR="00013D83" w:rsidRPr="006B3796" w:rsidRDefault="00013D83" w:rsidP="00013D83">
      <w:pPr>
        <w:pStyle w:val="TofSectsSection"/>
        <w:rPr>
          <w:szCs w:val="18"/>
        </w:rPr>
      </w:pPr>
      <w:r w:rsidRPr="006B3796">
        <w:rPr>
          <w:szCs w:val="18"/>
        </w:rPr>
        <w:t>108</w:t>
      </w:r>
      <w:r w:rsidR="002860B3">
        <w:rPr>
          <w:szCs w:val="18"/>
        </w:rPr>
        <w:noBreakHyphen/>
      </w:r>
      <w:r w:rsidRPr="006B3796">
        <w:rPr>
          <w:szCs w:val="18"/>
        </w:rPr>
        <w:t>85</w:t>
      </w:r>
      <w:r w:rsidRPr="006B3796">
        <w:rPr>
          <w:szCs w:val="18"/>
        </w:rPr>
        <w:tab/>
        <w:t>Meaning of improvement threshold</w:t>
      </w:r>
    </w:p>
    <w:p w:rsidR="00013D83" w:rsidRPr="002860B3" w:rsidRDefault="00013D83" w:rsidP="000C12AB">
      <w:pPr>
        <w:pStyle w:val="Specialsd"/>
      </w:pPr>
      <w:r w:rsidRPr="002860B3">
        <w:t>Operative provisions</w:t>
      </w:r>
    </w:p>
    <w:p w:rsidR="00013D83" w:rsidRPr="002860B3" w:rsidRDefault="00013D83" w:rsidP="000C12AB">
      <w:pPr>
        <w:pStyle w:val="Specials"/>
      </w:pPr>
      <w:r w:rsidRPr="002860B3">
        <w:t>108</w:t>
      </w:r>
      <w:r w:rsidR="002860B3" w:rsidRPr="002860B3">
        <w:noBreakHyphen/>
      </w:r>
      <w:r w:rsidRPr="002860B3">
        <w:t>55  When is a building a separate asset from land?</w:t>
      </w:r>
    </w:p>
    <w:p w:rsidR="00013D83" w:rsidRPr="006B3796" w:rsidRDefault="00013D83" w:rsidP="006B3796">
      <w:pPr>
        <w:pStyle w:val="Head2"/>
      </w:pPr>
      <w:r w:rsidRPr="006B3796">
        <w:br w:type="page"/>
      </w:r>
      <w:bookmarkStart w:id="38" w:name="_Toc144733663"/>
      <w:r w:rsidRPr="006B3796">
        <w:lastRenderedPageBreak/>
        <w:t>Attachment B—Extracts from various TLIP Notes</w:t>
      </w:r>
      <w:bookmarkEnd w:id="38"/>
    </w:p>
    <w:p w:rsidR="00013D83" w:rsidRPr="006B3796" w:rsidRDefault="00013D83" w:rsidP="00013D83">
      <w:pPr>
        <w:pStyle w:val="Special2"/>
      </w:pPr>
      <w:r w:rsidRPr="006B3796">
        <w:t>TLIP Note 2</w:t>
      </w:r>
    </w:p>
    <w:p w:rsidR="00013D83" w:rsidRPr="006B3796" w:rsidRDefault="00013D83" w:rsidP="00013D83">
      <w:pPr>
        <w:pStyle w:val="Special3"/>
      </w:pPr>
      <w:r w:rsidRPr="006B3796">
        <w:t>Defined terms in formulas</w:t>
      </w:r>
    </w:p>
    <w:p w:rsidR="00013D83" w:rsidRPr="006B3796" w:rsidRDefault="00013D83" w:rsidP="00013D83">
      <w:pPr>
        <w:pStyle w:val="Body"/>
      </w:pPr>
      <w:r w:rsidRPr="006B3796">
        <w:rPr>
          <w:noProof/>
        </w:rPr>
        <w:t>16</w:t>
      </w:r>
      <w:r w:rsidRPr="006B3796">
        <w:t>.</w:t>
      </w:r>
      <w:r w:rsidRPr="006B3796">
        <w:tab/>
        <w:t>It should be made easy for a reader to find definitions of all defined terms used in a formula.</w:t>
      </w:r>
    </w:p>
    <w:p w:rsidR="00013D83" w:rsidRPr="006B3796" w:rsidRDefault="00013D83" w:rsidP="00013D83">
      <w:pPr>
        <w:pStyle w:val="Body"/>
      </w:pPr>
      <w:r w:rsidRPr="006B3796">
        <w:rPr>
          <w:noProof/>
        </w:rPr>
        <w:t>17</w:t>
      </w:r>
      <w:r w:rsidRPr="006B3796">
        <w:t>.</w:t>
      </w:r>
      <w:r w:rsidRPr="006B3796">
        <w:tab/>
        <w:t>A defined term should be asterisked in a formula unless the definition is in the subsection containing the formula or the next subsection. Each occurrence of the term in the formula should be asterisked (even if the term is also asterisked in the text introducing the formula).</w:t>
      </w:r>
    </w:p>
    <w:p w:rsidR="00013D83" w:rsidRPr="006B3796" w:rsidRDefault="00013D83" w:rsidP="00013D83">
      <w:pPr>
        <w:pStyle w:val="Body"/>
      </w:pPr>
      <w:r w:rsidRPr="006B3796">
        <w:rPr>
          <w:noProof/>
        </w:rPr>
        <w:t>18</w:t>
      </w:r>
      <w:r w:rsidRPr="006B3796">
        <w:t>.</w:t>
      </w:r>
      <w:r w:rsidRPr="006B3796">
        <w:tab/>
        <w:t xml:space="preserve">If a term </w:t>
      </w:r>
      <w:r w:rsidRPr="006B3796">
        <w:rPr>
          <w:i/>
        </w:rPr>
        <w:t>is</w:t>
      </w:r>
      <w:r w:rsidRPr="006B3796">
        <w:t xml:space="preserve"> asterisked in a formula, an extra definition of the term (or a signpost to the definition of the term) is not needed in any list of definitions that is set out in the subsection containing the formula (or in the next subsection).</w:t>
      </w:r>
    </w:p>
    <w:p w:rsidR="00013D83" w:rsidRPr="006B3796" w:rsidRDefault="00013D83" w:rsidP="00013D83">
      <w:pPr>
        <w:pStyle w:val="Body"/>
      </w:pPr>
      <w:r w:rsidRPr="006B3796">
        <w:rPr>
          <w:noProof/>
        </w:rPr>
        <w:t>19</w:t>
      </w:r>
      <w:r w:rsidRPr="006B3796">
        <w:t>.</w:t>
      </w:r>
      <w:r w:rsidRPr="006B3796">
        <w:tab/>
        <w:t>An exception is if you use in a formula a term that embodies a concept (rather than just being a label):</w:t>
      </w:r>
    </w:p>
    <w:p w:rsidR="00013D83" w:rsidRPr="006B3796" w:rsidRDefault="00013D83" w:rsidP="00013D83">
      <w:pPr>
        <w:pStyle w:val="Blocks"/>
        <w:numPr>
          <w:ilvl w:val="0"/>
          <w:numId w:val="3"/>
        </w:numPr>
      </w:pPr>
      <w:r w:rsidRPr="006B3796">
        <w:t>the occurrence of the term in the formula should be asterisked; and</w:t>
      </w:r>
    </w:p>
    <w:p w:rsidR="00013D83" w:rsidRPr="006B3796" w:rsidRDefault="00013D83" w:rsidP="00013D83">
      <w:pPr>
        <w:pStyle w:val="Blocks"/>
        <w:numPr>
          <w:ilvl w:val="0"/>
          <w:numId w:val="3"/>
        </w:numPr>
      </w:pPr>
      <w:r w:rsidRPr="006B3796">
        <w:t>the definition should be signposted in the Dictionary.</w:t>
      </w:r>
    </w:p>
    <w:p w:rsidR="00013D83" w:rsidRPr="006B3796" w:rsidRDefault="00013D83" w:rsidP="00013D83">
      <w:pPr>
        <w:pStyle w:val="Blocks"/>
      </w:pPr>
      <w:r w:rsidRPr="006B3796">
        <w:t>This approach ensures that a reader can find the concept by looking in the Dictionary.</w:t>
      </w:r>
    </w:p>
    <w:p w:rsidR="00013D83" w:rsidRPr="006B3796" w:rsidRDefault="00013D83" w:rsidP="00013D83">
      <w:pPr>
        <w:pStyle w:val="Body"/>
      </w:pPr>
      <w:r w:rsidRPr="006B3796">
        <w:rPr>
          <w:noProof/>
        </w:rPr>
        <w:t>20</w:t>
      </w:r>
      <w:r w:rsidRPr="006B3796">
        <w:t>.</w:t>
      </w:r>
      <w:r w:rsidRPr="006B3796">
        <w:tab/>
        <w:t>If a term that is just a label is used only in a formula and is defined in the subsection containing the formula (or in the next subsection):</w:t>
      </w:r>
    </w:p>
    <w:p w:rsidR="00013D83" w:rsidRPr="006B3796" w:rsidRDefault="00013D83" w:rsidP="00013D83">
      <w:pPr>
        <w:pStyle w:val="Blocks"/>
        <w:numPr>
          <w:ilvl w:val="0"/>
          <w:numId w:val="3"/>
        </w:numPr>
      </w:pPr>
      <w:r w:rsidRPr="006B3796">
        <w:t xml:space="preserve">the occurrence of the term in the formula should </w:t>
      </w:r>
      <w:r w:rsidRPr="006B3796">
        <w:rPr>
          <w:i/>
        </w:rPr>
        <w:t>not</w:t>
      </w:r>
      <w:r w:rsidRPr="006B3796">
        <w:t xml:space="preserve"> be asterisked; and</w:t>
      </w:r>
    </w:p>
    <w:p w:rsidR="00013D83" w:rsidRPr="006B3796" w:rsidRDefault="00013D83" w:rsidP="00013D83">
      <w:pPr>
        <w:pStyle w:val="Blocks"/>
        <w:numPr>
          <w:ilvl w:val="0"/>
          <w:numId w:val="3"/>
        </w:numPr>
      </w:pPr>
      <w:r w:rsidRPr="006B3796">
        <w:t xml:space="preserve">the definition should </w:t>
      </w:r>
      <w:r w:rsidRPr="006B3796">
        <w:rPr>
          <w:i/>
        </w:rPr>
        <w:t>not</w:t>
      </w:r>
      <w:r w:rsidRPr="006B3796">
        <w:t xml:space="preserve"> be signposted in the Dictionary.</w:t>
      </w:r>
    </w:p>
    <w:p w:rsidR="00013D83" w:rsidRPr="006B3796" w:rsidRDefault="00013D83" w:rsidP="00013D83">
      <w:pPr>
        <w:pStyle w:val="Blocks"/>
      </w:pPr>
      <w:r w:rsidRPr="006B3796">
        <w:t>(However, a term that is used in the definition but defined elsewhere should be asterisked according to the normal rules about asterisking.)</w:t>
      </w:r>
    </w:p>
    <w:p w:rsidR="00013D83" w:rsidRPr="006B3796" w:rsidRDefault="00013D83" w:rsidP="00013D83">
      <w:pPr>
        <w:pStyle w:val="Body"/>
      </w:pPr>
      <w:r w:rsidRPr="006B3796">
        <w:rPr>
          <w:noProof/>
        </w:rPr>
        <w:t>21</w:t>
      </w:r>
      <w:r w:rsidRPr="006B3796">
        <w:t>.</w:t>
      </w:r>
      <w:r w:rsidRPr="006B3796">
        <w:tab/>
        <w:t>For example, if an abbreviation of a defined term is used in a formula (to save space) and the abbreviation is spelt out in a definition in the subsection containing the formula:</w:t>
      </w:r>
    </w:p>
    <w:p w:rsidR="00013D83" w:rsidRPr="006B3796" w:rsidRDefault="00013D83" w:rsidP="00013D83">
      <w:pPr>
        <w:pStyle w:val="Blocks"/>
        <w:numPr>
          <w:ilvl w:val="0"/>
          <w:numId w:val="3"/>
        </w:numPr>
      </w:pPr>
      <w:r w:rsidRPr="006B3796">
        <w:t xml:space="preserve">the occurrence of the abbreviation in the formula should </w:t>
      </w:r>
      <w:r w:rsidRPr="006B3796">
        <w:rPr>
          <w:i/>
        </w:rPr>
        <w:t>not</w:t>
      </w:r>
      <w:r w:rsidRPr="006B3796">
        <w:t xml:space="preserve"> be asterisked; and</w:t>
      </w:r>
    </w:p>
    <w:p w:rsidR="00013D83" w:rsidRPr="006B3796" w:rsidRDefault="00013D83" w:rsidP="00013D83">
      <w:pPr>
        <w:pStyle w:val="Blocks"/>
        <w:numPr>
          <w:ilvl w:val="0"/>
          <w:numId w:val="3"/>
        </w:numPr>
      </w:pPr>
      <w:r w:rsidRPr="006B3796">
        <w:t xml:space="preserve">the definition spelling out the abbreviation should </w:t>
      </w:r>
      <w:r w:rsidRPr="006B3796">
        <w:rPr>
          <w:i/>
        </w:rPr>
        <w:t>not</w:t>
      </w:r>
      <w:r w:rsidRPr="006B3796">
        <w:t xml:space="preserve"> be signposted in the dictionary; but</w:t>
      </w:r>
    </w:p>
    <w:p w:rsidR="00013D83" w:rsidRPr="006B3796" w:rsidRDefault="00013D83" w:rsidP="00013D83">
      <w:pPr>
        <w:pStyle w:val="Blocks"/>
        <w:numPr>
          <w:ilvl w:val="0"/>
          <w:numId w:val="3"/>
        </w:numPr>
      </w:pPr>
      <w:r w:rsidRPr="006B3796">
        <w:t>the occurrence (in full) of the defined term in the definition of the abbreviation should be asterisked.</w:t>
      </w:r>
    </w:p>
    <w:p w:rsidR="00013D83" w:rsidRPr="006B3796" w:rsidRDefault="00013D83" w:rsidP="00013D83">
      <w:pPr>
        <w:pStyle w:val="Body"/>
      </w:pPr>
      <w:r w:rsidRPr="006B3796">
        <w:t>Example:</w:t>
      </w:r>
    </w:p>
    <w:p w:rsidR="00013D83" w:rsidRPr="006B3796" w:rsidRDefault="00013D83" w:rsidP="00013D83">
      <w:pPr>
        <w:pStyle w:val="subsection"/>
        <w:rPr>
          <w:b/>
        </w:rPr>
      </w:pPr>
      <w:r w:rsidRPr="006B3796">
        <w:rPr>
          <w:b/>
        </w:rPr>
        <w:tab/>
      </w:r>
      <w:r w:rsidRPr="006B3796">
        <w:rPr>
          <w:b/>
        </w:rPr>
        <w:tab/>
      </w:r>
      <w:r w:rsidRPr="006B3796">
        <w:t xml:space="preserve">If your </w:t>
      </w:r>
      <w:r w:rsidR="002860B3" w:rsidRPr="002860B3">
        <w:rPr>
          <w:position w:val="6"/>
          <w:sz w:val="16"/>
        </w:rPr>
        <w:t>*</w:t>
      </w:r>
      <w:r w:rsidRPr="006B3796">
        <w:t>non</w:t>
      </w:r>
      <w:r w:rsidR="002860B3">
        <w:noBreakHyphen/>
      </w:r>
      <w:r w:rsidRPr="006B3796">
        <w:t>PP taxable income exceeds $5,000, work out your</w:t>
      </w:r>
      <w:r w:rsidRPr="006B3796">
        <w:rPr>
          <w:b/>
        </w:rPr>
        <w:t xml:space="preserve"> </w:t>
      </w:r>
      <w:r w:rsidRPr="006B3796">
        <w:rPr>
          <w:b/>
          <w:i/>
        </w:rPr>
        <w:t>averaging adjustment</w:t>
      </w:r>
      <w:r w:rsidRPr="006B3796">
        <w:rPr>
          <w:b/>
        </w:rPr>
        <w:t xml:space="preserve"> </w:t>
      </w:r>
      <w:r w:rsidRPr="006B3796">
        <w:t>using the formula:</w:t>
      </w:r>
    </w:p>
    <w:p w:rsidR="00013D83" w:rsidRPr="006B3796" w:rsidRDefault="00E970F9" w:rsidP="00013D83">
      <w:pPr>
        <w:pStyle w:val="Formula"/>
      </w:pPr>
      <w:r w:rsidRPr="00E970F9">
        <w:rPr>
          <w:position w:val="-32"/>
        </w:rPr>
        <w:object w:dxaOrig="5000" w:dyaOrig="10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9.75pt;height:51.75pt" o:ole="" fillcolor="window">
            <v:imagedata r:id="rId8" o:title=""/>
          </v:shape>
          <o:OLEObject Type="Embed" ProgID="Equation.DSMT4" ShapeID="_x0000_i1025" DrawAspect="Content" ObjectID="_1758613957" r:id="rId9"/>
        </w:object>
      </w:r>
    </w:p>
    <w:p w:rsidR="00013D83" w:rsidRPr="006B3796" w:rsidRDefault="00013D83" w:rsidP="00013D83">
      <w:pPr>
        <w:pStyle w:val="subsection"/>
      </w:pPr>
      <w:r w:rsidRPr="006B3796">
        <w:tab/>
      </w:r>
      <w:r w:rsidRPr="006B3796">
        <w:tab/>
        <w:t>where:</w:t>
      </w:r>
    </w:p>
    <w:p w:rsidR="00013D83" w:rsidRPr="006B3796" w:rsidRDefault="00013D83" w:rsidP="00013D83">
      <w:pPr>
        <w:pStyle w:val="Definition"/>
      </w:pPr>
      <w:r w:rsidRPr="006B3796">
        <w:rPr>
          <w:b/>
          <w:i/>
        </w:rPr>
        <w:t>BTI</w:t>
      </w:r>
      <w:r w:rsidRPr="006B3796">
        <w:t xml:space="preserve"> is your </w:t>
      </w:r>
      <w:r w:rsidR="002860B3" w:rsidRPr="002860B3">
        <w:rPr>
          <w:position w:val="6"/>
          <w:sz w:val="16"/>
        </w:rPr>
        <w:t>*</w:t>
      </w:r>
      <w:r w:rsidRPr="006B3796">
        <w:t>basic taxable income.</w:t>
      </w:r>
    </w:p>
    <w:p w:rsidR="00013D83" w:rsidRPr="006B3796" w:rsidRDefault="00013D83" w:rsidP="00013D83">
      <w:pPr>
        <w:pStyle w:val="Definition"/>
      </w:pPr>
      <w:r w:rsidRPr="006B3796">
        <w:rPr>
          <w:b/>
          <w:i/>
        </w:rPr>
        <w:lastRenderedPageBreak/>
        <w:t>discounted income</w:t>
      </w:r>
      <w:r w:rsidRPr="006B3796">
        <w:t xml:space="preserve"> is the amount worked out under </w:t>
      </w:r>
      <w:r w:rsidR="002860B3">
        <w:t>section 3</w:t>
      </w:r>
      <w:r w:rsidRPr="006B3796">
        <w:t>92</w:t>
      </w:r>
      <w:r w:rsidR="002860B3">
        <w:noBreakHyphen/>
      </w:r>
      <w:r w:rsidRPr="006B3796">
        <w:t>120.</w:t>
      </w:r>
    </w:p>
    <w:p w:rsidR="00013D83" w:rsidRPr="006B3796" w:rsidRDefault="00013D83" w:rsidP="00013D83">
      <w:pPr>
        <w:pStyle w:val="Body"/>
      </w:pPr>
      <w:r w:rsidRPr="006B3796">
        <w:t>....................................................</w:t>
      </w:r>
    </w:p>
    <w:p w:rsidR="00013D83" w:rsidRPr="006B3796" w:rsidRDefault="00013D83" w:rsidP="00013D83">
      <w:pPr>
        <w:pStyle w:val="Special3"/>
      </w:pPr>
      <w:r w:rsidRPr="006B3796">
        <w:t>Signposts for locating the definition</w:t>
      </w:r>
    </w:p>
    <w:p w:rsidR="00013D83" w:rsidRPr="006B3796" w:rsidRDefault="00013D83" w:rsidP="00013D83">
      <w:pPr>
        <w:pStyle w:val="Body"/>
      </w:pPr>
      <w:r w:rsidRPr="006B3796">
        <w:rPr>
          <w:noProof/>
        </w:rPr>
        <w:t>23</w:t>
      </w:r>
      <w:r w:rsidRPr="006B3796">
        <w:t>.</w:t>
      </w:r>
      <w:r w:rsidRPr="006B3796">
        <w:tab/>
        <w:t xml:space="preserve">Each page of the </w:t>
      </w:r>
      <w:r w:rsidRPr="006B3796">
        <w:rPr>
          <w:i/>
        </w:rPr>
        <w:t>Income Tax Assessment Act 1997</w:t>
      </w:r>
      <w:r w:rsidRPr="006B3796">
        <w:t xml:space="preserve"> has a footer in this form:</w:t>
      </w:r>
    </w:p>
    <w:p w:rsidR="00013D83" w:rsidRPr="006B3796" w:rsidRDefault="00013D83" w:rsidP="00013D83"/>
    <w:p w:rsidR="00013D83" w:rsidRPr="006B3796" w:rsidRDefault="00013D83" w:rsidP="00013D83">
      <w:pPr>
        <w:pStyle w:val="FootnoteText"/>
        <w:keepNext/>
        <w:rPr>
          <w:position w:val="10"/>
          <w:sz w:val="16"/>
        </w:rPr>
      </w:pPr>
      <w:r w:rsidRPr="006B3796">
        <w:rPr>
          <w:position w:val="10"/>
          <w:sz w:val="16"/>
        </w:rPr>
        <w:t>_____________________________________</w:t>
      </w:r>
    </w:p>
    <w:p w:rsidR="00013D83" w:rsidRPr="006B3796" w:rsidRDefault="002860B3" w:rsidP="00013D83">
      <w:pPr>
        <w:pStyle w:val="FootnoteText"/>
        <w:keepNext/>
        <w:spacing w:after="120"/>
      </w:pPr>
      <w:r w:rsidRPr="002860B3">
        <w:rPr>
          <w:position w:val="6"/>
          <w:sz w:val="16"/>
        </w:rPr>
        <w:t>*</w:t>
      </w:r>
      <w:r w:rsidR="00013D83" w:rsidRPr="006B3796">
        <w:t xml:space="preserve">To find definitions of asterisked terms, see the Dictionary, starting at </w:t>
      </w:r>
      <w:r>
        <w:t>section 9</w:t>
      </w:r>
      <w:r w:rsidR="00013D83" w:rsidRPr="006B3796">
        <w:t>95</w:t>
      </w:r>
      <w:r>
        <w:noBreakHyphen/>
      </w:r>
      <w:r w:rsidR="00013D83" w:rsidRPr="006B3796">
        <w:t>1.</w:t>
      </w:r>
    </w:p>
    <w:p w:rsidR="00013D83" w:rsidRPr="006B3796" w:rsidRDefault="00013D83" w:rsidP="00013D83">
      <w:pPr>
        <w:pStyle w:val="Footer"/>
        <w:pBdr>
          <w:top w:val="single" w:sz="6" w:space="1" w:color="auto"/>
        </w:pBdr>
        <w:ind w:right="-1" w:firstLine="360"/>
        <w:rPr>
          <w:i/>
          <w:sz w:val="18"/>
        </w:rPr>
      </w:pPr>
    </w:p>
    <w:p w:rsidR="00013D83" w:rsidRPr="006B3796" w:rsidRDefault="00013D83" w:rsidP="00013D83">
      <w:pPr>
        <w:pStyle w:val="Footer"/>
        <w:ind w:right="-1"/>
        <w:jc w:val="right"/>
        <w:rPr>
          <w:i/>
          <w:sz w:val="18"/>
        </w:rPr>
      </w:pPr>
      <w:r w:rsidRPr="006B3796">
        <w:rPr>
          <w:i/>
          <w:sz w:val="18"/>
        </w:rPr>
        <w:t>Income Tax Assessment Act 1997      No.  38 , 1997         5</w:t>
      </w:r>
    </w:p>
    <w:p w:rsidR="00013D83" w:rsidRPr="006B3796" w:rsidRDefault="00013D83" w:rsidP="00013D83">
      <w:pPr>
        <w:pStyle w:val="Body"/>
      </w:pPr>
      <w:r w:rsidRPr="006B3796">
        <w:rPr>
          <w:noProof/>
        </w:rPr>
        <w:t>24</w:t>
      </w:r>
      <w:r w:rsidRPr="006B3796">
        <w:t>.</w:t>
      </w:r>
      <w:r w:rsidRPr="006B3796">
        <w:tab/>
        <w:t xml:space="preserve">This footer is the first stage in signposting from the asterisked defined term to the actual definition. </w:t>
      </w:r>
    </w:p>
    <w:p w:rsidR="00013D83" w:rsidRPr="006B3796" w:rsidRDefault="00013D83" w:rsidP="00013D83">
      <w:pPr>
        <w:pStyle w:val="Body"/>
      </w:pPr>
      <w:r w:rsidRPr="006B3796">
        <w:rPr>
          <w:noProof/>
        </w:rPr>
        <w:t>25</w:t>
      </w:r>
      <w:r w:rsidRPr="006B3796">
        <w:t>.</w:t>
      </w:r>
      <w:r w:rsidRPr="006B3796">
        <w:tab/>
        <w:t xml:space="preserve">The definitions in the Dictionary in </w:t>
      </w:r>
      <w:r w:rsidR="002860B3">
        <w:t>section 9</w:t>
      </w:r>
      <w:r w:rsidRPr="006B3796">
        <w:t>95</w:t>
      </w:r>
      <w:r w:rsidR="002860B3">
        <w:noBreakHyphen/>
      </w:r>
      <w:r w:rsidRPr="006B3796">
        <w:t>1 are of 2 basic kinds:</w:t>
      </w:r>
    </w:p>
    <w:p w:rsidR="00013D83" w:rsidRPr="006B3796" w:rsidRDefault="00013D83" w:rsidP="00013D83">
      <w:pPr>
        <w:pStyle w:val="Blocks"/>
        <w:numPr>
          <w:ilvl w:val="0"/>
          <w:numId w:val="3"/>
        </w:numPr>
      </w:pPr>
      <w:r w:rsidRPr="006B3796">
        <w:t>“Real definitions”, which give the reader the definition of the asterisked term.</w:t>
      </w:r>
    </w:p>
    <w:p w:rsidR="00013D83" w:rsidRPr="006B3796" w:rsidRDefault="00013D83" w:rsidP="00013D83">
      <w:pPr>
        <w:pStyle w:val="Blocks"/>
        <w:numPr>
          <w:ilvl w:val="0"/>
          <w:numId w:val="3"/>
        </w:numPr>
      </w:pPr>
      <w:r w:rsidRPr="006B3796">
        <w:t xml:space="preserve">Signpost definitions, which refer the reader on to “just in time” definitions located elsewhere in the Bill, or to definitions in other legislation, usually the </w:t>
      </w:r>
      <w:r w:rsidRPr="006B3796">
        <w:rPr>
          <w:i/>
        </w:rPr>
        <w:t>Income Tax Assessment Act 1936.</w:t>
      </w:r>
      <w:r w:rsidRPr="006B3796">
        <w:t xml:space="preserve"> (Every term that is not itself defined in the Dictionary should have a signpost definition there.)</w:t>
      </w:r>
    </w:p>
    <w:p w:rsidR="00013D83" w:rsidRPr="006B3796" w:rsidRDefault="00013D83" w:rsidP="00013D83">
      <w:pPr>
        <w:pStyle w:val="Blocks"/>
      </w:pPr>
      <w:r w:rsidRPr="006B3796">
        <w:t xml:space="preserve">Sometimes a term defined in another Act is to be used in the </w:t>
      </w:r>
      <w:r w:rsidRPr="006B3796">
        <w:rPr>
          <w:i/>
        </w:rPr>
        <w:t>Income Tax Assessment Act 1997</w:t>
      </w:r>
      <w:r w:rsidRPr="006B3796">
        <w:t xml:space="preserve"> with the same meaning as in the other Act but the definition of the term is not appropriate for the whole of the 1997 Act (usually because the term is already used elsewhere in the 1997 Act with a different meaning). The appropriate course here is simply to refer to the term as defined in the other Act:</w:t>
      </w:r>
    </w:p>
    <w:p w:rsidR="00013D83" w:rsidRPr="006B3796" w:rsidRDefault="00013D83" w:rsidP="00013D83">
      <w:pPr>
        <w:pStyle w:val="Blocks"/>
      </w:pPr>
      <w:r w:rsidRPr="006B3796">
        <w:tab/>
        <w:t xml:space="preserve">“... if he or she is a dependant child (within the meaning of the </w:t>
      </w:r>
      <w:r w:rsidRPr="006B3796">
        <w:rPr>
          <w:i/>
        </w:rPr>
        <w:t>Dependant Children Act 1901</w:t>
      </w:r>
      <w:r w:rsidRPr="006B3796">
        <w:t>)”. The term does not then need to be included in the Dictionary, so questions of asterisking it do not arise. This case is a limited exception to the “one expression, one meaning” rule.</w:t>
      </w:r>
    </w:p>
    <w:p w:rsidR="00013D83" w:rsidRPr="006B3796" w:rsidRDefault="00013D83" w:rsidP="00013D83">
      <w:pPr>
        <w:pStyle w:val="Body"/>
      </w:pPr>
      <w:r w:rsidRPr="006B3796">
        <w:rPr>
          <w:noProof/>
        </w:rPr>
        <w:t>26</w:t>
      </w:r>
      <w:r w:rsidRPr="006B3796">
        <w:t>.</w:t>
      </w:r>
      <w:r w:rsidRPr="006B3796">
        <w:tab/>
        <w:t xml:space="preserve">It is TLIP drafting policy to use “just in time” definitions wherever possible: in other words, to find the point in the narrative structure where the definition is most useful to the reader. The fact that the term is used in other areas of the law is </w:t>
      </w:r>
      <w:r w:rsidRPr="006B3796">
        <w:rPr>
          <w:i/>
        </w:rPr>
        <w:t>not</w:t>
      </w:r>
      <w:r w:rsidRPr="006B3796">
        <w:t xml:space="preserve"> a sufficient reason for putting the definition somewhere else. If the definition is integral to 2 or more areas, it should be put in the area that is most commonly used or with which it has the closest connection.</w:t>
      </w:r>
    </w:p>
    <w:p w:rsidR="00013D83" w:rsidRPr="006B3796" w:rsidRDefault="00013D83" w:rsidP="00013D83">
      <w:pPr>
        <w:pStyle w:val="Body"/>
      </w:pPr>
      <w:r w:rsidRPr="006B3796">
        <w:rPr>
          <w:noProof/>
        </w:rPr>
        <w:t>27</w:t>
      </w:r>
      <w:r w:rsidRPr="006B3796">
        <w:t>.</w:t>
      </w:r>
      <w:r w:rsidRPr="006B3796">
        <w:tab/>
        <w:t>A term that has no particular affinity with any area of the new law will be defined in the Dictionary.</w:t>
      </w:r>
    </w:p>
    <w:p w:rsidR="00013D83" w:rsidRPr="006B3796" w:rsidRDefault="00013D83" w:rsidP="00013D83">
      <w:pPr>
        <w:pStyle w:val="Special3"/>
      </w:pPr>
      <w:r w:rsidRPr="006B3796">
        <w:t>Matching the defined term with the Dictionary definition</w:t>
      </w:r>
    </w:p>
    <w:p w:rsidR="00013D83" w:rsidRPr="006B3796" w:rsidRDefault="00013D83" w:rsidP="00013D83">
      <w:pPr>
        <w:pStyle w:val="Body"/>
      </w:pPr>
      <w:r w:rsidRPr="006B3796">
        <w:rPr>
          <w:noProof/>
        </w:rPr>
        <w:t>28</w:t>
      </w:r>
      <w:r w:rsidRPr="006B3796">
        <w:t>.</w:t>
      </w:r>
      <w:r w:rsidRPr="006B3796">
        <w:tab/>
        <w:t>The aim is for the reader to find the defined term in the Dictionary as easily as possible. This can present problems for the drafter if the term:</w:t>
      </w:r>
    </w:p>
    <w:p w:rsidR="00013D83" w:rsidRPr="006B3796" w:rsidRDefault="00013D83" w:rsidP="00013D83">
      <w:pPr>
        <w:pStyle w:val="Blocks"/>
        <w:numPr>
          <w:ilvl w:val="0"/>
          <w:numId w:val="3"/>
        </w:numPr>
        <w:ind w:left="720"/>
      </w:pPr>
      <w:r w:rsidRPr="006B3796">
        <w:t xml:space="preserve">has a number of elements in its name (for example, </w:t>
      </w:r>
      <w:r w:rsidRPr="006B3796">
        <w:rPr>
          <w:b/>
          <w:i/>
        </w:rPr>
        <w:t>purpose of producing assessable income</w:t>
      </w:r>
      <w:r w:rsidRPr="006B3796">
        <w:t>); or</w:t>
      </w:r>
    </w:p>
    <w:p w:rsidR="00013D83" w:rsidRPr="006B3796" w:rsidRDefault="00013D83" w:rsidP="00013D83">
      <w:pPr>
        <w:pStyle w:val="Blocks"/>
        <w:numPr>
          <w:ilvl w:val="0"/>
          <w:numId w:val="3"/>
        </w:numPr>
        <w:ind w:left="720"/>
      </w:pPr>
      <w:r w:rsidRPr="006B3796">
        <w:t xml:space="preserve">is a composite expression or relative term (for example, the uses of </w:t>
      </w:r>
      <w:r w:rsidRPr="006B3796">
        <w:rPr>
          <w:b/>
          <w:i/>
        </w:rPr>
        <w:t>provide</w:t>
      </w:r>
      <w:r w:rsidRPr="006B3796">
        <w:t xml:space="preserve"> described [below at paragraphs 30</w:t>
      </w:r>
      <w:r w:rsidR="002860B3">
        <w:noBreakHyphen/>
      </w:r>
      <w:r w:rsidRPr="006B3796">
        <w:t>32]).</w:t>
      </w:r>
    </w:p>
    <w:p w:rsidR="00013D83" w:rsidRPr="006B3796" w:rsidRDefault="00013D83" w:rsidP="00013D83">
      <w:pPr>
        <w:pStyle w:val="Body"/>
      </w:pPr>
      <w:r w:rsidRPr="006B3796">
        <w:rPr>
          <w:noProof/>
        </w:rPr>
        <w:lastRenderedPageBreak/>
        <w:t>29</w:t>
      </w:r>
      <w:r w:rsidRPr="006B3796">
        <w:t>.</w:t>
      </w:r>
      <w:r w:rsidRPr="006B3796">
        <w:tab/>
        <w:t>For relative terms, the old form that used “in relation to” one or more times is to be avoided wherever possible. Example of how this can be done are:</w:t>
      </w:r>
    </w:p>
    <w:p w:rsidR="00013D83" w:rsidRPr="006B3796" w:rsidRDefault="00013D83" w:rsidP="00013D83">
      <w:pPr>
        <w:pStyle w:val="Definition"/>
      </w:pPr>
      <w:r w:rsidRPr="006B3796">
        <w:rPr>
          <w:b/>
          <w:i/>
        </w:rPr>
        <w:t xml:space="preserve">relative </w:t>
      </w:r>
      <w:r w:rsidRPr="006B3796">
        <w:t>of a person means:</w:t>
      </w:r>
    </w:p>
    <w:p w:rsidR="00013D83" w:rsidRPr="006B3796" w:rsidRDefault="00013D83" w:rsidP="00013D83">
      <w:pPr>
        <w:pStyle w:val="paragraph"/>
      </w:pPr>
      <w:r w:rsidRPr="006B3796">
        <w:tab/>
        <w:t>(a)</w:t>
      </w:r>
      <w:r w:rsidRPr="006B3796">
        <w:tab/>
        <w:t xml:space="preserve">the person’s </w:t>
      </w:r>
      <w:r w:rsidR="002860B3" w:rsidRPr="002860B3">
        <w:rPr>
          <w:position w:val="6"/>
          <w:sz w:val="16"/>
        </w:rPr>
        <w:t>*</w:t>
      </w:r>
      <w:r w:rsidRPr="006B3796">
        <w:t>spouse; or ....</w:t>
      </w:r>
    </w:p>
    <w:p w:rsidR="00013D83" w:rsidRPr="006B3796" w:rsidRDefault="00013D83" w:rsidP="00013D83">
      <w:pPr>
        <w:pStyle w:val="Definition"/>
      </w:pPr>
      <w:r w:rsidRPr="006B3796">
        <w:rPr>
          <w:b/>
          <w:i/>
        </w:rPr>
        <w:t>quasi</w:t>
      </w:r>
      <w:r w:rsidR="002860B3">
        <w:rPr>
          <w:b/>
          <w:i/>
        </w:rPr>
        <w:noBreakHyphen/>
      </w:r>
      <w:r w:rsidRPr="006B3796">
        <w:rPr>
          <w:b/>
          <w:i/>
        </w:rPr>
        <w:t>ownership right</w:t>
      </w:r>
      <w:r w:rsidRPr="006B3796">
        <w:t xml:space="preserve"> over land means:</w:t>
      </w:r>
    </w:p>
    <w:p w:rsidR="00013D83" w:rsidRPr="006B3796" w:rsidRDefault="00013D83" w:rsidP="00013D83">
      <w:pPr>
        <w:pStyle w:val="paragraph"/>
      </w:pPr>
      <w:r w:rsidRPr="006B3796">
        <w:tab/>
        <w:t>(a)</w:t>
      </w:r>
      <w:r w:rsidRPr="006B3796">
        <w:tab/>
        <w:t>a lease of the land; or ...</w:t>
      </w:r>
    </w:p>
    <w:p w:rsidR="00013D83" w:rsidRPr="006B3796" w:rsidRDefault="00013D83" w:rsidP="00013D83">
      <w:pPr>
        <w:pStyle w:val="Body"/>
      </w:pPr>
      <w:r w:rsidRPr="006B3796">
        <w:rPr>
          <w:noProof/>
        </w:rPr>
        <w:t>30</w:t>
      </w:r>
      <w:r w:rsidRPr="006B3796">
        <w:t>.</w:t>
      </w:r>
      <w:r w:rsidRPr="006B3796">
        <w:tab/>
        <w:t xml:space="preserve">The </w:t>
      </w:r>
      <w:r w:rsidRPr="006B3796">
        <w:rPr>
          <w:b/>
          <w:i/>
        </w:rPr>
        <w:t>provide</w:t>
      </w:r>
      <w:r w:rsidRPr="006B3796">
        <w:t xml:space="preserve"> example is more difficult. The actual definitions of the different aspects of the term may be elsewhere in the new law. The question is how to draft appropriate signposts.</w:t>
      </w:r>
    </w:p>
    <w:p w:rsidR="00013D83" w:rsidRPr="006B3796" w:rsidRDefault="00013D83" w:rsidP="00013D83">
      <w:pPr>
        <w:pStyle w:val="Body"/>
      </w:pPr>
      <w:r w:rsidRPr="006B3796">
        <w:rPr>
          <w:noProof/>
        </w:rPr>
        <w:t>31</w:t>
      </w:r>
      <w:r w:rsidRPr="006B3796">
        <w:t>.</w:t>
      </w:r>
      <w:r w:rsidRPr="006B3796">
        <w:tab/>
        <w:t>In this situation, you should create a single signpost, as follows:</w:t>
      </w:r>
    </w:p>
    <w:p w:rsidR="00013D83" w:rsidRPr="006B3796" w:rsidRDefault="00013D83" w:rsidP="00013D83">
      <w:pPr>
        <w:pStyle w:val="Definition"/>
      </w:pPr>
      <w:r w:rsidRPr="006B3796">
        <w:rPr>
          <w:b/>
          <w:i/>
        </w:rPr>
        <w:t>provide</w:t>
      </w:r>
      <w:r w:rsidRPr="006B3796">
        <w:t>:</w:t>
      </w:r>
    </w:p>
    <w:p w:rsidR="00013D83" w:rsidRPr="006B3796" w:rsidRDefault="00013D83" w:rsidP="00013D83">
      <w:pPr>
        <w:pStyle w:val="paragraph"/>
      </w:pPr>
      <w:r w:rsidRPr="006B3796">
        <w:tab/>
        <w:t>(a)</w:t>
      </w:r>
      <w:r w:rsidRPr="006B3796">
        <w:tab/>
        <w:t xml:space="preserve">for entertainment—has the meaning given by </w:t>
      </w:r>
      <w:r w:rsidR="002860B3">
        <w:t>section 3</w:t>
      </w:r>
      <w:r w:rsidRPr="006B3796">
        <w:t>2</w:t>
      </w:r>
      <w:r w:rsidR="002860B3">
        <w:noBreakHyphen/>
      </w:r>
      <w:r w:rsidRPr="006B3796">
        <w:t>6; and</w:t>
      </w:r>
    </w:p>
    <w:p w:rsidR="00013D83" w:rsidRPr="006B3796" w:rsidRDefault="00013D83" w:rsidP="00013D83">
      <w:pPr>
        <w:pStyle w:val="paragraph"/>
      </w:pPr>
      <w:r w:rsidRPr="006B3796">
        <w:tab/>
        <w:t>(b)</w:t>
      </w:r>
      <w:r w:rsidRPr="006B3796">
        <w:tab/>
        <w:t xml:space="preserve">for a fringe benefit—has the meaning given by </w:t>
      </w:r>
      <w:r w:rsidR="002860B3">
        <w:t>subsection 1</w:t>
      </w:r>
      <w:r w:rsidRPr="006B3796">
        <w:t xml:space="preserve">36(1) of the </w:t>
      </w:r>
      <w:r w:rsidRPr="006B3796">
        <w:rPr>
          <w:i/>
        </w:rPr>
        <w:t>Fringe Benefits Tax Assessment Act 1986</w:t>
      </w:r>
      <w:r w:rsidRPr="006B3796">
        <w:t>.</w:t>
      </w:r>
    </w:p>
    <w:p w:rsidR="00013D83" w:rsidRPr="006B3796" w:rsidRDefault="00013D83" w:rsidP="00013D83">
      <w:pPr>
        <w:pStyle w:val="Body"/>
      </w:pPr>
      <w:r w:rsidRPr="006B3796">
        <w:rPr>
          <w:noProof/>
        </w:rPr>
        <w:t>33</w:t>
      </w:r>
      <w:r w:rsidRPr="006B3796">
        <w:t>.</w:t>
      </w:r>
      <w:r w:rsidRPr="006B3796">
        <w:tab/>
        <w:t>Follow whichever approach or combination of approaches best promotes the aim of leading the reader quickly to the necessary information. The choice should not be driven by merely theoretical considerations such as whether there are 2 concepts involved, as opposed to 2 aspects of a larger concept.</w:t>
      </w:r>
    </w:p>
    <w:p w:rsidR="00013D83" w:rsidRPr="006B3796" w:rsidRDefault="00013D83" w:rsidP="00013D83">
      <w:pPr>
        <w:pStyle w:val="Body"/>
      </w:pPr>
      <w:r w:rsidRPr="006B3796">
        <w:rPr>
          <w:noProof/>
        </w:rPr>
        <w:t>34</w:t>
      </w:r>
      <w:r w:rsidRPr="006B3796">
        <w:t>.</w:t>
      </w:r>
      <w:r w:rsidRPr="006B3796">
        <w:tab/>
        <w:t>There will be cases where, in order to make it easier to match the defined term with the Dictionary definition, it is appropriate to reshape the term (this will mean changing what is in bold italics in the actual definition).</w:t>
      </w:r>
    </w:p>
    <w:p w:rsidR="00013D83" w:rsidRPr="006B3796" w:rsidRDefault="00013D83" w:rsidP="00013D83">
      <w:pPr>
        <w:pStyle w:val="Special3"/>
      </w:pPr>
      <w:r w:rsidRPr="006B3796">
        <w:t>Signpost definitions referring to more than one section</w:t>
      </w:r>
    </w:p>
    <w:p w:rsidR="00013D83" w:rsidRPr="006B3796" w:rsidRDefault="00013D83" w:rsidP="00013D83">
      <w:pPr>
        <w:pStyle w:val="Body"/>
      </w:pPr>
      <w:r w:rsidRPr="006B3796">
        <w:rPr>
          <w:noProof/>
        </w:rPr>
        <w:t>35</w:t>
      </w:r>
      <w:r w:rsidRPr="006B3796">
        <w:t>.</w:t>
      </w:r>
      <w:r w:rsidRPr="006B3796">
        <w:tab/>
        <w:t>Consider this example:</w:t>
      </w:r>
    </w:p>
    <w:p w:rsidR="00013D83" w:rsidRPr="006B3796" w:rsidRDefault="00013D83" w:rsidP="00013D83">
      <w:pPr>
        <w:pStyle w:val="Definition"/>
      </w:pPr>
      <w:r w:rsidRPr="006B3796">
        <w:rPr>
          <w:b/>
          <w:i/>
        </w:rPr>
        <w:t>taxable income</w:t>
      </w:r>
      <w:r w:rsidRPr="006B3796">
        <w:t xml:space="preserve"> has the meaning given by </w:t>
      </w:r>
      <w:r w:rsidR="002860B3">
        <w:t>sections 4</w:t>
      </w:r>
      <w:r w:rsidR="002860B3">
        <w:noBreakHyphen/>
      </w:r>
      <w:r w:rsidRPr="006B3796">
        <w:t>15 and 165</w:t>
      </w:r>
      <w:r w:rsidR="002860B3">
        <w:noBreakHyphen/>
      </w:r>
      <w:r w:rsidRPr="006B3796">
        <w:t>65.</w:t>
      </w:r>
    </w:p>
    <w:p w:rsidR="00013D83" w:rsidRPr="006B3796" w:rsidRDefault="00013D83" w:rsidP="00013D83">
      <w:pPr>
        <w:pStyle w:val="Body"/>
      </w:pPr>
      <w:r w:rsidRPr="006B3796">
        <w:rPr>
          <w:noProof/>
        </w:rPr>
        <w:t>36</w:t>
      </w:r>
      <w:r w:rsidRPr="006B3796">
        <w:t>.</w:t>
      </w:r>
      <w:r w:rsidRPr="006B3796">
        <w:tab/>
        <w:t xml:space="preserve">The main rules about working out taxable income are in </w:t>
      </w:r>
      <w:r w:rsidR="002860B3">
        <w:t>section 4</w:t>
      </w:r>
      <w:r w:rsidR="002860B3">
        <w:noBreakHyphen/>
      </w:r>
      <w:r w:rsidRPr="006B3796">
        <w:t xml:space="preserve">15. </w:t>
      </w:r>
      <w:r w:rsidR="002860B3">
        <w:t>Section 1</w:t>
      </w:r>
      <w:r w:rsidRPr="006B3796">
        <w:t>65</w:t>
      </w:r>
      <w:r w:rsidR="002860B3">
        <w:noBreakHyphen/>
      </w:r>
      <w:r w:rsidRPr="006B3796">
        <w:t xml:space="preserve">65 deals with a special case where the rules in </w:t>
      </w:r>
      <w:r w:rsidR="002860B3">
        <w:t>section 4</w:t>
      </w:r>
      <w:r w:rsidR="002860B3">
        <w:noBreakHyphen/>
      </w:r>
      <w:r w:rsidRPr="006B3796">
        <w:t xml:space="preserve">15 don’t apply. So between them, the 2 sections determine what the expression refers to in particular cases. As other special rules for working out taxable income are added to the rewritten law, the signpost definition will need amending so that it continues to set out a complete list. Note that there is no departure here from the principle that a term should only have one meaning. </w:t>
      </w:r>
      <w:r w:rsidRPr="006B3796">
        <w:rPr>
          <w:b/>
          <w:i/>
        </w:rPr>
        <w:t>Taxable income</w:t>
      </w:r>
      <w:r w:rsidRPr="006B3796">
        <w:t xml:space="preserve"> is a single concept, whose application is determined by different rules in different cases.</w:t>
      </w:r>
    </w:p>
    <w:p w:rsidR="00013D83" w:rsidRPr="006B3796" w:rsidRDefault="00013D83" w:rsidP="00013D83">
      <w:pPr>
        <w:pStyle w:val="Body"/>
      </w:pPr>
      <w:r w:rsidRPr="006B3796">
        <w:rPr>
          <w:noProof/>
        </w:rPr>
        <w:t>37</w:t>
      </w:r>
      <w:r w:rsidRPr="006B3796">
        <w:t>.</w:t>
      </w:r>
      <w:r w:rsidRPr="006B3796">
        <w:tab/>
        <w:t>Here is another example:</w:t>
      </w:r>
    </w:p>
    <w:p w:rsidR="00013D83" w:rsidRPr="006B3796" w:rsidRDefault="00013D83" w:rsidP="00013D83">
      <w:pPr>
        <w:pStyle w:val="Definition"/>
      </w:pPr>
      <w:r w:rsidRPr="006B3796">
        <w:rPr>
          <w:b/>
          <w:i/>
        </w:rPr>
        <w:t>termination value</w:t>
      </w:r>
      <w:r w:rsidRPr="006B3796">
        <w:t xml:space="preserve"> of property: for the purposes of a particular </w:t>
      </w:r>
      <w:r w:rsidR="002860B3" w:rsidRPr="002860B3">
        <w:rPr>
          <w:position w:val="6"/>
          <w:sz w:val="16"/>
        </w:rPr>
        <w:t>*</w:t>
      </w:r>
      <w:r w:rsidRPr="006B3796">
        <w:t xml:space="preserve">capital allowance, the </w:t>
      </w:r>
      <w:r w:rsidRPr="006B3796">
        <w:rPr>
          <w:b/>
          <w:i/>
        </w:rPr>
        <w:t>termination value</w:t>
      </w:r>
      <w:r w:rsidRPr="006B3796">
        <w:t xml:space="preserve"> of property is worked out as set out in the following table:</w:t>
      </w:r>
    </w:p>
    <w:p w:rsidR="00013D83" w:rsidRPr="006B3796" w:rsidRDefault="00013D83" w:rsidP="00013D83">
      <w:pPr>
        <w:pStyle w:val="Definition"/>
      </w:pPr>
    </w:p>
    <w:tbl>
      <w:tblPr>
        <w:tblW w:w="0" w:type="auto"/>
        <w:tblInd w:w="1245" w:type="dxa"/>
        <w:tblLayout w:type="fixed"/>
        <w:tblLook w:val="0000" w:firstRow="0" w:lastRow="0" w:firstColumn="0" w:lastColumn="0" w:noHBand="0" w:noVBand="0"/>
      </w:tblPr>
      <w:tblGrid>
        <w:gridCol w:w="706"/>
        <w:gridCol w:w="3037"/>
        <w:gridCol w:w="2208"/>
      </w:tblGrid>
      <w:tr w:rsidR="00013D83" w:rsidRPr="006B3796" w:rsidTr="001F3F21">
        <w:trPr>
          <w:cantSplit/>
          <w:trHeight w:val="240"/>
          <w:tblHeader/>
        </w:trPr>
        <w:tc>
          <w:tcPr>
            <w:tcW w:w="706" w:type="dxa"/>
            <w:tcBorders>
              <w:top w:val="single" w:sz="12" w:space="0" w:color="auto"/>
            </w:tcBorders>
          </w:tcPr>
          <w:p w:rsidR="00013D83" w:rsidRPr="006B3796" w:rsidRDefault="00013D83" w:rsidP="001F3F21">
            <w:pPr>
              <w:pStyle w:val="Tabletext"/>
              <w:keepNext/>
            </w:pPr>
            <w:r w:rsidRPr="006B3796">
              <w:rPr>
                <w:b/>
              </w:rPr>
              <w:lastRenderedPageBreak/>
              <w:t>Item</w:t>
            </w:r>
          </w:p>
        </w:tc>
        <w:tc>
          <w:tcPr>
            <w:tcW w:w="3037" w:type="dxa"/>
            <w:tcBorders>
              <w:top w:val="single" w:sz="12" w:space="0" w:color="auto"/>
            </w:tcBorders>
          </w:tcPr>
          <w:p w:rsidR="00013D83" w:rsidRPr="006B3796" w:rsidRDefault="00013D83" w:rsidP="001F3F21">
            <w:pPr>
              <w:pStyle w:val="Tabletext"/>
              <w:keepNext/>
            </w:pPr>
            <w:r w:rsidRPr="006B3796">
              <w:rPr>
                <w:b/>
              </w:rPr>
              <w:t>For this capital allowance:</w:t>
            </w:r>
          </w:p>
        </w:tc>
        <w:tc>
          <w:tcPr>
            <w:tcW w:w="2208" w:type="dxa"/>
            <w:tcBorders>
              <w:top w:val="single" w:sz="12" w:space="0" w:color="auto"/>
            </w:tcBorders>
          </w:tcPr>
          <w:p w:rsidR="00013D83" w:rsidRPr="006B3796" w:rsidRDefault="00013D83" w:rsidP="001F3F21">
            <w:pPr>
              <w:pStyle w:val="Tabletext"/>
              <w:keepNext/>
              <w:pageBreakBefore/>
            </w:pPr>
            <w:r w:rsidRPr="006B3796">
              <w:rPr>
                <w:b/>
              </w:rPr>
              <w:t>the rules for working out the termination value are in:</w:t>
            </w:r>
          </w:p>
        </w:tc>
      </w:tr>
      <w:tr w:rsidR="00013D83" w:rsidRPr="006B3796" w:rsidTr="001F3F21">
        <w:trPr>
          <w:cantSplit/>
        </w:trPr>
        <w:tc>
          <w:tcPr>
            <w:tcW w:w="706" w:type="dxa"/>
            <w:tcBorders>
              <w:top w:val="single" w:sz="12" w:space="0" w:color="auto"/>
            </w:tcBorders>
          </w:tcPr>
          <w:p w:rsidR="00013D83" w:rsidRPr="006B3796" w:rsidRDefault="00013D83" w:rsidP="001F3F21">
            <w:pPr>
              <w:pStyle w:val="Tabletext"/>
              <w:keepNext/>
            </w:pPr>
            <w:r w:rsidRPr="006B3796">
              <w:t>1.</w:t>
            </w:r>
          </w:p>
        </w:tc>
        <w:tc>
          <w:tcPr>
            <w:tcW w:w="3037" w:type="dxa"/>
            <w:tcBorders>
              <w:top w:val="single" w:sz="12" w:space="0" w:color="auto"/>
            </w:tcBorders>
          </w:tcPr>
          <w:p w:rsidR="00013D83" w:rsidRPr="006B3796" w:rsidRDefault="00013D83" w:rsidP="001F3F21">
            <w:pPr>
              <w:pStyle w:val="Tabletext"/>
              <w:keepNext/>
            </w:pPr>
            <w:r w:rsidRPr="006B3796">
              <w:t>Mining and quarrying: exploration or prospecting</w:t>
            </w:r>
          </w:p>
        </w:tc>
        <w:tc>
          <w:tcPr>
            <w:tcW w:w="2208" w:type="dxa"/>
            <w:tcBorders>
              <w:top w:val="single" w:sz="12" w:space="0" w:color="auto"/>
              <w:left w:val="nil"/>
            </w:tcBorders>
          </w:tcPr>
          <w:p w:rsidR="00013D83" w:rsidRPr="006B3796" w:rsidRDefault="002860B3" w:rsidP="001F3F21">
            <w:pPr>
              <w:pStyle w:val="Tabletext"/>
              <w:keepNext/>
            </w:pPr>
            <w:r>
              <w:t>section 3</w:t>
            </w:r>
            <w:r w:rsidR="00013D83" w:rsidRPr="006B3796">
              <w:t>30</w:t>
            </w:r>
            <w:r>
              <w:noBreakHyphen/>
            </w:r>
            <w:r w:rsidR="00013D83" w:rsidRPr="006B3796">
              <w:t>490</w:t>
            </w:r>
          </w:p>
        </w:tc>
      </w:tr>
      <w:tr w:rsidR="00013D83" w:rsidRPr="006B3796" w:rsidTr="001F3F21">
        <w:trPr>
          <w:cantSplit/>
        </w:trPr>
        <w:tc>
          <w:tcPr>
            <w:tcW w:w="706" w:type="dxa"/>
          </w:tcPr>
          <w:p w:rsidR="00013D83" w:rsidRPr="006B3796" w:rsidRDefault="00013D83" w:rsidP="001F3F21">
            <w:pPr>
              <w:pStyle w:val="Tabletext"/>
              <w:keepNext/>
            </w:pPr>
            <w:r w:rsidRPr="006B3796">
              <w:t>2.</w:t>
            </w:r>
          </w:p>
        </w:tc>
        <w:tc>
          <w:tcPr>
            <w:tcW w:w="3037" w:type="dxa"/>
          </w:tcPr>
          <w:p w:rsidR="00013D83" w:rsidRPr="006B3796" w:rsidRDefault="00013D83" w:rsidP="001F3F21">
            <w:pPr>
              <w:pStyle w:val="Tabletext"/>
              <w:keepNext/>
              <w:pageBreakBefore/>
            </w:pPr>
            <w:r w:rsidRPr="006B3796">
              <w:t>Mining and quarrying: development and operation of a mine or quarry</w:t>
            </w:r>
          </w:p>
        </w:tc>
        <w:tc>
          <w:tcPr>
            <w:tcW w:w="2208" w:type="dxa"/>
            <w:tcBorders>
              <w:left w:val="nil"/>
            </w:tcBorders>
          </w:tcPr>
          <w:p w:rsidR="00013D83" w:rsidRPr="006B3796" w:rsidRDefault="002860B3" w:rsidP="001F3F21">
            <w:pPr>
              <w:pStyle w:val="Tabletext"/>
              <w:keepNext/>
            </w:pPr>
            <w:r>
              <w:t>section 3</w:t>
            </w:r>
            <w:r w:rsidR="00013D83" w:rsidRPr="006B3796">
              <w:t>30</w:t>
            </w:r>
            <w:r>
              <w:noBreakHyphen/>
            </w:r>
            <w:r w:rsidR="00013D83" w:rsidRPr="006B3796">
              <w:t>490</w:t>
            </w:r>
          </w:p>
        </w:tc>
      </w:tr>
      <w:tr w:rsidR="00013D83" w:rsidRPr="006B3796" w:rsidTr="001F3F21">
        <w:trPr>
          <w:cantSplit/>
        </w:trPr>
        <w:tc>
          <w:tcPr>
            <w:tcW w:w="706" w:type="dxa"/>
            <w:tcBorders>
              <w:bottom w:val="single" w:sz="12" w:space="0" w:color="auto"/>
            </w:tcBorders>
          </w:tcPr>
          <w:p w:rsidR="00013D83" w:rsidRPr="006B3796" w:rsidRDefault="00013D83" w:rsidP="001F3F21">
            <w:pPr>
              <w:pStyle w:val="Tabletext"/>
              <w:keepNext/>
            </w:pPr>
            <w:r w:rsidRPr="006B3796">
              <w:t>3.</w:t>
            </w:r>
          </w:p>
        </w:tc>
        <w:tc>
          <w:tcPr>
            <w:tcW w:w="3037" w:type="dxa"/>
            <w:tcBorders>
              <w:bottom w:val="single" w:sz="12" w:space="0" w:color="auto"/>
            </w:tcBorders>
          </w:tcPr>
          <w:p w:rsidR="00013D83" w:rsidRPr="006B3796" w:rsidRDefault="00013D83" w:rsidP="001F3F21">
            <w:pPr>
              <w:pStyle w:val="Tabletext"/>
              <w:keepNext/>
            </w:pPr>
            <w:r w:rsidRPr="006B3796">
              <w:t>Mining and quarrying: transporting minerals or quarry materials</w:t>
            </w:r>
          </w:p>
        </w:tc>
        <w:tc>
          <w:tcPr>
            <w:tcW w:w="2208" w:type="dxa"/>
            <w:tcBorders>
              <w:left w:val="nil"/>
              <w:bottom w:val="single" w:sz="12" w:space="0" w:color="auto"/>
            </w:tcBorders>
          </w:tcPr>
          <w:p w:rsidR="00013D83" w:rsidRPr="006B3796" w:rsidRDefault="002860B3" w:rsidP="001F3F21">
            <w:pPr>
              <w:pStyle w:val="Tabletext"/>
              <w:keepNext/>
            </w:pPr>
            <w:r>
              <w:t>section 3</w:t>
            </w:r>
            <w:r w:rsidR="00013D83" w:rsidRPr="006B3796">
              <w:t>30</w:t>
            </w:r>
            <w:r>
              <w:noBreakHyphen/>
            </w:r>
            <w:r w:rsidR="00013D83" w:rsidRPr="006B3796">
              <w:t>490</w:t>
            </w:r>
          </w:p>
        </w:tc>
      </w:tr>
    </w:tbl>
    <w:p w:rsidR="00013D83" w:rsidRPr="006B3796" w:rsidRDefault="00013D83" w:rsidP="00013D83">
      <w:pPr>
        <w:pStyle w:val="Body"/>
      </w:pPr>
      <w:r w:rsidRPr="006B3796">
        <w:rPr>
          <w:noProof/>
        </w:rPr>
        <w:t>38</w:t>
      </w:r>
      <w:r w:rsidRPr="006B3796">
        <w:t>.</w:t>
      </w:r>
      <w:r w:rsidRPr="006B3796">
        <w:tab/>
        <w:t xml:space="preserve">Different rules for working out the termination value of property apply for the purposes of different capital allowances. This is an example of an expression having different meanings when used in relation to different subject matters. It is also analogous to the approach to the concept of </w:t>
      </w:r>
      <w:r w:rsidRPr="006B3796">
        <w:rPr>
          <w:b/>
          <w:i/>
        </w:rPr>
        <w:t>taxable income</w:t>
      </w:r>
      <w:r w:rsidRPr="006B3796">
        <w:t>. Either way, the principle that a term should only have one meaning is not infringed.</w:t>
      </w:r>
    </w:p>
    <w:p w:rsidR="00013D83" w:rsidRPr="006B3796" w:rsidRDefault="00013D83" w:rsidP="00013D83">
      <w:pPr>
        <w:pStyle w:val="Special3"/>
      </w:pPr>
      <w:r w:rsidRPr="006B3796">
        <w:t>Signpost definitions for different grammatical forms</w:t>
      </w:r>
    </w:p>
    <w:p w:rsidR="00013D83" w:rsidRPr="006B3796" w:rsidRDefault="00013D83" w:rsidP="00013D83">
      <w:pPr>
        <w:pStyle w:val="Body"/>
      </w:pPr>
      <w:r w:rsidRPr="006B3796">
        <w:rPr>
          <w:noProof/>
        </w:rPr>
        <w:t>39</w:t>
      </w:r>
      <w:r w:rsidRPr="006B3796">
        <w:t>.</w:t>
      </w:r>
      <w:r w:rsidRPr="006B3796">
        <w:tab/>
        <w:t>The Dictionary includes signpost definitions such as this:</w:t>
      </w:r>
    </w:p>
    <w:p w:rsidR="00013D83" w:rsidRPr="006B3796" w:rsidRDefault="00013D83" w:rsidP="00013D83">
      <w:pPr>
        <w:pStyle w:val="Definition"/>
      </w:pPr>
      <w:r w:rsidRPr="006B3796">
        <w:rPr>
          <w:b/>
          <w:i/>
        </w:rPr>
        <w:t>held</w:t>
      </w:r>
      <w:r w:rsidRPr="006B3796">
        <w:t xml:space="preserve">: see </w:t>
      </w:r>
      <w:r w:rsidRPr="006B3796">
        <w:rPr>
          <w:b/>
          <w:i/>
        </w:rPr>
        <w:t>hold</w:t>
      </w:r>
      <w:r w:rsidRPr="006B3796">
        <w:t>.</w:t>
      </w:r>
    </w:p>
    <w:p w:rsidR="00013D83" w:rsidRPr="006B3796" w:rsidRDefault="00013D83" w:rsidP="00013D83">
      <w:pPr>
        <w:pStyle w:val="Body"/>
      </w:pPr>
      <w:r w:rsidRPr="006B3796">
        <w:t xml:space="preserve">This is legally redundant because of </w:t>
      </w:r>
      <w:r w:rsidR="002860B3">
        <w:t>section 1</w:t>
      </w:r>
      <w:r w:rsidRPr="006B3796">
        <w:t xml:space="preserve">8A of the </w:t>
      </w:r>
      <w:r w:rsidRPr="006B3796">
        <w:rPr>
          <w:i/>
        </w:rPr>
        <w:t>Acts Interpretation Act 1901</w:t>
      </w:r>
      <w:r w:rsidRPr="006B3796">
        <w:t>. However, it promotes the aim of helping the reader to match the definition with occurrences of the defined term.</w:t>
      </w:r>
      <w:r w:rsidRPr="006B3796">
        <w:rPr>
          <w:i/>
        </w:rPr>
        <w:t xml:space="preserve"> </w:t>
      </w:r>
      <w:r w:rsidRPr="006B3796">
        <w:t>“Held” will be asterisked wherever “hold” would be.</w:t>
      </w:r>
    </w:p>
    <w:p w:rsidR="00013D83" w:rsidRPr="006B3796" w:rsidRDefault="00013D83" w:rsidP="00013D83">
      <w:pPr>
        <w:pStyle w:val="Special3"/>
      </w:pPr>
      <w:r w:rsidRPr="006B3796">
        <w:t>Other signposting techniques are not used except in special cases</w:t>
      </w:r>
    </w:p>
    <w:p w:rsidR="00013D83" w:rsidRPr="006B3796" w:rsidRDefault="00013D83" w:rsidP="00013D83">
      <w:pPr>
        <w:pStyle w:val="Body"/>
      </w:pPr>
      <w:r w:rsidRPr="006B3796">
        <w:rPr>
          <w:noProof/>
        </w:rPr>
        <w:t>40</w:t>
      </w:r>
      <w:r w:rsidRPr="006B3796">
        <w:t>.</w:t>
      </w:r>
      <w:r w:rsidRPr="006B3796">
        <w:tab/>
        <w:t>The new income tax law uses a system of notes to signpost from general rules to exceptions or special rules, or between sets of rules that are related in some other way. For example:</w:t>
      </w:r>
    </w:p>
    <w:p w:rsidR="00013D83" w:rsidRPr="002860B3" w:rsidRDefault="00013D83" w:rsidP="000C12AB">
      <w:pPr>
        <w:pStyle w:val="Specials"/>
      </w:pPr>
      <w:r w:rsidRPr="002860B3">
        <w:t>28</w:t>
      </w:r>
      <w:r w:rsidR="002860B3" w:rsidRPr="002860B3">
        <w:noBreakHyphen/>
      </w:r>
      <w:r w:rsidRPr="002860B3">
        <w:t>12  Car expenses</w:t>
      </w:r>
    </w:p>
    <w:p w:rsidR="00013D83" w:rsidRPr="006B3796" w:rsidRDefault="00013D83" w:rsidP="00013D83">
      <w:pPr>
        <w:pStyle w:val="subsection"/>
      </w:pPr>
      <w:r w:rsidRPr="006B3796">
        <w:tab/>
        <w:t>(1)</w:t>
      </w:r>
      <w:r w:rsidRPr="006B3796">
        <w:tab/>
        <w:t xml:space="preserve">If you owned or leased a </w:t>
      </w:r>
      <w:r w:rsidR="002860B3" w:rsidRPr="002860B3">
        <w:rPr>
          <w:position w:val="6"/>
          <w:sz w:val="16"/>
        </w:rPr>
        <w:t>*</w:t>
      </w:r>
      <w:r w:rsidRPr="006B3796">
        <w:t>car or hired a car under a hire purchase agreement, you can deduct for the car’s expenses an amount or amounts worked out using one of 4 methods.</w:t>
      </w:r>
    </w:p>
    <w:p w:rsidR="00013D83" w:rsidRPr="006B3796" w:rsidRDefault="00013D83" w:rsidP="00013D83">
      <w:pPr>
        <w:pStyle w:val="Note"/>
      </w:pPr>
      <w:r w:rsidRPr="006B3796">
        <w:t>Note:</w:t>
      </w:r>
      <w:r w:rsidRPr="006B3796">
        <w:tab/>
        <w:t xml:space="preserve">For particular types of cars taken on hire you cannot use one of the 4 methods: see </w:t>
      </w:r>
      <w:r w:rsidR="002860B3">
        <w:t>section 2</w:t>
      </w:r>
      <w:r w:rsidRPr="006B3796">
        <w:t>8</w:t>
      </w:r>
      <w:r w:rsidR="002860B3">
        <w:noBreakHyphen/>
      </w:r>
      <w:r w:rsidRPr="006B3796">
        <w:t>165 (Exception for particular cars taken on hire).</w:t>
      </w:r>
    </w:p>
    <w:p w:rsidR="00013D83" w:rsidRPr="006B3796" w:rsidRDefault="00013D83" w:rsidP="00013D83">
      <w:pPr>
        <w:pStyle w:val="Body"/>
      </w:pPr>
      <w:r w:rsidRPr="006B3796">
        <w:rPr>
          <w:noProof/>
        </w:rPr>
        <w:t>41</w:t>
      </w:r>
      <w:r w:rsidRPr="006B3796">
        <w:t>.</w:t>
      </w:r>
      <w:r w:rsidRPr="006B3796">
        <w:tab/>
        <w:t xml:space="preserve">In general, notes are </w:t>
      </w:r>
      <w:r w:rsidRPr="006B3796">
        <w:rPr>
          <w:i/>
        </w:rPr>
        <w:t>not</w:t>
      </w:r>
      <w:r w:rsidRPr="006B3796">
        <w:t xml:space="preserve"> used to signpost to definitions. The system of asterisking defined terms is used instead. This has led to a big reduction in the number of notes required in the rewrite.</w:t>
      </w:r>
    </w:p>
    <w:p w:rsidR="00013D83" w:rsidRPr="006B3796" w:rsidRDefault="00013D83" w:rsidP="00013D83">
      <w:pPr>
        <w:pStyle w:val="Special3"/>
        <w:rPr>
          <w:i w:val="0"/>
        </w:rPr>
      </w:pPr>
      <w:r w:rsidRPr="006B3796">
        <w:t>Alternatives to asterisking “labels” and signposting them in the Dictionar</w:t>
      </w:r>
      <w:r w:rsidRPr="006B3796">
        <w:rPr>
          <w:i w:val="0"/>
        </w:rPr>
        <w:t>y</w:t>
      </w:r>
    </w:p>
    <w:p w:rsidR="00013D83" w:rsidRPr="006B3796" w:rsidRDefault="00013D83" w:rsidP="00013D83">
      <w:pPr>
        <w:pStyle w:val="Body"/>
      </w:pPr>
      <w:r w:rsidRPr="006B3796">
        <w:rPr>
          <w:noProof/>
        </w:rPr>
        <w:t>42</w:t>
      </w:r>
      <w:r w:rsidRPr="006B3796">
        <w:t>.</w:t>
      </w:r>
      <w:r w:rsidRPr="006B3796">
        <w:tab/>
        <w:t>If a reader will encounter in one section a “label” for a concept that is labelled in another section, the reader should be helped to find the provision where the concept is labelled.</w:t>
      </w:r>
    </w:p>
    <w:p w:rsidR="00013D83" w:rsidRPr="006B3796" w:rsidRDefault="00013D83" w:rsidP="00013D83">
      <w:pPr>
        <w:pStyle w:val="Body"/>
      </w:pPr>
      <w:r w:rsidRPr="006B3796">
        <w:rPr>
          <w:noProof/>
        </w:rPr>
        <w:lastRenderedPageBreak/>
        <w:t>43</w:t>
      </w:r>
      <w:r w:rsidRPr="006B3796">
        <w:t>.</w:t>
      </w:r>
      <w:r w:rsidRPr="006B3796">
        <w:tab/>
        <w:t>However, it is generally desirable not to clutter the Dictionary with signposts to labels for concepts. Also, if a label is generic, it may be useful to be able to use the label again in an obviously different context for a different concept. Therefore it may often (but not always) be desirable to use a signposting technique that does not involve asterisking a label when it is used in a section other than the section where the label is applied to a concept. In many cases it will be possible to help the reader find out where a label is applied to a concept by including in the text of the section that uses the label a reference to the section where the label is applied.</w:t>
      </w:r>
    </w:p>
    <w:p w:rsidR="00013D83" w:rsidRPr="006B3796" w:rsidRDefault="00013D83" w:rsidP="00013D83">
      <w:pPr>
        <w:pStyle w:val="Body"/>
      </w:pPr>
      <w:r w:rsidRPr="006B3796">
        <w:rPr>
          <w:noProof/>
        </w:rPr>
        <w:t>44</w:t>
      </w:r>
      <w:r w:rsidRPr="006B3796">
        <w:t>.</w:t>
      </w:r>
      <w:r w:rsidRPr="006B3796">
        <w:tab/>
        <w:t>For example:</w:t>
      </w:r>
    </w:p>
    <w:p w:rsidR="00013D83" w:rsidRPr="002860B3" w:rsidRDefault="00013D83" w:rsidP="000C12AB">
      <w:pPr>
        <w:pStyle w:val="Specials"/>
      </w:pPr>
      <w:r w:rsidRPr="002860B3">
        <w:t>392</w:t>
      </w:r>
      <w:r w:rsidR="002860B3" w:rsidRPr="002860B3">
        <w:noBreakHyphen/>
      </w:r>
      <w:r w:rsidRPr="002860B3">
        <w:t>35  Stage 1—working out your basic amount</w:t>
      </w:r>
    </w:p>
    <w:p w:rsidR="00013D83" w:rsidRPr="006B3796" w:rsidRDefault="00013D83" w:rsidP="00013D83">
      <w:pPr>
        <w:pStyle w:val="subsection"/>
      </w:pPr>
      <w:r w:rsidRPr="006B3796">
        <w:tab/>
      </w:r>
      <w:r w:rsidRPr="006B3796">
        <w:tab/>
        <w:t xml:space="preserve">Work out the amount (the </w:t>
      </w:r>
      <w:r w:rsidRPr="006B3796">
        <w:rPr>
          <w:b/>
          <w:i/>
        </w:rPr>
        <w:t>basic amount</w:t>
      </w:r>
      <w:r w:rsidRPr="006B3796">
        <w:t xml:space="preserve">) of tax that would be payable on your </w:t>
      </w:r>
      <w:r w:rsidR="002860B3" w:rsidRPr="002860B3">
        <w:rPr>
          <w:position w:val="6"/>
          <w:sz w:val="16"/>
        </w:rPr>
        <w:t>*</w:t>
      </w:r>
      <w:r w:rsidRPr="006B3796">
        <w:t xml:space="preserve">basic taxable income for the </w:t>
      </w:r>
      <w:r w:rsidR="002860B3" w:rsidRPr="002860B3">
        <w:rPr>
          <w:position w:val="6"/>
          <w:sz w:val="16"/>
        </w:rPr>
        <w:t>*</w:t>
      </w:r>
      <w:r w:rsidRPr="006B3796">
        <w:t>current year if ...</w:t>
      </w:r>
    </w:p>
    <w:p w:rsidR="00013D83" w:rsidRPr="006B3796" w:rsidRDefault="00013D83" w:rsidP="00013D83">
      <w:pPr>
        <w:pStyle w:val="subsection"/>
      </w:pPr>
      <w:r w:rsidRPr="006B3796">
        <w:tab/>
      </w:r>
      <w:r w:rsidRPr="006B3796">
        <w:tab/>
        <w:t>...</w:t>
      </w:r>
    </w:p>
    <w:p w:rsidR="00013D83" w:rsidRPr="006B3796" w:rsidRDefault="00013D83" w:rsidP="000C12AB">
      <w:pPr>
        <w:pStyle w:val="Specials"/>
      </w:pPr>
      <w:r w:rsidRPr="006B3796">
        <w:t>392</w:t>
      </w:r>
      <w:r w:rsidR="002860B3">
        <w:noBreakHyphen/>
      </w:r>
      <w:r w:rsidRPr="006B3796">
        <w:t>70  Working out your tax at the notional rate</w:t>
      </w:r>
    </w:p>
    <w:p w:rsidR="00013D83" w:rsidRPr="006B3796" w:rsidRDefault="00013D83" w:rsidP="00013D83">
      <w:pPr>
        <w:pStyle w:val="subsection"/>
      </w:pPr>
      <w:r w:rsidRPr="006B3796">
        <w:tab/>
      </w:r>
      <w:r w:rsidRPr="006B3796">
        <w:tab/>
        <w:t xml:space="preserve">Work out the amount (the </w:t>
      </w:r>
      <w:r w:rsidRPr="006B3796">
        <w:rPr>
          <w:b/>
          <w:i/>
        </w:rPr>
        <w:t>notional amount</w:t>
      </w:r>
      <w:r w:rsidRPr="006B3796">
        <w:t xml:space="preserve">) of tax that would be payable on your </w:t>
      </w:r>
      <w:r w:rsidR="002860B3" w:rsidRPr="002860B3">
        <w:rPr>
          <w:position w:val="6"/>
          <w:sz w:val="16"/>
        </w:rPr>
        <w:t>*</w:t>
      </w:r>
      <w:r w:rsidRPr="006B3796">
        <w:t xml:space="preserve">basic taxable income for the </w:t>
      </w:r>
      <w:r w:rsidR="002860B3" w:rsidRPr="002860B3">
        <w:rPr>
          <w:position w:val="6"/>
          <w:sz w:val="16"/>
        </w:rPr>
        <w:t>*</w:t>
      </w:r>
      <w:r w:rsidRPr="006B3796">
        <w:t>current year if ...</w:t>
      </w:r>
    </w:p>
    <w:p w:rsidR="00013D83" w:rsidRPr="006B3796" w:rsidRDefault="00013D83" w:rsidP="00013D83">
      <w:pPr>
        <w:pStyle w:val="subsection"/>
      </w:pPr>
      <w:r w:rsidRPr="006B3796">
        <w:tab/>
      </w:r>
      <w:r w:rsidRPr="006B3796">
        <w:tab/>
        <w:t>...</w:t>
      </w:r>
    </w:p>
    <w:p w:rsidR="00013D83" w:rsidRPr="006B3796" w:rsidRDefault="00013D83" w:rsidP="000C12AB">
      <w:pPr>
        <w:pStyle w:val="Specials"/>
      </w:pPr>
      <w:r w:rsidRPr="006B3796">
        <w:t>392</w:t>
      </w:r>
      <w:r w:rsidR="002860B3">
        <w:noBreakHyphen/>
      </w:r>
      <w:r w:rsidRPr="006B3796">
        <w:t>75  Working out the kind of adjustment and making it</w:t>
      </w:r>
    </w:p>
    <w:p w:rsidR="00013D83" w:rsidRPr="006B3796" w:rsidRDefault="00013D83" w:rsidP="00013D83">
      <w:pPr>
        <w:pStyle w:val="subsection"/>
      </w:pPr>
      <w:r w:rsidRPr="006B3796">
        <w:tab/>
        <w:t>(1)</w:t>
      </w:r>
      <w:r w:rsidRPr="006B3796">
        <w:tab/>
        <w:t xml:space="preserve">Compare your basic amount worked out under </w:t>
      </w:r>
      <w:r w:rsidR="002860B3">
        <w:t>section 3</w:t>
      </w:r>
      <w:r w:rsidRPr="006B3796">
        <w:t>92</w:t>
      </w:r>
      <w:r w:rsidR="002860B3">
        <w:noBreakHyphen/>
      </w:r>
      <w:r w:rsidRPr="006B3796">
        <w:t xml:space="preserve">35 with your notional amount worked out under </w:t>
      </w:r>
      <w:r w:rsidR="002860B3">
        <w:t>section 3</w:t>
      </w:r>
      <w:r w:rsidRPr="006B3796">
        <w:t>92</w:t>
      </w:r>
      <w:r w:rsidR="002860B3">
        <w:noBreakHyphen/>
      </w:r>
      <w:r w:rsidRPr="006B3796">
        <w:t>70. ...</w:t>
      </w:r>
    </w:p>
    <w:p w:rsidR="00013D83" w:rsidRPr="006B3796" w:rsidRDefault="00013D83" w:rsidP="00013D83">
      <w:pPr>
        <w:pStyle w:val="Body"/>
      </w:pPr>
      <w:r w:rsidRPr="006B3796">
        <w:rPr>
          <w:noProof/>
        </w:rPr>
        <w:t>45</w:t>
      </w:r>
      <w:r w:rsidRPr="006B3796">
        <w:t>.</w:t>
      </w:r>
      <w:r w:rsidRPr="006B3796">
        <w:tab/>
        <w:t>It should not be necessary to provide this kind of help for the reader within a section. If a label is applied to a concept in one subsection and the reader encounters the label in another subsection of the same section, the narrative flow should be clear enough, and the section short enough, for the reader not to need help to find the subsection where the label is applied to the concept. Therefore labels should not be asterisked when they are used in the section in which they are applied to a concept, and a label that is used only in the section where it is applied should not be signposted in the Dictionary.</w:t>
      </w:r>
    </w:p>
    <w:p w:rsidR="00013D83" w:rsidRPr="006B3796" w:rsidRDefault="00013D83" w:rsidP="00013D83">
      <w:pPr>
        <w:pStyle w:val="Body"/>
      </w:pPr>
      <w:r w:rsidRPr="006B3796">
        <w:rPr>
          <w:noProof/>
        </w:rPr>
        <w:t>46</w:t>
      </w:r>
      <w:r w:rsidRPr="006B3796">
        <w:t>.</w:t>
      </w:r>
      <w:r w:rsidRPr="006B3796">
        <w:tab/>
        <w:t>The principles in paragraphs 43 to 45 apply only to labels (which are simply short tags to save repetition of text), and not to genuine defined terms (for which the definitions clearly establish concepts).</w:t>
      </w:r>
    </w:p>
    <w:p w:rsidR="00013D83" w:rsidRPr="006B3796" w:rsidRDefault="00013D83" w:rsidP="00013D83">
      <w:pPr>
        <w:pStyle w:val="Body"/>
      </w:pPr>
      <w:r w:rsidRPr="006B3796">
        <w:t xml:space="preserve">There will be some circumstances in which it is desirable to asterisk labels where they are used. (One example of this is the company tax losses provisions in </w:t>
      </w:r>
      <w:r w:rsidR="002860B3">
        <w:t>Division 1</w:t>
      </w:r>
      <w:r w:rsidRPr="006B3796">
        <w:t>65, where labels are used in provisions a considerable distance from the provisions where the labels are applied, and where some labels are used in different places to tag different concepts.)</w:t>
      </w:r>
    </w:p>
    <w:p w:rsidR="00013D83" w:rsidRPr="006B3796" w:rsidRDefault="00013D83" w:rsidP="002860B3">
      <w:pPr>
        <w:pStyle w:val="Special2"/>
        <w:pageBreakBefore/>
      </w:pPr>
      <w:r w:rsidRPr="006B3796">
        <w:lastRenderedPageBreak/>
        <w:t>TLIP Note 3 (Edited extracts)</w:t>
      </w:r>
    </w:p>
    <w:p w:rsidR="00013D83" w:rsidRPr="006B3796" w:rsidRDefault="00013D83" w:rsidP="00013D83">
      <w:pPr>
        <w:pStyle w:val="Special3"/>
      </w:pPr>
      <w:r w:rsidRPr="006B3796">
        <w:t>What counts as a definition</w:t>
      </w:r>
    </w:p>
    <w:p w:rsidR="00013D83" w:rsidRPr="006B3796" w:rsidRDefault="00013D83" w:rsidP="00013D83">
      <w:pPr>
        <w:pStyle w:val="Body"/>
      </w:pPr>
      <w:r w:rsidRPr="006B3796">
        <w:rPr>
          <w:noProof/>
        </w:rPr>
        <w:t>3</w:t>
      </w:r>
      <w:r w:rsidRPr="006B3796">
        <w:tab/>
        <w:t xml:space="preserve">This Drafting Note covers not only definitions in the narrower sense, but also interpretation provisions of all kinds. A distinction is drawn between definitions of </w:t>
      </w:r>
      <w:r w:rsidRPr="006B3796">
        <w:rPr>
          <w:i/>
        </w:rPr>
        <w:t>concepts</w:t>
      </w:r>
      <w:r w:rsidRPr="006B3796">
        <w:t xml:space="preserve"> and definitions of tags or labels, because different rules apply to each of those 2 categories.</w:t>
      </w:r>
    </w:p>
    <w:p w:rsidR="00013D83" w:rsidRPr="006B3796" w:rsidRDefault="00013D83" w:rsidP="00013D83">
      <w:pPr>
        <w:pStyle w:val="Special3"/>
      </w:pPr>
      <w:r w:rsidRPr="006B3796">
        <w:t>Principles governing the use of definitions in the new income tax law</w:t>
      </w:r>
    </w:p>
    <w:p w:rsidR="00013D83" w:rsidRPr="006B3796" w:rsidRDefault="00013D83" w:rsidP="00013D83">
      <w:pPr>
        <w:pStyle w:val="Special3"/>
      </w:pPr>
      <w:r w:rsidRPr="006B3796">
        <w:t>When to use them</w:t>
      </w:r>
    </w:p>
    <w:p w:rsidR="00013D83" w:rsidRPr="006B3796" w:rsidRDefault="00013D83" w:rsidP="00013D83">
      <w:pPr>
        <w:pStyle w:val="Body"/>
      </w:pPr>
      <w:r w:rsidRPr="006B3796">
        <w:rPr>
          <w:noProof/>
        </w:rPr>
        <w:t>4</w:t>
      </w:r>
      <w:r w:rsidRPr="006B3796">
        <w:tab/>
        <w:t>Definitions should be used for 2 purposes only:</w:t>
      </w:r>
    </w:p>
    <w:p w:rsidR="00013D83" w:rsidRPr="006B3796" w:rsidRDefault="006B4552" w:rsidP="00013D83">
      <w:pPr>
        <w:pStyle w:val="Blocks"/>
        <w:ind w:left="720"/>
      </w:pPr>
      <w:r w:rsidRPr="006B3796">
        <w:fldChar w:fldCharType="begin"/>
      </w:r>
      <w:r w:rsidR="00013D83" w:rsidRPr="006B3796">
        <w:instrText>SYMBOL 183 \f "Symbol" \s 10 \h</w:instrText>
      </w:r>
      <w:r w:rsidRPr="006B3796">
        <w:fldChar w:fldCharType="end"/>
      </w:r>
      <w:r w:rsidR="00013D83" w:rsidRPr="006B3796">
        <w:tab/>
        <w:t>to clarify meaning;</w:t>
      </w:r>
    </w:p>
    <w:p w:rsidR="00013D83" w:rsidRPr="006B3796" w:rsidRDefault="006B4552" w:rsidP="00013D83">
      <w:pPr>
        <w:pStyle w:val="Blocks"/>
        <w:ind w:left="720"/>
      </w:pPr>
      <w:r w:rsidRPr="006B3796">
        <w:fldChar w:fldCharType="begin"/>
      </w:r>
      <w:r w:rsidR="00013D83" w:rsidRPr="006B3796">
        <w:instrText>SYMBOL 183 \f "Symbol" \s 10 \h</w:instrText>
      </w:r>
      <w:r w:rsidRPr="006B3796">
        <w:fldChar w:fldCharType="end"/>
      </w:r>
      <w:r w:rsidR="00013D83" w:rsidRPr="006B3796">
        <w:tab/>
        <w:t>to “bunch” concepts.</w:t>
      </w:r>
    </w:p>
    <w:p w:rsidR="00013D83" w:rsidRPr="006B3796" w:rsidRDefault="00013D83" w:rsidP="00013D83">
      <w:pPr>
        <w:pStyle w:val="ItalHead"/>
      </w:pPr>
      <w:r w:rsidRPr="006B3796">
        <w:t>To clarify meaning</w:t>
      </w:r>
    </w:p>
    <w:p w:rsidR="00013D83" w:rsidRPr="006B3796" w:rsidRDefault="00013D83" w:rsidP="00013D83">
      <w:pPr>
        <w:pStyle w:val="Body"/>
      </w:pPr>
      <w:r w:rsidRPr="006B3796">
        <w:rPr>
          <w:noProof/>
        </w:rPr>
        <w:t>5</w:t>
      </w:r>
      <w:r w:rsidRPr="006B3796">
        <w:tab/>
        <w:t>Wherever possible, rely on the natural meaning of a term. This is consistent with TLIP’s aim of writing the tax law in language that is familiar to its target audience.</w:t>
      </w:r>
    </w:p>
    <w:p w:rsidR="00013D83" w:rsidRPr="006B3796" w:rsidRDefault="00013D83" w:rsidP="00013D83">
      <w:pPr>
        <w:pStyle w:val="Body"/>
      </w:pPr>
      <w:r w:rsidRPr="006B3796">
        <w:rPr>
          <w:noProof/>
        </w:rPr>
        <w:t>6</w:t>
      </w:r>
      <w:r w:rsidRPr="006B3796">
        <w:tab/>
        <w:t>Where the meaning of a term is unclear on some point, it is appropriate to deal with the point in a definition. It may even be necessary to define a term exhaustively because its ordinary meaning is unacceptably vague.</w:t>
      </w:r>
    </w:p>
    <w:p w:rsidR="00013D83" w:rsidRPr="006B3796" w:rsidRDefault="00013D83" w:rsidP="00013D83">
      <w:pPr>
        <w:pStyle w:val="Body"/>
      </w:pPr>
      <w:r w:rsidRPr="006B3796">
        <w:rPr>
          <w:noProof/>
        </w:rPr>
        <w:t>7</w:t>
      </w:r>
      <w:r w:rsidRPr="006B3796">
        <w:tab/>
        <w:t>Here are some examples of definitions that clarify meaning:</w:t>
      </w:r>
    </w:p>
    <w:p w:rsidR="00013D83" w:rsidRPr="006B3796" w:rsidRDefault="00013D83" w:rsidP="00013D83">
      <w:pPr>
        <w:pStyle w:val="Definition"/>
      </w:pPr>
      <w:r w:rsidRPr="006B3796">
        <w:rPr>
          <w:b/>
          <w:i/>
        </w:rPr>
        <w:t>adopted child</w:t>
      </w:r>
      <w:r w:rsidRPr="006B3796">
        <w:t xml:space="preserve"> of a person means someone the person has adopted:</w:t>
      </w:r>
    </w:p>
    <w:p w:rsidR="00013D83" w:rsidRPr="006B3796" w:rsidRDefault="00013D83" w:rsidP="00013D83">
      <w:pPr>
        <w:pStyle w:val="paragraph"/>
      </w:pPr>
      <w:r w:rsidRPr="006B3796">
        <w:tab/>
        <w:t>(a)</w:t>
      </w:r>
      <w:r w:rsidRPr="006B3796">
        <w:tab/>
        <w:t>under the law of a State or Territory about adoption of children; or</w:t>
      </w:r>
    </w:p>
    <w:p w:rsidR="00013D83" w:rsidRPr="006B3796" w:rsidRDefault="00013D83" w:rsidP="00013D83">
      <w:pPr>
        <w:pStyle w:val="paragraph"/>
      </w:pPr>
      <w:r w:rsidRPr="006B3796">
        <w:tab/>
        <w:t>(b)</w:t>
      </w:r>
      <w:r w:rsidRPr="006B3796">
        <w:tab/>
        <w:t xml:space="preserve">under a </w:t>
      </w:r>
      <w:r w:rsidR="002860B3" w:rsidRPr="002860B3">
        <w:rPr>
          <w:position w:val="6"/>
          <w:sz w:val="16"/>
        </w:rPr>
        <w:t>*</w:t>
      </w:r>
      <w:r w:rsidRPr="006B3796">
        <w:t>foreign law about adoption of children, if the adoption would be recognised as valid under the law of a State or Territory.</w:t>
      </w:r>
    </w:p>
    <w:p w:rsidR="00013D83" w:rsidRPr="006B3796" w:rsidRDefault="00013D83" w:rsidP="00013D83">
      <w:pPr>
        <w:pStyle w:val="Definition"/>
      </w:pPr>
      <w:r w:rsidRPr="006B3796">
        <w:rPr>
          <w:b/>
          <w:i/>
        </w:rPr>
        <w:t>friendly society</w:t>
      </w:r>
      <w:r w:rsidRPr="006B3796">
        <w:t xml:space="preserve"> means a society registered as a friendly society under an </w:t>
      </w:r>
      <w:r w:rsidR="002860B3" w:rsidRPr="002860B3">
        <w:rPr>
          <w:position w:val="6"/>
          <w:sz w:val="16"/>
        </w:rPr>
        <w:t>*</w:t>
      </w:r>
      <w:r w:rsidRPr="006B3796">
        <w:t>Australian law.</w:t>
      </w:r>
    </w:p>
    <w:p w:rsidR="00013D83" w:rsidRPr="006B3796" w:rsidRDefault="00013D83" w:rsidP="00013D83">
      <w:pPr>
        <w:pStyle w:val="Definition"/>
      </w:pPr>
      <w:r w:rsidRPr="006B3796">
        <w:rPr>
          <w:b/>
          <w:i/>
        </w:rPr>
        <w:t>motor vehicle</w:t>
      </w:r>
      <w:r w:rsidRPr="006B3796">
        <w:t xml:space="preserve"> means any motor</w:t>
      </w:r>
      <w:r w:rsidR="002860B3">
        <w:noBreakHyphen/>
      </w:r>
      <w:r w:rsidRPr="006B3796">
        <w:t>powered road vehicle (including a 4 wheel drive vehicle).</w:t>
      </w:r>
    </w:p>
    <w:p w:rsidR="00013D83" w:rsidRPr="006B3796" w:rsidRDefault="00013D83" w:rsidP="00013D83">
      <w:pPr>
        <w:pStyle w:val="ItalHead"/>
      </w:pPr>
      <w:r w:rsidRPr="006B3796">
        <w:t>To “bunch” concepts</w:t>
      </w:r>
    </w:p>
    <w:p w:rsidR="00013D83" w:rsidRPr="006B3796" w:rsidRDefault="00013D83" w:rsidP="00013D83">
      <w:pPr>
        <w:pStyle w:val="Body"/>
      </w:pPr>
      <w:r w:rsidRPr="006B3796">
        <w:rPr>
          <w:noProof/>
        </w:rPr>
        <w:t>8</w:t>
      </w:r>
      <w:r w:rsidRPr="006B3796">
        <w:tab/>
        <w:t>Tony Golsby</w:t>
      </w:r>
      <w:r w:rsidR="002860B3">
        <w:noBreakHyphen/>
      </w:r>
      <w:r w:rsidRPr="006B3796">
        <w:t>Smith describes bunching as a “useful, even necessary skill to absorb lots of information” and “a powerful tool to turn a long list into something useful”. Concepts that bunch provide a convenient way of talking about groups of things that share a relevant characteristic. Here are some examples:</w:t>
      </w:r>
    </w:p>
    <w:p w:rsidR="00013D83" w:rsidRPr="006B3796" w:rsidRDefault="00013D83" w:rsidP="00013D83">
      <w:pPr>
        <w:pStyle w:val="Definition"/>
      </w:pPr>
      <w:r w:rsidRPr="006B3796">
        <w:rPr>
          <w:b/>
          <w:i/>
        </w:rPr>
        <w:t>housing and welfare</w:t>
      </w:r>
      <w:r w:rsidRPr="006B3796">
        <w:t xml:space="preserve"> means:</w:t>
      </w:r>
    </w:p>
    <w:p w:rsidR="00013D83" w:rsidRPr="006B3796" w:rsidRDefault="00013D83" w:rsidP="00013D83">
      <w:pPr>
        <w:pStyle w:val="paragraph"/>
      </w:pPr>
      <w:r w:rsidRPr="006B3796">
        <w:tab/>
        <w:t>(a)</w:t>
      </w:r>
      <w:r w:rsidRPr="006B3796">
        <w:tab/>
        <w:t>residential accommodation; or</w:t>
      </w:r>
    </w:p>
    <w:p w:rsidR="00013D83" w:rsidRPr="006B3796" w:rsidRDefault="00013D83" w:rsidP="00013D83">
      <w:pPr>
        <w:pStyle w:val="paragraph"/>
      </w:pPr>
      <w:r w:rsidRPr="006B3796">
        <w:tab/>
        <w:t>(b)</w:t>
      </w:r>
      <w:r w:rsidRPr="006B3796">
        <w:tab/>
        <w:t>health, eduction, recreation or similar facilities, or facilities for meals; or</w:t>
      </w:r>
    </w:p>
    <w:p w:rsidR="00013D83" w:rsidRPr="006B3796" w:rsidRDefault="00013D83" w:rsidP="00013D83">
      <w:pPr>
        <w:pStyle w:val="paragraph"/>
      </w:pPr>
      <w:r w:rsidRPr="006B3796">
        <w:tab/>
        <w:t>(c)</w:t>
      </w:r>
      <w:r w:rsidRPr="006B3796">
        <w:tab/>
        <w:t>works carried out directly in connection with such accommodation or facilities, including works for providing water, light, power, access or communications.</w:t>
      </w:r>
    </w:p>
    <w:p w:rsidR="00013D83" w:rsidRPr="006B3796" w:rsidRDefault="00013D83" w:rsidP="00013D83">
      <w:pPr>
        <w:pStyle w:val="Definition"/>
      </w:pPr>
      <w:r w:rsidRPr="006B3796">
        <w:rPr>
          <w:b/>
          <w:i/>
        </w:rPr>
        <w:t>quasi</w:t>
      </w:r>
      <w:r w:rsidR="002860B3">
        <w:rPr>
          <w:b/>
          <w:i/>
        </w:rPr>
        <w:noBreakHyphen/>
      </w:r>
      <w:r w:rsidRPr="006B3796">
        <w:rPr>
          <w:b/>
          <w:i/>
        </w:rPr>
        <w:t xml:space="preserve">ownership right </w:t>
      </w:r>
      <w:r w:rsidRPr="006B3796">
        <w:t>over land means:</w:t>
      </w:r>
    </w:p>
    <w:p w:rsidR="00013D83" w:rsidRPr="006B3796" w:rsidRDefault="00013D83" w:rsidP="00013D83">
      <w:pPr>
        <w:pStyle w:val="paragraph"/>
      </w:pPr>
      <w:r w:rsidRPr="006B3796">
        <w:tab/>
        <w:t>(a)</w:t>
      </w:r>
      <w:r w:rsidRPr="006B3796">
        <w:tab/>
        <w:t>a lease of the land; or</w:t>
      </w:r>
    </w:p>
    <w:p w:rsidR="00013D83" w:rsidRPr="006B3796" w:rsidRDefault="00013D83" w:rsidP="00013D83">
      <w:pPr>
        <w:pStyle w:val="paragraph"/>
      </w:pPr>
      <w:r w:rsidRPr="006B3796">
        <w:lastRenderedPageBreak/>
        <w:tab/>
        <w:t>(b)</w:t>
      </w:r>
      <w:r w:rsidRPr="006B3796">
        <w:tab/>
        <w:t>an easement in connection with the land; or</w:t>
      </w:r>
    </w:p>
    <w:p w:rsidR="00013D83" w:rsidRPr="006B3796" w:rsidRDefault="00013D83" w:rsidP="00013D83">
      <w:pPr>
        <w:pStyle w:val="paragraph"/>
      </w:pPr>
      <w:r w:rsidRPr="006B3796">
        <w:tab/>
        <w:t>(c)</w:t>
      </w:r>
      <w:r w:rsidRPr="006B3796">
        <w:tab/>
        <w:t>any other right, power or privilege over the land, or in connection with the land.</w:t>
      </w:r>
    </w:p>
    <w:p w:rsidR="00013D83" w:rsidRPr="006B3796" w:rsidRDefault="00013D83" w:rsidP="00013D83">
      <w:pPr>
        <w:pStyle w:val="Definition"/>
      </w:pPr>
      <w:r w:rsidRPr="006B3796">
        <w:rPr>
          <w:b/>
          <w:i/>
        </w:rPr>
        <w:t xml:space="preserve">recognised tax adviser </w:t>
      </w:r>
      <w:r w:rsidRPr="006B3796">
        <w:t>means:</w:t>
      </w:r>
    </w:p>
    <w:p w:rsidR="00013D83" w:rsidRPr="006B3796" w:rsidRDefault="00013D83" w:rsidP="00013D83">
      <w:pPr>
        <w:pStyle w:val="paragraph"/>
      </w:pPr>
      <w:r w:rsidRPr="006B3796">
        <w:tab/>
        <w:t>(a)</w:t>
      </w:r>
      <w:r w:rsidRPr="006B3796">
        <w:tab/>
        <w:t xml:space="preserve">a </w:t>
      </w:r>
      <w:r w:rsidR="002860B3" w:rsidRPr="002860B3">
        <w:rPr>
          <w:position w:val="6"/>
          <w:sz w:val="16"/>
        </w:rPr>
        <w:t>*</w:t>
      </w:r>
      <w:r w:rsidRPr="006B3796">
        <w:t>registered tax agent; or</w:t>
      </w:r>
    </w:p>
    <w:p w:rsidR="00013D83" w:rsidRPr="006B3796" w:rsidRDefault="00013D83" w:rsidP="00013D83">
      <w:pPr>
        <w:pStyle w:val="paragraph"/>
      </w:pPr>
      <w:r w:rsidRPr="006B3796">
        <w:tab/>
        <w:t>(b)</w:t>
      </w:r>
      <w:r w:rsidRPr="006B3796">
        <w:tab/>
        <w:t xml:space="preserve">a </w:t>
      </w:r>
      <w:r w:rsidR="002860B3" w:rsidRPr="002860B3">
        <w:rPr>
          <w:position w:val="6"/>
          <w:sz w:val="16"/>
        </w:rPr>
        <w:t>*</w:t>
      </w:r>
      <w:r w:rsidRPr="006B3796">
        <w:t>legal practitioner; or</w:t>
      </w:r>
    </w:p>
    <w:p w:rsidR="00013D83" w:rsidRPr="006B3796" w:rsidRDefault="00013D83" w:rsidP="00013D83">
      <w:pPr>
        <w:pStyle w:val="paragraph"/>
      </w:pPr>
      <w:r w:rsidRPr="006B3796">
        <w:tab/>
        <w:t>(c)</w:t>
      </w:r>
      <w:r w:rsidRPr="006B3796">
        <w:tab/>
        <w:t xml:space="preserve">an entity which is not a </w:t>
      </w:r>
      <w:r w:rsidR="002860B3" w:rsidRPr="002860B3">
        <w:rPr>
          <w:position w:val="6"/>
          <w:sz w:val="16"/>
        </w:rPr>
        <w:t>*</w:t>
      </w:r>
      <w:r w:rsidRPr="006B3796">
        <w:t xml:space="preserve">registered tax agent but who is exempted under </w:t>
      </w:r>
      <w:r w:rsidR="002860B3">
        <w:t>subsection 2</w:t>
      </w:r>
      <w:r w:rsidRPr="006B3796">
        <w:t xml:space="preserve">51L(2) of the </w:t>
      </w:r>
      <w:r w:rsidRPr="006B3796">
        <w:rPr>
          <w:i/>
        </w:rPr>
        <w:t>Income Tax Assessment Act 1936</w:t>
      </w:r>
      <w:r w:rsidRPr="006B3796">
        <w:t xml:space="preserve"> from the operation of </w:t>
      </w:r>
      <w:r w:rsidR="002860B3">
        <w:t>section 2</w:t>
      </w:r>
      <w:r w:rsidRPr="006B3796">
        <w:t>51L (Unregistered tax agents not to charge fees) of that Act.</w:t>
      </w:r>
    </w:p>
    <w:p w:rsidR="00013D83" w:rsidRPr="006B3796" w:rsidRDefault="00013D83" w:rsidP="00013D83">
      <w:pPr>
        <w:pStyle w:val="Body"/>
        <w:rPr>
          <w:noProof/>
        </w:rPr>
      </w:pPr>
      <w:r w:rsidRPr="006B3796">
        <w:t>Notice how the defined term</w:t>
      </w:r>
      <w:r w:rsidRPr="006B3796">
        <w:rPr>
          <w:b/>
        </w:rPr>
        <w:t xml:space="preserve"> </w:t>
      </w:r>
      <w:r w:rsidRPr="006B3796">
        <w:rPr>
          <w:b/>
          <w:i/>
        </w:rPr>
        <w:t>quasi</w:t>
      </w:r>
      <w:r w:rsidR="002860B3">
        <w:rPr>
          <w:b/>
          <w:i/>
        </w:rPr>
        <w:noBreakHyphen/>
      </w:r>
      <w:r w:rsidRPr="006B3796">
        <w:rPr>
          <w:b/>
          <w:i/>
        </w:rPr>
        <w:t>ownership right</w:t>
      </w:r>
      <w:r w:rsidRPr="006B3796">
        <w:t>, although somewhat artificial, attempts to give some sense of the underlying content of the concept. Contrast the use of modifiers such as “eligible” or “qualifying”, which should be avoided wherever possible.</w:t>
      </w:r>
    </w:p>
    <w:p w:rsidR="00013D83" w:rsidRPr="006B3796" w:rsidRDefault="00013D83" w:rsidP="00013D83">
      <w:pPr>
        <w:pStyle w:val="Body"/>
      </w:pPr>
      <w:r w:rsidRPr="006B3796">
        <w:rPr>
          <w:noProof/>
        </w:rPr>
        <w:t>9</w:t>
      </w:r>
      <w:r w:rsidRPr="006B3796">
        <w:tab/>
        <w:t>Readers will find a “bunching” concept easier to understand the more obvious the bunching criterion is to them. This will depend on the nature of their experience with the subject matter. Often, the drafter needs to bunch for purposes that derive from the policy of the legislation and are not based on the reader’s previous experience. This can lead to concepts that are non</w:t>
      </w:r>
      <w:r w:rsidR="002860B3">
        <w:noBreakHyphen/>
      </w:r>
      <w:r w:rsidRPr="006B3796">
        <w:t>intuitive or artificial. The position can be made worse if the name chosen for the concept is artificial or meaningless.</w:t>
      </w:r>
    </w:p>
    <w:p w:rsidR="00013D83" w:rsidRPr="006B3796" w:rsidRDefault="00013D83" w:rsidP="00013D83">
      <w:pPr>
        <w:pStyle w:val="Body"/>
      </w:pPr>
      <w:r w:rsidRPr="006B3796">
        <w:rPr>
          <w:noProof/>
        </w:rPr>
        <w:t>10</w:t>
      </w:r>
      <w:r w:rsidRPr="006B3796">
        <w:tab/>
        <w:t>Wherever possible, bunch in a way that is intuitive to the reader, and avoid terms that are artificial in their content or their names. However, there will be cases where a certain amount of artificiality can be tolerated to get the benefits of using the bunching concept. Remember that a new item of terminology can become familiar quite quickly, especially if it fits well into the overall conceptual scheme of the legislation. An example is the concept of CGT event in the capital gains tax rewrite.</w:t>
      </w:r>
    </w:p>
    <w:p w:rsidR="00013D83" w:rsidRPr="006B3796" w:rsidRDefault="00013D83" w:rsidP="00013D83">
      <w:pPr>
        <w:pStyle w:val="Body"/>
      </w:pPr>
      <w:r w:rsidRPr="006B3796">
        <w:rPr>
          <w:noProof/>
        </w:rPr>
        <w:t>11</w:t>
      </w:r>
      <w:r w:rsidRPr="006B3796">
        <w:tab/>
        <w:t>On the other hand, there are situations where the only characteristic that a list of items have in common is the fact that the legislation deals with all of them in the same way for certain purposes. This may be enough to produce a meaningful bunching concept (for example, CGT event), but it may not be. In that case it is better to resort to other strategies.</w:t>
      </w:r>
    </w:p>
    <w:p w:rsidR="00013D83" w:rsidRPr="006B3796" w:rsidRDefault="00013D83" w:rsidP="00013D83">
      <w:pPr>
        <w:pStyle w:val="Special3"/>
      </w:pPr>
      <w:r w:rsidRPr="006B3796">
        <w:t>Don’t use them to artificially restrict or extend the reach of a concept or set of rules</w:t>
      </w:r>
    </w:p>
    <w:p w:rsidR="00013D83" w:rsidRPr="006B3796" w:rsidRDefault="00013D83" w:rsidP="00013D83">
      <w:pPr>
        <w:pStyle w:val="Body"/>
      </w:pPr>
      <w:r w:rsidRPr="006B3796">
        <w:rPr>
          <w:noProof/>
        </w:rPr>
        <w:t>12</w:t>
      </w:r>
      <w:r w:rsidRPr="006B3796">
        <w:tab/>
        <w:t xml:space="preserve">It is very common in the </w:t>
      </w:r>
      <w:r w:rsidRPr="006B3796">
        <w:rPr>
          <w:i/>
        </w:rPr>
        <w:t>Income Tax Assessment Act 1936</w:t>
      </w:r>
      <w:r w:rsidRPr="006B3796">
        <w:t xml:space="preserve"> for artificial concepts to be used to determine the scope of operative provisions. For example, a set of provisions about leases of certain kinds will define the term “eligible lease” to cover leases of that kind. It is also common for a term with a natural meaning to be defined so as to exclude part of that meaning for the purposes of particular provisions: for example “</w:t>
      </w:r>
      <w:r w:rsidRPr="006B3796">
        <w:rPr>
          <w:i/>
        </w:rPr>
        <w:t>car</w:t>
      </w:r>
      <w:r w:rsidRPr="006B3796">
        <w:t xml:space="preserve"> does not include a motor cycle”.</w:t>
      </w:r>
    </w:p>
    <w:p w:rsidR="00013D83" w:rsidRPr="006B3796" w:rsidRDefault="00013D83" w:rsidP="00013D83">
      <w:pPr>
        <w:pStyle w:val="Body"/>
      </w:pPr>
      <w:r w:rsidRPr="006B3796">
        <w:rPr>
          <w:noProof/>
        </w:rPr>
        <w:t>13</w:t>
      </w:r>
      <w:r w:rsidRPr="006B3796">
        <w:tab/>
        <w:t>From the readability point of view, these practices are undesirable because:</w:t>
      </w:r>
    </w:p>
    <w:p w:rsidR="00013D83" w:rsidRPr="006B3796" w:rsidRDefault="00013D83" w:rsidP="00013D83">
      <w:pPr>
        <w:pStyle w:val="Blocks"/>
        <w:numPr>
          <w:ilvl w:val="0"/>
          <w:numId w:val="3"/>
        </w:numPr>
      </w:pPr>
      <w:r w:rsidRPr="006B3796">
        <w:t>they lead to a proliferation of defined terms relating to the same basic concept; these terms are often identical or closely similar in wording;</w:t>
      </w:r>
    </w:p>
    <w:p w:rsidR="00013D83" w:rsidRPr="006B3796" w:rsidRDefault="00013D83" w:rsidP="00013D83">
      <w:pPr>
        <w:pStyle w:val="Blocks"/>
        <w:numPr>
          <w:ilvl w:val="0"/>
          <w:numId w:val="3"/>
        </w:numPr>
      </w:pPr>
      <w:r w:rsidRPr="006B3796">
        <w:t>they involve definitions being used to do work that is better done by an application provision or substantive rule.</w:t>
      </w:r>
    </w:p>
    <w:p w:rsidR="00013D83" w:rsidRPr="006B3796" w:rsidRDefault="00013D83" w:rsidP="00013D83">
      <w:pPr>
        <w:pStyle w:val="Special3"/>
      </w:pPr>
      <w:r w:rsidRPr="006B3796">
        <w:lastRenderedPageBreak/>
        <w:t>Don’t use them to create exceptions</w:t>
      </w:r>
    </w:p>
    <w:p w:rsidR="00013D83" w:rsidRPr="006B3796" w:rsidRDefault="00013D83" w:rsidP="00013D83">
      <w:pPr>
        <w:pStyle w:val="Special3"/>
      </w:pPr>
      <w:r w:rsidRPr="006B3796">
        <w:t>Use them as sparingly as possible</w:t>
      </w:r>
    </w:p>
    <w:p w:rsidR="00013D83" w:rsidRPr="006B3796" w:rsidRDefault="00013D83" w:rsidP="00013D83">
      <w:pPr>
        <w:pStyle w:val="Body"/>
      </w:pPr>
      <w:r w:rsidRPr="006B3796">
        <w:t>The fewer there are, the less trouble they are to manage.</w:t>
      </w:r>
    </w:p>
    <w:p w:rsidR="00013D83" w:rsidRPr="006B3796" w:rsidRDefault="00013D83" w:rsidP="00013D83">
      <w:pPr>
        <w:pStyle w:val="Special3"/>
      </w:pPr>
      <w:r w:rsidRPr="006B3796">
        <w:t>Especially avoid hierarchies of defined term</w:t>
      </w:r>
      <w:r w:rsidRPr="006B3796">
        <w:rPr>
          <w:i w:val="0"/>
        </w:rPr>
        <w:t>s</w:t>
      </w:r>
    </w:p>
    <w:p w:rsidR="00013D83" w:rsidRPr="006B3796" w:rsidRDefault="00013D83" w:rsidP="00013D83">
      <w:pPr>
        <w:pStyle w:val="Special3"/>
      </w:pPr>
      <w:r w:rsidRPr="006B3796">
        <w:t>Don’t use them to extend the application of rules</w:t>
      </w:r>
    </w:p>
    <w:p w:rsidR="00013D83" w:rsidRPr="006B3796" w:rsidRDefault="00013D83" w:rsidP="00013D83">
      <w:pPr>
        <w:pStyle w:val="Special3"/>
      </w:pPr>
      <w:r w:rsidRPr="006B3796">
        <w:t>Don’t use them in place of a substantive rule</w:t>
      </w:r>
    </w:p>
    <w:p w:rsidR="00013D83" w:rsidRPr="006B3796" w:rsidRDefault="00013D83" w:rsidP="00013D83">
      <w:pPr>
        <w:pStyle w:val="Special3"/>
      </w:pPr>
      <w:r w:rsidRPr="006B3796">
        <w:t>Be wary of using sets of defined concepts in place of a step</w:t>
      </w:r>
      <w:r w:rsidR="002860B3">
        <w:noBreakHyphen/>
      </w:r>
      <w:r w:rsidRPr="006B3796">
        <w:t>by</w:t>
      </w:r>
      <w:r w:rsidR="002860B3">
        <w:noBreakHyphen/>
      </w:r>
      <w:r w:rsidRPr="006B3796">
        <w:t>step procedure</w:t>
      </w:r>
    </w:p>
    <w:p w:rsidR="00013D83" w:rsidRPr="006B3796" w:rsidRDefault="00013D83" w:rsidP="00013D83">
      <w:pPr>
        <w:pStyle w:val="Special3"/>
      </w:pPr>
      <w:r w:rsidRPr="006B3796">
        <w:t>Don’t define a word in a way that conflicts with its ordinary meaning</w:t>
      </w:r>
    </w:p>
    <w:p w:rsidR="00013D83" w:rsidRPr="006B3796" w:rsidRDefault="00013D83" w:rsidP="00013D83">
      <w:pPr>
        <w:pStyle w:val="Special3"/>
      </w:pPr>
      <w:r w:rsidRPr="006B3796">
        <w:t>Don’t change the scope of a defined concept by deeming provisions</w:t>
      </w:r>
    </w:p>
    <w:p w:rsidR="00013D83" w:rsidRPr="006B3796" w:rsidRDefault="00013D83" w:rsidP="00013D83">
      <w:pPr>
        <w:pStyle w:val="Body"/>
      </w:pPr>
      <w:r w:rsidRPr="006B3796">
        <w:rPr>
          <w:noProof/>
        </w:rPr>
        <w:t>22</w:t>
      </w:r>
      <w:r w:rsidRPr="006B3796">
        <w:tab/>
        <w:t>It has always been considered bad drafting practice to define an expression to include something that is quite outside its natural meaning. Despite this, it is still extremely common for provisions to deem something to be something quite different.</w:t>
      </w:r>
    </w:p>
    <w:p w:rsidR="00013D83" w:rsidRPr="006B3796" w:rsidRDefault="00013D83" w:rsidP="00013D83">
      <w:pPr>
        <w:pStyle w:val="Body"/>
      </w:pPr>
      <w:r w:rsidRPr="006B3796">
        <w:rPr>
          <w:noProof/>
        </w:rPr>
        <w:t>23</w:t>
      </w:r>
      <w:r w:rsidRPr="006B3796">
        <w:tab/>
        <w:t>We have gone to considerable lengths to avoid this practice in the rewrite.</w:t>
      </w:r>
    </w:p>
    <w:p w:rsidR="00013D83" w:rsidRPr="006B3796" w:rsidRDefault="00013D83" w:rsidP="00013D83">
      <w:pPr>
        <w:pStyle w:val="Special3"/>
      </w:pPr>
      <w:r w:rsidRPr="006B3796">
        <w:t>The principle of one expression, one meaning</w:t>
      </w:r>
    </w:p>
    <w:p w:rsidR="00013D83" w:rsidRPr="006B3796" w:rsidRDefault="00013D83" w:rsidP="00013D83">
      <w:pPr>
        <w:pStyle w:val="Body"/>
      </w:pPr>
      <w:r w:rsidRPr="006B3796">
        <w:rPr>
          <w:noProof/>
        </w:rPr>
        <w:t>15</w:t>
      </w:r>
      <w:r w:rsidRPr="006B3796">
        <w:tab/>
        <w:t>It is a fundamental principle of the rewrite that terminology must have a consistent meaning throughout the income tax law. It follows that:</w:t>
      </w:r>
    </w:p>
    <w:p w:rsidR="00013D83" w:rsidRPr="006B3796" w:rsidRDefault="00013D83" w:rsidP="00013D83">
      <w:pPr>
        <w:pStyle w:val="Blocksdot"/>
        <w:numPr>
          <w:ilvl w:val="0"/>
          <w:numId w:val="3"/>
        </w:numPr>
      </w:pPr>
      <w:r w:rsidRPr="006B3796">
        <w:t>the same term should not be defined in different ways in different areas of the law;</w:t>
      </w:r>
    </w:p>
    <w:p w:rsidR="00013D83" w:rsidRPr="006B3796" w:rsidRDefault="00013D83" w:rsidP="00013D83">
      <w:pPr>
        <w:pStyle w:val="Blocksdot"/>
        <w:numPr>
          <w:ilvl w:val="0"/>
          <w:numId w:val="3"/>
        </w:numPr>
      </w:pPr>
      <w:r w:rsidRPr="006B3796">
        <w:t>if a term is used in its ordinary meaning in one area of the law it should not be defined in another part of the law;</w:t>
      </w:r>
    </w:p>
    <w:p w:rsidR="00013D83" w:rsidRPr="006B3796" w:rsidRDefault="00013D83" w:rsidP="00013D83">
      <w:pPr>
        <w:pStyle w:val="Blocksdot"/>
        <w:numPr>
          <w:ilvl w:val="0"/>
          <w:numId w:val="3"/>
        </w:numPr>
      </w:pPr>
      <w:r w:rsidRPr="006B3796">
        <w:t>definitions should never include phrases such as “for the purposes of this section/Subdivision/Division etc”.</w:t>
      </w:r>
    </w:p>
    <w:p w:rsidR="00013D83" w:rsidRPr="006B3796" w:rsidRDefault="00013D83" w:rsidP="00013D83">
      <w:pPr>
        <w:pStyle w:val="Body"/>
      </w:pPr>
      <w:r w:rsidRPr="006B3796">
        <w:rPr>
          <w:noProof/>
        </w:rPr>
        <w:t>16</w:t>
      </w:r>
      <w:r w:rsidRPr="006B3796">
        <w:tab/>
        <w:t>Related to this is a principle that if a term has a well</w:t>
      </w:r>
      <w:r w:rsidR="002860B3">
        <w:noBreakHyphen/>
      </w:r>
      <w:r w:rsidRPr="006B3796">
        <w:t>known meaning in another area of law (for example, the Corporations Law) that is familiar to readers of the income tax law, one should avoid giving the term a different meaning in the income tax law.</w:t>
      </w:r>
    </w:p>
    <w:p w:rsidR="00013D83" w:rsidRPr="006B3796" w:rsidRDefault="00013D83" w:rsidP="00013D83">
      <w:pPr>
        <w:pStyle w:val="Body"/>
      </w:pPr>
      <w:r w:rsidRPr="006B3796">
        <w:rPr>
          <w:noProof/>
        </w:rPr>
        <w:t>17</w:t>
      </w:r>
      <w:r w:rsidRPr="006B3796">
        <w:tab/>
        <w:t>However, it is recognised that a word can have different meanings when used in relation to different subject matters. (This point and its implications are discussed in Drafting note 2.)</w:t>
      </w:r>
    </w:p>
    <w:p w:rsidR="00013D83" w:rsidRPr="006B3796" w:rsidRDefault="00013D83" w:rsidP="00013D83">
      <w:pPr>
        <w:pStyle w:val="Special3"/>
      </w:pPr>
      <w:r w:rsidRPr="006B3796">
        <w:t>How to maintain the principle in practice</w:t>
      </w:r>
    </w:p>
    <w:p w:rsidR="00013D83" w:rsidRPr="006B3796" w:rsidRDefault="00013D83" w:rsidP="00013D83">
      <w:pPr>
        <w:pStyle w:val="Body"/>
      </w:pPr>
      <w:r w:rsidRPr="006B3796">
        <w:rPr>
          <w:noProof/>
        </w:rPr>
        <w:t>18</w:t>
      </w:r>
      <w:r w:rsidRPr="006B3796">
        <w:tab/>
        <w:t>For a drafter to observe the one term, one meaning principle, he or she needs to know:</w:t>
      </w:r>
    </w:p>
    <w:p w:rsidR="00013D83" w:rsidRPr="006B3796" w:rsidRDefault="00013D83" w:rsidP="00013D83">
      <w:pPr>
        <w:pStyle w:val="Blocksdot"/>
        <w:numPr>
          <w:ilvl w:val="0"/>
          <w:numId w:val="3"/>
        </w:numPr>
      </w:pPr>
      <w:r w:rsidRPr="006B3796">
        <w:t xml:space="preserve">what terms have been already defined in the </w:t>
      </w:r>
      <w:r w:rsidRPr="006B3796">
        <w:rPr>
          <w:i/>
        </w:rPr>
        <w:t>Income Tax Assessment Act 1997</w:t>
      </w:r>
      <w:r w:rsidRPr="006B3796">
        <w:t>;</w:t>
      </w:r>
    </w:p>
    <w:p w:rsidR="00013D83" w:rsidRPr="006B3796" w:rsidRDefault="00013D83" w:rsidP="00013D83">
      <w:pPr>
        <w:pStyle w:val="Blocksdot"/>
        <w:numPr>
          <w:ilvl w:val="0"/>
          <w:numId w:val="3"/>
        </w:numPr>
      </w:pPr>
      <w:r w:rsidRPr="006B3796">
        <w:t>what terms have already been used in that Act in their ordinary meaning.</w:t>
      </w:r>
    </w:p>
    <w:p w:rsidR="00013D83" w:rsidRPr="006B3796" w:rsidRDefault="00013D83" w:rsidP="00013D83">
      <w:pPr>
        <w:pStyle w:val="Body"/>
        <w:rPr>
          <w:noProof/>
        </w:rPr>
      </w:pPr>
      <w:r w:rsidRPr="006B3796">
        <w:rPr>
          <w:noProof/>
        </w:rPr>
        <w:t>......................</w:t>
      </w:r>
    </w:p>
    <w:p w:rsidR="00013D83" w:rsidRPr="006B3796" w:rsidRDefault="00013D83" w:rsidP="00013D83">
      <w:pPr>
        <w:pStyle w:val="Body"/>
      </w:pPr>
      <w:r w:rsidRPr="006B3796">
        <w:rPr>
          <w:noProof/>
        </w:rPr>
        <w:lastRenderedPageBreak/>
        <w:t>20</w:t>
      </w:r>
      <w:r w:rsidRPr="006B3796">
        <w:tab/>
        <w:t xml:space="preserve">Ideally, the drafter who wants to define a term in the 1997 Act should also consider how that term will affect future rewrites of  provisions of the </w:t>
      </w:r>
      <w:r w:rsidRPr="006B3796">
        <w:rPr>
          <w:i/>
        </w:rPr>
        <w:t>Income Tax Assessment Act 1936</w:t>
      </w:r>
      <w:r w:rsidRPr="006B3796">
        <w:t>. Within TLIP this consideration is aided by the instructors preparing what are called Dictionary templates for terminology in areas of the 1936 Act that are in the course of being rewritten.</w:t>
      </w:r>
    </w:p>
    <w:p w:rsidR="00013D83" w:rsidRPr="006B3796" w:rsidRDefault="00013D83" w:rsidP="00013D83">
      <w:pPr>
        <w:pStyle w:val="Body"/>
      </w:pPr>
      <w:r w:rsidRPr="006B3796">
        <w:rPr>
          <w:noProof/>
        </w:rPr>
        <w:t>21</w:t>
      </w:r>
      <w:r w:rsidRPr="006B3796">
        <w:tab/>
        <w:t>When drafting a definition of a term for insertion in the 1997 Act, follow these steps:</w:t>
      </w:r>
    </w:p>
    <w:p w:rsidR="00013D83" w:rsidRPr="006B3796" w:rsidRDefault="00013D83" w:rsidP="00013D83">
      <w:pPr>
        <w:pStyle w:val="subsection"/>
      </w:pPr>
      <w:r w:rsidRPr="006B3796">
        <w:tab/>
        <w:t>(1)</w:t>
      </w:r>
      <w:r w:rsidRPr="006B3796">
        <w:tab/>
        <w:t>Check to see if the term is already defined in the Act or an amending Bill.</w:t>
      </w:r>
    </w:p>
    <w:p w:rsidR="00013D83" w:rsidRPr="006B3796" w:rsidRDefault="00013D83" w:rsidP="00013D83">
      <w:pPr>
        <w:pStyle w:val="subsection"/>
      </w:pPr>
      <w:r w:rsidRPr="006B3796">
        <w:tab/>
        <w:t>(2)</w:t>
      </w:r>
      <w:r w:rsidRPr="006B3796">
        <w:tab/>
        <w:t>If the term has already been defined, consider whether the definition is suitable for your purpose.</w:t>
      </w:r>
    </w:p>
    <w:p w:rsidR="00013D83" w:rsidRPr="006B3796" w:rsidRDefault="00013D83" w:rsidP="00013D83">
      <w:pPr>
        <w:pStyle w:val="subsection"/>
      </w:pPr>
      <w:r w:rsidRPr="006B3796">
        <w:tab/>
        <w:t>(3)</w:t>
      </w:r>
      <w:r w:rsidRPr="006B3796">
        <w:tab/>
        <w:t xml:space="preserve">If (2) does not apply, you need to check whether the term has already been used in the </w:t>
      </w:r>
      <w:r w:rsidRPr="006B3796">
        <w:rPr>
          <w:i/>
        </w:rPr>
        <w:t>Income Tax Assessment Act 1997</w:t>
      </w:r>
      <w:r w:rsidRPr="006B3796">
        <w:t xml:space="preserve"> (in which case it bears its ordinary meaning). If it has, you may decide not to disturb that use of the term, in which case, proceed as for (2). If you decide to define the term anyway, you need to:</w:t>
      </w:r>
    </w:p>
    <w:p w:rsidR="00013D83" w:rsidRPr="006B3796" w:rsidRDefault="00013D83" w:rsidP="00013D83">
      <w:pPr>
        <w:pStyle w:val="paragraph"/>
      </w:pPr>
      <w:r w:rsidRPr="006B3796">
        <w:tab/>
        <w:t>(a)</w:t>
      </w:r>
      <w:r w:rsidRPr="006B3796">
        <w:tab/>
        <w:t>clear with your instructors that it is OK for the existing occurrences of the term to be caught by the definition; and</w:t>
      </w:r>
    </w:p>
    <w:p w:rsidR="00013D83" w:rsidRPr="006B3796" w:rsidRDefault="00013D83" w:rsidP="00013D83">
      <w:pPr>
        <w:pStyle w:val="paragraph"/>
      </w:pPr>
      <w:r w:rsidRPr="006B3796">
        <w:tab/>
        <w:t>(b)</w:t>
      </w:r>
      <w:r w:rsidRPr="006B3796">
        <w:tab/>
        <w:t>amend the provisions containing those occurrences, so as to asterisk the term in accordance with the normal askterisking rules.</w:t>
      </w:r>
    </w:p>
    <w:p w:rsidR="00013D83" w:rsidRPr="006B3796" w:rsidRDefault="00013D83" w:rsidP="00013D83">
      <w:pPr>
        <w:pStyle w:val="paragraph"/>
      </w:pPr>
      <w:r w:rsidRPr="006B3796">
        <w:t>.....................................................</w:t>
      </w:r>
    </w:p>
    <w:p w:rsidR="00013D83" w:rsidRPr="006B3796" w:rsidRDefault="00013D83" w:rsidP="00013D83">
      <w:pPr>
        <w:pStyle w:val="Special3"/>
      </w:pPr>
      <w:r w:rsidRPr="006B3796">
        <w:t>The form of definitions</w:t>
      </w:r>
    </w:p>
    <w:p w:rsidR="00013D83" w:rsidRPr="006B3796" w:rsidRDefault="00013D83" w:rsidP="00013D83">
      <w:pPr>
        <w:pStyle w:val="Special3"/>
      </w:pPr>
      <w:r w:rsidRPr="006B3796">
        <w:t>General</w:t>
      </w:r>
    </w:p>
    <w:p w:rsidR="00013D83" w:rsidRPr="006B3796" w:rsidRDefault="00013D83" w:rsidP="00013D83">
      <w:pPr>
        <w:pStyle w:val="Body"/>
      </w:pPr>
      <w:r w:rsidRPr="006B3796">
        <w:rPr>
          <w:noProof/>
        </w:rPr>
        <w:t>25</w:t>
      </w:r>
      <w:r w:rsidRPr="006B3796">
        <w:tab/>
        <w:t xml:space="preserve">It follows from the “one expression, one meaning rule” that definitions do not need to include a statement of scope. Their scope is implicitly the whole of the </w:t>
      </w:r>
      <w:r w:rsidRPr="006B3796">
        <w:rPr>
          <w:i/>
        </w:rPr>
        <w:t>Income Tax Assessment Act 1997</w:t>
      </w:r>
      <w:r w:rsidRPr="006B3796">
        <w:t>. One of the major purposes behind the rule, and its principal benefit, is that the reader of the law (and its drafters!) can rely on stable meanings for terminology throughout.</w:t>
      </w:r>
    </w:p>
    <w:p w:rsidR="00013D83" w:rsidRPr="006B3796" w:rsidRDefault="00013D83" w:rsidP="00013D83">
      <w:pPr>
        <w:pStyle w:val="Special3"/>
      </w:pPr>
      <w:r w:rsidRPr="006B3796">
        <w:t>“Referential” style definitions not to be used</w:t>
      </w:r>
    </w:p>
    <w:p w:rsidR="00013D83" w:rsidRPr="006B3796" w:rsidRDefault="00013D83" w:rsidP="00013D83">
      <w:pPr>
        <w:pStyle w:val="Body"/>
      </w:pPr>
      <w:r w:rsidRPr="006B3796">
        <w:rPr>
          <w:noProof/>
        </w:rPr>
        <w:t>26</w:t>
      </w:r>
      <w:r w:rsidRPr="006B3796">
        <w:tab/>
        <w:t>Definitions in the form “a reference to X is/includes a reference to Y” are not to be used under any circumstances. The form is long</w:t>
      </w:r>
      <w:r w:rsidR="002860B3">
        <w:noBreakHyphen/>
      </w:r>
      <w:r w:rsidRPr="006B3796">
        <w:t xml:space="preserve">winded and makes it difficult to identify the defined term. The supposed benefits of this type of definition are adequately achieved by </w:t>
      </w:r>
      <w:r w:rsidR="002860B3">
        <w:t>section 1</w:t>
      </w:r>
      <w:r w:rsidRPr="006B3796">
        <w:t xml:space="preserve">8A of the </w:t>
      </w:r>
      <w:r w:rsidRPr="006B3796">
        <w:rPr>
          <w:i/>
        </w:rPr>
        <w:t>Acts Interpretation Act 1901</w:t>
      </w:r>
      <w:r w:rsidRPr="006B3796">
        <w:t xml:space="preserve">. </w:t>
      </w:r>
    </w:p>
    <w:p w:rsidR="00013D83" w:rsidRPr="006B3796" w:rsidRDefault="00013D83" w:rsidP="00013D83">
      <w:pPr>
        <w:pStyle w:val="Special3"/>
      </w:pPr>
      <w:r w:rsidRPr="006B3796">
        <w:t>Where to put definitions</w:t>
      </w:r>
    </w:p>
    <w:p w:rsidR="00013D83" w:rsidRPr="006B3796" w:rsidRDefault="00013D83" w:rsidP="00013D83">
      <w:pPr>
        <w:pStyle w:val="Special3"/>
      </w:pPr>
      <w:r w:rsidRPr="006B3796">
        <w:t>“Just in time” definitions</w:t>
      </w:r>
    </w:p>
    <w:p w:rsidR="00013D83" w:rsidRPr="006B3796" w:rsidRDefault="00013D83" w:rsidP="00013D83">
      <w:pPr>
        <w:pStyle w:val="Body"/>
      </w:pPr>
      <w:r w:rsidRPr="006B3796">
        <w:rPr>
          <w:noProof/>
        </w:rPr>
        <w:t>27</w:t>
      </w:r>
      <w:r w:rsidRPr="006B3796">
        <w:tab/>
        <w:t>A “just in time” definition is one that is essential to the flow of information to the reader in a particular area of the law. It will be located at an appropriate point in that area.</w:t>
      </w:r>
    </w:p>
    <w:p w:rsidR="00013D83" w:rsidRPr="006B3796" w:rsidRDefault="00013D83" w:rsidP="00013D83">
      <w:pPr>
        <w:pStyle w:val="Body"/>
      </w:pPr>
      <w:r w:rsidRPr="006B3796">
        <w:rPr>
          <w:noProof/>
        </w:rPr>
        <w:t>28</w:t>
      </w:r>
      <w:r w:rsidRPr="006B3796">
        <w:tab/>
        <w:t xml:space="preserve">The fact that a term defined by a “just in time” definition is used in other areas of the law is </w:t>
      </w:r>
      <w:r w:rsidRPr="006B3796">
        <w:rPr>
          <w:i/>
        </w:rPr>
        <w:t>not</w:t>
      </w:r>
      <w:r w:rsidRPr="006B3796">
        <w:t xml:space="preserve"> a sufficient reason for putting the definition somewhere else than in the area to which it is integral.</w:t>
      </w:r>
    </w:p>
    <w:p w:rsidR="00013D83" w:rsidRPr="006B3796" w:rsidRDefault="00013D83" w:rsidP="00013D83">
      <w:pPr>
        <w:pStyle w:val="Body"/>
      </w:pPr>
      <w:r w:rsidRPr="006B3796">
        <w:rPr>
          <w:noProof/>
        </w:rPr>
        <w:lastRenderedPageBreak/>
        <w:t>29</w:t>
      </w:r>
      <w:r w:rsidRPr="006B3796">
        <w:tab/>
        <w:t>If the definition is integral to 2 or more areas, it should be put in the area that is most commonly used or with which it has the closest connection.</w:t>
      </w:r>
    </w:p>
    <w:p w:rsidR="00013D83" w:rsidRPr="006B3796" w:rsidRDefault="00013D83" w:rsidP="00013D83">
      <w:pPr>
        <w:pStyle w:val="Special3"/>
      </w:pPr>
      <w:r w:rsidRPr="006B3796">
        <w:t>Ordinary definitions</w:t>
      </w:r>
    </w:p>
    <w:p w:rsidR="00013D83" w:rsidRPr="006B3796" w:rsidRDefault="00013D83" w:rsidP="00013D83">
      <w:pPr>
        <w:pStyle w:val="Body"/>
      </w:pPr>
      <w:r w:rsidRPr="006B3796">
        <w:rPr>
          <w:noProof/>
        </w:rPr>
        <w:t>30</w:t>
      </w:r>
      <w:r w:rsidRPr="006B3796">
        <w:tab/>
        <w:t>All other definitions are ordinary definitions.</w:t>
      </w:r>
    </w:p>
    <w:p w:rsidR="00013D83" w:rsidRPr="006B3796" w:rsidRDefault="00013D83" w:rsidP="00013D83">
      <w:pPr>
        <w:pStyle w:val="Body"/>
      </w:pPr>
      <w:r w:rsidRPr="006B3796">
        <w:rPr>
          <w:noProof/>
        </w:rPr>
        <w:t>31</w:t>
      </w:r>
      <w:r w:rsidRPr="006B3796">
        <w:tab/>
        <w:t xml:space="preserve">These will be located in </w:t>
      </w:r>
      <w:r w:rsidR="002860B3">
        <w:t>Chapter 6</w:t>
      </w:r>
      <w:r w:rsidRPr="006B3796">
        <w:t>—the “Dictionary”.</w:t>
      </w:r>
    </w:p>
    <w:p w:rsidR="00013D83" w:rsidRPr="006B3796" w:rsidRDefault="00013D83" w:rsidP="002860B3">
      <w:pPr>
        <w:pStyle w:val="Special2"/>
        <w:pageBreakBefore/>
      </w:pPr>
      <w:r w:rsidRPr="006B3796">
        <w:lastRenderedPageBreak/>
        <w:t>TLIP Note 11 (Edited extract)</w:t>
      </w:r>
    </w:p>
    <w:p w:rsidR="00013D83" w:rsidRPr="006B3796" w:rsidRDefault="00013D83" w:rsidP="00013D83">
      <w:pPr>
        <w:pStyle w:val="Special3"/>
      </w:pPr>
      <w:r w:rsidRPr="006B3796">
        <w:t>Exception 1: when “you” would refer to a person who is not an individual</w:t>
      </w:r>
    </w:p>
    <w:p w:rsidR="00013D83" w:rsidRPr="006B3796" w:rsidRDefault="00013D83" w:rsidP="00013D83"/>
    <w:p w:rsidR="00013D83" w:rsidRPr="006B3796" w:rsidRDefault="00013D83" w:rsidP="00013D83">
      <w:r w:rsidRPr="006B3796">
        <w:t>“You” should not be used where, on the face of the text, the only entity it would refer to is an artificial entity (eg: “If you are a company...”). Instead, the provision should be drafted in the third person:</w:t>
      </w:r>
    </w:p>
    <w:p w:rsidR="00013D83" w:rsidRPr="006B3796" w:rsidRDefault="00013D83" w:rsidP="000C12AB">
      <w:pPr>
        <w:pStyle w:val="Specials"/>
      </w:pPr>
      <w:r w:rsidRPr="006B3796">
        <w:t>Example:</w:t>
      </w:r>
    </w:p>
    <w:p w:rsidR="00013D83" w:rsidRPr="002860B3" w:rsidRDefault="00013D83" w:rsidP="000C12AB">
      <w:pPr>
        <w:pStyle w:val="Specials"/>
      </w:pPr>
      <w:r w:rsidRPr="002860B3">
        <w:t>165</w:t>
      </w:r>
      <w:r w:rsidR="002860B3" w:rsidRPr="002860B3">
        <w:noBreakHyphen/>
      </w:r>
      <w:r w:rsidRPr="002860B3">
        <w:t>10  To deduct a tax loss</w:t>
      </w:r>
    </w:p>
    <w:p w:rsidR="00013D83" w:rsidRPr="006B3796" w:rsidRDefault="00013D83" w:rsidP="00013D83">
      <w:pPr>
        <w:pStyle w:val="subsection"/>
      </w:pPr>
      <w:r w:rsidRPr="006B3796">
        <w:tab/>
      </w:r>
      <w:r w:rsidRPr="006B3796">
        <w:tab/>
        <w:t xml:space="preserve">A company cannot deduct a </w:t>
      </w:r>
      <w:r w:rsidR="002860B3" w:rsidRPr="002860B3">
        <w:rPr>
          <w:position w:val="6"/>
          <w:sz w:val="16"/>
        </w:rPr>
        <w:t>*</w:t>
      </w:r>
      <w:r w:rsidRPr="006B3796">
        <w:t>tax loss unless either:</w:t>
      </w:r>
    </w:p>
    <w:p w:rsidR="00013D83" w:rsidRPr="006B3796" w:rsidRDefault="00013D83" w:rsidP="00013D83">
      <w:pPr>
        <w:pStyle w:val="paragraph"/>
      </w:pPr>
      <w:r w:rsidRPr="006B3796">
        <w:tab/>
        <w:t>(a)</w:t>
      </w:r>
      <w:r w:rsidRPr="006B3796">
        <w:tab/>
        <w:t xml:space="preserve">it meets the conditions in </w:t>
      </w:r>
      <w:r w:rsidR="002860B3">
        <w:t>section 1</w:t>
      </w:r>
      <w:r w:rsidRPr="006B3796">
        <w:t>65</w:t>
      </w:r>
      <w:r w:rsidR="002860B3">
        <w:noBreakHyphen/>
      </w:r>
      <w:r w:rsidRPr="006B3796">
        <w:t>12 (Company must maintain the same owners); or</w:t>
      </w:r>
    </w:p>
    <w:p w:rsidR="00013D83" w:rsidRPr="006B3796" w:rsidRDefault="00013D83" w:rsidP="00013D83">
      <w:pPr>
        <w:pStyle w:val="paragraph"/>
      </w:pPr>
      <w:r w:rsidRPr="006B3796">
        <w:tab/>
        <w:t>(b)</w:t>
      </w:r>
      <w:r w:rsidRPr="006B3796">
        <w:tab/>
        <w:t xml:space="preserve">it meets the condition in </w:t>
      </w:r>
      <w:r w:rsidR="002860B3">
        <w:t>section 1</w:t>
      </w:r>
      <w:r w:rsidRPr="006B3796">
        <w:t>65</w:t>
      </w:r>
      <w:r w:rsidR="002860B3">
        <w:noBreakHyphen/>
      </w:r>
      <w:r w:rsidRPr="006B3796">
        <w:t>13 (Alternatively, company must carry on same business).</w:t>
      </w:r>
    </w:p>
    <w:p w:rsidR="00013D83" w:rsidRPr="006B3796" w:rsidRDefault="00013D83" w:rsidP="00013D83">
      <w:r w:rsidRPr="006B3796">
        <w:t>___________________________________________________________________________</w:t>
      </w:r>
    </w:p>
    <w:p w:rsidR="00013D83" w:rsidRPr="006B3796" w:rsidRDefault="00013D83" w:rsidP="00013D83">
      <w:r w:rsidRPr="006B3796">
        <w:t xml:space="preserve">However, “you” should still be used even though the only entity it refers to </w:t>
      </w:r>
      <w:r w:rsidRPr="006B3796">
        <w:rPr>
          <w:i/>
        </w:rPr>
        <w:t>in fact</w:t>
      </w:r>
      <w:r w:rsidRPr="006B3796">
        <w:t xml:space="preserve"> is an artificial entity.</w:t>
      </w:r>
    </w:p>
    <w:p w:rsidR="00013D83" w:rsidRPr="006B3796" w:rsidRDefault="00013D83" w:rsidP="00013D83"/>
    <w:p w:rsidR="00013D83" w:rsidRPr="006B3796" w:rsidRDefault="00013D83" w:rsidP="00013D83"/>
    <w:p w:rsidR="00013D83" w:rsidRPr="006B3796" w:rsidRDefault="00013D83" w:rsidP="00013D83">
      <w:pPr>
        <w:pStyle w:val="Special3"/>
      </w:pPr>
      <w:r w:rsidRPr="006B3796">
        <w:t>Exception 2: when “you” would refer to a person who is dead</w:t>
      </w:r>
    </w:p>
    <w:p w:rsidR="00013D83" w:rsidRPr="006B3796" w:rsidRDefault="00013D83" w:rsidP="00013D83"/>
    <w:p w:rsidR="00013D83" w:rsidRPr="006B3796" w:rsidRDefault="00013D83" w:rsidP="00013D83">
      <w:r w:rsidRPr="006B3796">
        <w:t>“You” should not be used where it would refer to an individual who is dead (eg: “If you are dead...”). Generally, these type of provisions should be drafted in the third person (eg: 165</w:t>
      </w:r>
      <w:r w:rsidR="002860B3">
        <w:noBreakHyphen/>
      </w:r>
      <w:r w:rsidRPr="006B3796">
        <w:t>205 (Death of beneficial owner). However, in cases where the provision is referring to events that occur after a person dies, it is possible to draft these types of provisions in the second person (see S96BM6.DOC).</w:t>
      </w:r>
    </w:p>
    <w:p w:rsidR="00013D83" w:rsidRPr="006B3796" w:rsidRDefault="00013D83" w:rsidP="00013D83">
      <w:pPr>
        <w:pStyle w:val="Special3"/>
      </w:pPr>
      <w:r w:rsidRPr="006B3796">
        <w:t>Exception 3: when there are a number of key players</w:t>
      </w:r>
    </w:p>
    <w:p w:rsidR="00013D83" w:rsidRPr="006B3796" w:rsidRDefault="00013D83" w:rsidP="00013D83"/>
    <w:p w:rsidR="00013D83" w:rsidRPr="006B3796" w:rsidRDefault="00013D83" w:rsidP="00013D83">
      <w:r w:rsidRPr="006B3796">
        <w:t xml:space="preserve">Generally “you” is used instead of “the taxpayer”. </w:t>
      </w:r>
    </w:p>
    <w:p w:rsidR="00013D83" w:rsidRPr="006B3796" w:rsidRDefault="00013D83" w:rsidP="00013D83">
      <w:pPr>
        <w:pStyle w:val="Body"/>
      </w:pPr>
      <w:r w:rsidRPr="006B3796">
        <w:t>In a provision that:</w:t>
      </w:r>
    </w:p>
    <w:p w:rsidR="00013D83" w:rsidRPr="006B3796" w:rsidRDefault="00013D83" w:rsidP="003775DC">
      <w:pPr>
        <w:pStyle w:val="BodyParaBullet"/>
      </w:pPr>
      <w:r w:rsidRPr="006B3796">
        <w:t>refers to a number of entities; but</w:t>
      </w:r>
    </w:p>
    <w:p w:rsidR="00013D83" w:rsidRPr="006B3796" w:rsidRDefault="00013D83" w:rsidP="003775DC">
      <w:pPr>
        <w:pStyle w:val="BodyParaBullet"/>
      </w:pPr>
      <w:r w:rsidRPr="006B3796">
        <w:t>only affects the tax position of one of those entities;</w:t>
      </w:r>
    </w:p>
    <w:p w:rsidR="00013D83" w:rsidRPr="006B3796" w:rsidRDefault="00013D83" w:rsidP="00013D83">
      <w:pPr>
        <w:pStyle w:val="Body"/>
      </w:pPr>
      <w:r w:rsidRPr="006B3796">
        <w:t>“you” is only used to refer to the entity whose tax position is affected.</w:t>
      </w:r>
    </w:p>
    <w:p w:rsidR="00013D83" w:rsidRPr="006B3796" w:rsidRDefault="00013D83" w:rsidP="00013D83">
      <w:pPr>
        <w:pStyle w:val="Body"/>
      </w:pPr>
      <w:r w:rsidRPr="006B3796">
        <w:t xml:space="preserve">An example of this is found in </w:t>
      </w:r>
      <w:r w:rsidR="002860B3">
        <w:t>Division 3</w:t>
      </w:r>
      <w:r w:rsidRPr="006B3796">
        <w:t>4 of the 1997 Act (Non</w:t>
      </w:r>
      <w:r w:rsidR="002860B3">
        <w:noBreakHyphen/>
      </w:r>
      <w:r w:rsidRPr="006B3796">
        <w:t>compulsory uniforms). That Division is about deductions for employees for their non</w:t>
      </w:r>
      <w:r w:rsidR="002860B3">
        <w:noBreakHyphen/>
      </w:r>
      <w:r w:rsidRPr="006B3796">
        <w:t>compulsory uniforms. “You” is used when referring to those employees, because they are the taxpayers for the purposes of the Division. The Division also spells out some things that the employers of those employees need to do so that those employees can claim the deduction. Those employers are not referred to as “you”. Nor are they referred to as “your employer” in the provisions dealing just with the things the employers need to do.</w:t>
      </w:r>
    </w:p>
    <w:p w:rsidR="00013D83" w:rsidRPr="002860B3" w:rsidRDefault="00013D83" w:rsidP="000C12AB">
      <w:pPr>
        <w:pStyle w:val="Specials"/>
      </w:pPr>
      <w:r w:rsidRPr="002860B3">
        <w:lastRenderedPageBreak/>
        <w:t>Example:</w:t>
      </w:r>
    </w:p>
    <w:p w:rsidR="00013D83" w:rsidRPr="002860B3" w:rsidRDefault="00013D83" w:rsidP="000C12AB">
      <w:pPr>
        <w:pStyle w:val="Specials"/>
      </w:pPr>
      <w:r w:rsidRPr="002860B3">
        <w:t>34</w:t>
      </w:r>
      <w:r w:rsidR="002860B3" w:rsidRPr="002860B3">
        <w:noBreakHyphen/>
      </w:r>
      <w:r w:rsidRPr="002860B3">
        <w:t>10  What you can deduct</w:t>
      </w:r>
    </w:p>
    <w:p w:rsidR="00013D83" w:rsidRPr="006B3796" w:rsidRDefault="00013D83" w:rsidP="00013D83">
      <w:pPr>
        <w:pStyle w:val="subsection"/>
      </w:pPr>
      <w:r w:rsidRPr="006B3796">
        <w:tab/>
      </w:r>
      <w:r w:rsidRPr="006B3796">
        <w:tab/>
        <w:t xml:space="preserve">If you are an employee, you can deduct expenditure you incur in respect of your </w:t>
      </w:r>
      <w:r w:rsidR="002860B3" w:rsidRPr="002860B3">
        <w:rPr>
          <w:position w:val="6"/>
          <w:sz w:val="16"/>
        </w:rPr>
        <w:t>*</w:t>
      </w:r>
      <w:r w:rsidRPr="006B3796">
        <w:t>non</w:t>
      </w:r>
      <w:r w:rsidR="002860B3">
        <w:noBreakHyphen/>
      </w:r>
      <w:r w:rsidRPr="006B3796">
        <w:t>compulsory uniform if:</w:t>
      </w:r>
    </w:p>
    <w:p w:rsidR="00013D83" w:rsidRPr="006B3796" w:rsidRDefault="00013D83" w:rsidP="00013D83">
      <w:pPr>
        <w:pStyle w:val="paragraph"/>
      </w:pPr>
      <w:r w:rsidRPr="006B3796">
        <w:tab/>
        <w:t>(a)</w:t>
      </w:r>
      <w:r w:rsidRPr="006B3796">
        <w:tab/>
        <w:t>you can deduct the expenditure under another provision of this Act; and</w:t>
      </w:r>
    </w:p>
    <w:p w:rsidR="00013D83" w:rsidRPr="006B3796" w:rsidRDefault="00013D83" w:rsidP="00013D83">
      <w:pPr>
        <w:pStyle w:val="paragraph"/>
      </w:pPr>
      <w:r w:rsidRPr="006B3796">
        <w:tab/>
        <w:t>(b)</w:t>
      </w:r>
      <w:r w:rsidRPr="006B3796">
        <w:tab/>
        <w:t xml:space="preserve">the </w:t>
      </w:r>
      <w:r w:rsidR="002860B3" w:rsidRPr="002860B3">
        <w:rPr>
          <w:position w:val="6"/>
          <w:sz w:val="16"/>
        </w:rPr>
        <w:t>*</w:t>
      </w:r>
      <w:r w:rsidRPr="006B3796">
        <w:t>design of the uniform is registered under this Division when you incur the expenditure.</w:t>
      </w:r>
    </w:p>
    <w:p w:rsidR="00013D83" w:rsidRPr="006B3796" w:rsidRDefault="00013D83" w:rsidP="00013D83">
      <w:pPr>
        <w:pStyle w:val="Note"/>
      </w:pPr>
      <w:r w:rsidRPr="006B3796">
        <w:t>Note:</w:t>
      </w:r>
      <w:r w:rsidRPr="006B3796">
        <w:tab/>
        <w:t>Only your employer can apply to register the design of the uniform.</w:t>
      </w:r>
    </w:p>
    <w:p w:rsidR="00013D83" w:rsidRPr="002860B3" w:rsidRDefault="00013D83" w:rsidP="000C12AB">
      <w:pPr>
        <w:pStyle w:val="Specials"/>
      </w:pPr>
      <w:r w:rsidRPr="002860B3">
        <w:t>34</w:t>
      </w:r>
      <w:r w:rsidR="002860B3" w:rsidRPr="002860B3">
        <w:noBreakHyphen/>
      </w:r>
      <w:r w:rsidRPr="002860B3">
        <w:t>15  What is a non</w:t>
      </w:r>
      <w:r w:rsidR="002860B3" w:rsidRPr="002860B3">
        <w:noBreakHyphen/>
      </w:r>
      <w:r w:rsidRPr="002860B3">
        <w:t>compulsory uniform?</w:t>
      </w:r>
    </w:p>
    <w:p w:rsidR="00013D83" w:rsidRPr="006B3796" w:rsidRDefault="00013D83" w:rsidP="00013D83">
      <w:pPr>
        <w:pStyle w:val="subsection"/>
        <w:rPr>
          <w:b/>
        </w:rPr>
      </w:pPr>
      <w:r w:rsidRPr="006B3796">
        <w:rPr>
          <w:b/>
        </w:rPr>
        <w:t>What is a uniform?</w:t>
      </w:r>
    </w:p>
    <w:p w:rsidR="00013D83" w:rsidRPr="006B3796" w:rsidRDefault="00013D83" w:rsidP="00013D83">
      <w:pPr>
        <w:pStyle w:val="subsection"/>
      </w:pPr>
      <w:r w:rsidRPr="006B3796">
        <w:tab/>
      </w:r>
      <w:r w:rsidRPr="006B3796">
        <w:tab/>
        <w:t xml:space="preserve">A </w:t>
      </w:r>
      <w:r w:rsidRPr="006B3796">
        <w:rPr>
          <w:b/>
          <w:i/>
        </w:rPr>
        <w:t>uniform</w:t>
      </w:r>
      <w:r w:rsidRPr="006B3796">
        <w:t xml:space="preserve"> is one or more items of clothing (including accessories) which, when considered as a set, distinctively identify you as a person associated (directly or indirectly) with:</w:t>
      </w:r>
    </w:p>
    <w:p w:rsidR="00013D83" w:rsidRPr="006B3796" w:rsidRDefault="00013D83" w:rsidP="00013D83">
      <w:pPr>
        <w:pStyle w:val="paragraph"/>
      </w:pPr>
      <w:r w:rsidRPr="006B3796">
        <w:tab/>
        <w:t>(a)</w:t>
      </w:r>
      <w:r w:rsidRPr="006B3796">
        <w:tab/>
        <w:t>your employer; or</w:t>
      </w:r>
    </w:p>
    <w:p w:rsidR="00013D83" w:rsidRPr="006B3796" w:rsidRDefault="00013D83" w:rsidP="00013D83">
      <w:pPr>
        <w:pStyle w:val="paragraph"/>
      </w:pPr>
      <w:r w:rsidRPr="006B3796">
        <w:tab/>
        <w:t>(b)</w:t>
      </w:r>
      <w:r w:rsidRPr="006B3796">
        <w:tab/>
        <w:t xml:space="preserve">a group consisting of your employer and one or more of your employer’s </w:t>
      </w:r>
      <w:r w:rsidR="002860B3" w:rsidRPr="002860B3">
        <w:rPr>
          <w:position w:val="6"/>
          <w:sz w:val="16"/>
        </w:rPr>
        <w:t>*</w:t>
      </w:r>
      <w:r w:rsidRPr="006B3796">
        <w:t>associates.</w:t>
      </w:r>
    </w:p>
    <w:p w:rsidR="00013D83" w:rsidRPr="002860B3" w:rsidRDefault="00013D83" w:rsidP="000C12AB">
      <w:pPr>
        <w:pStyle w:val="Specials"/>
      </w:pPr>
      <w:r w:rsidRPr="002860B3">
        <w:t>34</w:t>
      </w:r>
      <w:r w:rsidR="002860B3" w:rsidRPr="002860B3">
        <w:noBreakHyphen/>
      </w:r>
      <w:r w:rsidRPr="002860B3">
        <w:t>25  Application to register the design</w:t>
      </w:r>
    </w:p>
    <w:p w:rsidR="00013D83" w:rsidRPr="006B3796" w:rsidRDefault="00013D83" w:rsidP="00013D83">
      <w:pPr>
        <w:pStyle w:val="subsection"/>
      </w:pPr>
      <w:r w:rsidRPr="006B3796">
        <w:tab/>
      </w:r>
      <w:r w:rsidRPr="006B3796">
        <w:tab/>
        <w:t>The employer of an employee who has, or will have, a non</w:t>
      </w:r>
      <w:r w:rsidR="002860B3">
        <w:noBreakHyphen/>
      </w:r>
      <w:r w:rsidRPr="006B3796">
        <w:t xml:space="preserve">compulsory uniform can apply to the Secretary to the Department of Industry, Science and Technology (the Industry Secretary) for the </w:t>
      </w:r>
      <w:r w:rsidR="002860B3" w:rsidRPr="002860B3">
        <w:rPr>
          <w:position w:val="6"/>
          <w:sz w:val="16"/>
        </w:rPr>
        <w:t>*</w:t>
      </w:r>
      <w:r w:rsidRPr="006B3796">
        <w:t xml:space="preserve">design of the </w:t>
      </w:r>
      <w:r w:rsidR="002860B3" w:rsidRPr="002860B3">
        <w:rPr>
          <w:position w:val="6"/>
          <w:sz w:val="16"/>
        </w:rPr>
        <w:t>*</w:t>
      </w:r>
      <w:r w:rsidRPr="006B3796">
        <w:t>uniform to be registered. No</w:t>
      </w:r>
      <w:r w:rsidR="002860B3">
        <w:noBreakHyphen/>
      </w:r>
      <w:r w:rsidRPr="006B3796">
        <w:t>one else can apply.</w:t>
      </w:r>
    </w:p>
    <w:p w:rsidR="00013D83" w:rsidRPr="006B3796" w:rsidRDefault="00013D83" w:rsidP="002860B3">
      <w:pPr>
        <w:pStyle w:val="Special3"/>
        <w:pageBreakBefore/>
      </w:pPr>
      <w:r w:rsidRPr="006B3796">
        <w:lastRenderedPageBreak/>
        <w:t>Exception 4: when the provision affects the tax position of more than one entity</w:t>
      </w:r>
    </w:p>
    <w:p w:rsidR="00013D83" w:rsidRPr="006B3796" w:rsidRDefault="00013D83" w:rsidP="00013D83"/>
    <w:p w:rsidR="00013D83" w:rsidRPr="006B3796" w:rsidRDefault="00013D83" w:rsidP="00013D83">
      <w:r w:rsidRPr="006B3796">
        <w:t>“You” should not be used in a provision that:</w:t>
      </w:r>
    </w:p>
    <w:p w:rsidR="00013D83" w:rsidRPr="006B3796" w:rsidRDefault="006B4552" w:rsidP="00013D83">
      <w:pPr>
        <w:ind w:left="360" w:hanging="360"/>
      </w:pPr>
      <w:r w:rsidRPr="006B3796">
        <w:fldChar w:fldCharType="begin"/>
      </w:r>
      <w:r w:rsidR="00013D83" w:rsidRPr="006B3796">
        <w:instrText>SYMBOL 183 \f "Symbol" \s 10 \h</w:instrText>
      </w:r>
      <w:r w:rsidRPr="006B3796">
        <w:fldChar w:fldCharType="end"/>
      </w:r>
      <w:r w:rsidR="00013D83" w:rsidRPr="006B3796">
        <w:tab/>
        <w:t>refers to a number of entities; and</w:t>
      </w:r>
    </w:p>
    <w:p w:rsidR="00013D83" w:rsidRPr="006B3796" w:rsidRDefault="006B4552" w:rsidP="00013D83">
      <w:pPr>
        <w:ind w:left="360" w:hanging="360"/>
      </w:pPr>
      <w:r w:rsidRPr="006B3796">
        <w:fldChar w:fldCharType="begin"/>
      </w:r>
      <w:r w:rsidR="00013D83" w:rsidRPr="006B3796">
        <w:instrText>SYMBOL 183 \f "Symbol" \s 10 \h</w:instrText>
      </w:r>
      <w:r w:rsidRPr="006B3796">
        <w:fldChar w:fldCharType="end"/>
      </w:r>
      <w:r w:rsidR="00013D83" w:rsidRPr="006B3796">
        <w:tab/>
        <w:t>affects the tax position of a number of those entities.</w:t>
      </w:r>
    </w:p>
    <w:p w:rsidR="00013D83" w:rsidRPr="006B3796" w:rsidRDefault="00013D83" w:rsidP="00013D83">
      <w:r w:rsidRPr="006B3796">
        <w:t>(Contrast this situation with that in exception 3 where only one entity’s tax position is affected by the provision.)</w:t>
      </w:r>
    </w:p>
    <w:p w:rsidR="00013D83" w:rsidRPr="006B3796" w:rsidRDefault="00013D83" w:rsidP="00013D83">
      <w:r w:rsidRPr="006B3796">
        <w:t xml:space="preserve">Provisions of this kind should be drafted in the third person (eg: </w:t>
      </w:r>
      <w:r w:rsidR="002860B3">
        <w:t>Division 4</w:t>
      </w:r>
      <w:r w:rsidRPr="006B3796">
        <w:t>1 of the 1997 Act —Common rules for capital allowances.)</w:t>
      </w:r>
    </w:p>
    <w:p w:rsidR="00013D83" w:rsidRPr="006B3796" w:rsidRDefault="00013D83" w:rsidP="000C12AB">
      <w:pPr>
        <w:pStyle w:val="Specials"/>
      </w:pPr>
      <w:r w:rsidRPr="006B3796">
        <w:t>Example:</w:t>
      </w:r>
    </w:p>
    <w:p w:rsidR="00013D83" w:rsidRPr="002860B3" w:rsidRDefault="00013D83" w:rsidP="000C12AB">
      <w:pPr>
        <w:pStyle w:val="Specials"/>
      </w:pPr>
      <w:r w:rsidRPr="002860B3">
        <w:t>41</w:t>
      </w:r>
      <w:r w:rsidR="002860B3" w:rsidRPr="002860B3">
        <w:noBreakHyphen/>
      </w:r>
      <w:r w:rsidRPr="002860B3">
        <w:t>15  When is roll</w:t>
      </w:r>
      <w:r w:rsidR="002860B3" w:rsidRPr="002860B3">
        <w:noBreakHyphen/>
      </w:r>
      <w:r w:rsidRPr="002860B3">
        <w:t>over relief available?</w:t>
      </w:r>
    </w:p>
    <w:p w:rsidR="00013D83" w:rsidRPr="006B3796" w:rsidRDefault="00013D83" w:rsidP="00013D83">
      <w:pPr>
        <w:pStyle w:val="subsection"/>
      </w:pPr>
      <w:r w:rsidRPr="006B3796">
        <w:tab/>
      </w:r>
      <w:r w:rsidRPr="006B3796">
        <w:tab/>
        <w:t>This Common rule applies in relation to the disposal of property in the 1996</w:t>
      </w:r>
      <w:r w:rsidR="002860B3">
        <w:noBreakHyphen/>
      </w:r>
      <w:r w:rsidRPr="006B3796">
        <w:t xml:space="preserve">97 income year or a later income year by a taxpayer (the </w:t>
      </w:r>
      <w:r w:rsidRPr="006B3796">
        <w:rPr>
          <w:b/>
          <w:i/>
        </w:rPr>
        <w:t>transferor</w:t>
      </w:r>
      <w:r w:rsidRPr="006B3796">
        <w:t xml:space="preserve">) to another taxpayer (the </w:t>
      </w:r>
      <w:r w:rsidRPr="006B3796">
        <w:rPr>
          <w:b/>
          <w:i/>
        </w:rPr>
        <w:t>transferee</w:t>
      </w:r>
      <w:r w:rsidRPr="006B3796">
        <w:t xml:space="preserve">) in the circumstances set out in </w:t>
      </w:r>
      <w:r w:rsidR="002860B3">
        <w:t>section 4</w:t>
      </w:r>
      <w:r w:rsidRPr="006B3796">
        <w:t>1</w:t>
      </w:r>
      <w:r w:rsidR="002860B3">
        <w:noBreakHyphen/>
      </w:r>
      <w:r w:rsidRPr="006B3796">
        <w:t>20.</w:t>
      </w:r>
    </w:p>
    <w:p w:rsidR="00013D83" w:rsidRPr="002860B3" w:rsidRDefault="00013D83" w:rsidP="000C12AB">
      <w:pPr>
        <w:pStyle w:val="Specials"/>
      </w:pPr>
      <w:r w:rsidRPr="002860B3">
        <w:t>41</w:t>
      </w:r>
      <w:r w:rsidR="002860B3" w:rsidRPr="002860B3">
        <w:noBreakHyphen/>
      </w:r>
      <w:r w:rsidRPr="002860B3">
        <w:t>20  Disposals of property</w:t>
      </w:r>
    </w:p>
    <w:p w:rsidR="00013D83" w:rsidRPr="006B3796" w:rsidRDefault="00013D83" w:rsidP="00013D83">
      <w:pPr>
        <w:pStyle w:val="subsection"/>
      </w:pPr>
      <w:r w:rsidRPr="006B3796">
        <w:tab/>
        <w:t>(1)</w:t>
      </w:r>
      <w:r w:rsidRPr="006B3796">
        <w:tab/>
        <w:t>Roll</w:t>
      </w:r>
      <w:r w:rsidR="002860B3">
        <w:noBreakHyphen/>
      </w:r>
      <w:r w:rsidRPr="006B3796">
        <w:t>over relief is available if:</w:t>
      </w:r>
    </w:p>
    <w:p w:rsidR="00013D83" w:rsidRPr="006B3796" w:rsidRDefault="00013D83" w:rsidP="00013D83">
      <w:pPr>
        <w:pStyle w:val="paragraph"/>
      </w:pPr>
      <w:r w:rsidRPr="006B3796">
        <w:tab/>
        <w:t>(a)</w:t>
      </w:r>
      <w:r w:rsidRPr="006B3796">
        <w:tab/>
        <w:t xml:space="preserve">amounts are or have been deductible by the transferor in respect of the property under the rules for the </w:t>
      </w:r>
      <w:r w:rsidR="002860B3" w:rsidRPr="002860B3">
        <w:rPr>
          <w:position w:val="6"/>
          <w:sz w:val="16"/>
        </w:rPr>
        <w:t>*</w:t>
      </w:r>
      <w:r w:rsidRPr="006B3796">
        <w:t>capital allowance; and</w:t>
      </w:r>
    </w:p>
    <w:p w:rsidR="00013D83" w:rsidRPr="006B3796" w:rsidRDefault="00013D83" w:rsidP="00013D83">
      <w:pPr>
        <w:pStyle w:val="paragraph"/>
      </w:pPr>
      <w:r w:rsidRPr="006B3796">
        <w:tab/>
        <w:t>(b)</w:t>
      </w:r>
      <w:r w:rsidRPr="006B3796">
        <w:tab/>
        <w:t>if the transferor is not a partnership—</w:t>
      </w:r>
      <w:r w:rsidR="002860B3">
        <w:t>section 1</w:t>
      </w:r>
      <w:r w:rsidRPr="006B3796">
        <w:t xml:space="preserve">60ZZM, 160ZZMA, 160ZZN or 160ZZO of the </w:t>
      </w:r>
      <w:r w:rsidRPr="006B3796">
        <w:rPr>
          <w:i/>
        </w:rPr>
        <w:t>Income Tax Assessment Act 1936</w:t>
      </w:r>
      <w:r w:rsidRPr="006B3796">
        <w:t>:</w:t>
      </w:r>
    </w:p>
    <w:p w:rsidR="00013D83" w:rsidRPr="006B3796" w:rsidRDefault="00013D83" w:rsidP="00013D83">
      <w:pPr>
        <w:pStyle w:val="paragraphsub"/>
      </w:pPr>
      <w:r w:rsidRPr="006B3796">
        <w:tab/>
        <w:t>(i)</w:t>
      </w:r>
      <w:r w:rsidRPr="006B3796">
        <w:tab/>
        <w:t>applies to the disposal; or</w:t>
      </w:r>
    </w:p>
    <w:p w:rsidR="00013D83" w:rsidRPr="006B3796" w:rsidRDefault="00013D83" w:rsidP="00013D83">
      <w:pPr>
        <w:pStyle w:val="paragraphsub"/>
      </w:pPr>
      <w:r w:rsidRPr="006B3796">
        <w:tab/>
        <w:t>(ii)</w:t>
      </w:r>
      <w:r w:rsidRPr="006B3796">
        <w:tab/>
        <w:t xml:space="preserve">if the property is a </w:t>
      </w:r>
      <w:r w:rsidR="002860B3" w:rsidRPr="002860B3">
        <w:rPr>
          <w:position w:val="6"/>
          <w:sz w:val="16"/>
        </w:rPr>
        <w:t>*</w:t>
      </w:r>
      <w:r w:rsidRPr="006B3796">
        <w:t xml:space="preserve">motor vehicle covered by </w:t>
      </w:r>
      <w:r w:rsidR="002860B3">
        <w:t>paragraph 8</w:t>
      </w:r>
      <w:r w:rsidRPr="006B3796">
        <w:t xml:space="preserve">2AF(2)(a) of that Act—would apply to the disposal if a reference in those sections to an asset included a reference to a </w:t>
      </w:r>
      <w:r w:rsidR="002860B3" w:rsidRPr="002860B3">
        <w:rPr>
          <w:position w:val="6"/>
          <w:sz w:val="16"/>
        </w:rPr>
        <w:t>*</w:t>
      </w:r>
      <w:r w:rsidRPr="006B3796">
        <w:t>motor vehicle of that kind; and</w:t>
      </w:r>
    </w:p>
    <w:p w:rsidR="00013D83" w:rsidRPr="006B3796" w:rsidRDefault="00013D83" w:rsidP="002860B3">
      <w:pPr>
        <w:pStyle w:val="Special2"/>
        <w:pageBreakBefore/>
      </w:pPr>
      <w:r w:rsidRPr="006B3796">
        <w:lastRenderedPageBreak/>
        <w:t>TLIP Note 43</w:t>
      </w:r>
    </w:p>
    <w:p w:rsidR="00013D83" w:rsidRPr="006B3796" w:rsidRDefault="00013D83" w:rsidP="00013D83">
      <w:pPr>
        <w:pStyle w:val="Body"/>
      </w:pPr>
      <w:r w:rsidRPr="006B3796">
        <w:t>4.</w:t>
      </w:r>
      <w:r w:rsidRPr="006B3796">
        <w:tab/>
        <w:t>Examples of amending forms for headings follow:</w:t>
      </w:r>
    </w:p>
    <w:p w:rsidR="00013D83" w:rsidRPr="006B3796" w:rsidRDefault="00013D83" w:rsidP="00013D83">
      <w:pPr>
        <w:pStyle w:val="ItemHead"/>
      </w:pPr>
      <w:r w:rsidRPr="006B3796">
        <w:t xml:space="preserve">777  Group heading before </w:t>
      </w:r>
      <w:r w:rsidR="002860B3">
        <w:t>section 1</w:t>
      </w:r>
      <w:r w:rsidRPr="006B3796">
        <w:t>65</w:t>
      </w:r>
      <w:r w:rsidR="002860B3">
        <w:noBreakHyphen/>
      </w:r>
      <w:r w:rsidRPr="006B3796">
        <w:t>10</w:t>
      </w:r>
    </w:p>
    <w:p w:rsidR="00013D83" w:rsidRPr="006B3796" w:rsidRDefault="00013D83" w:rsidP="00013D83">
      <w:pPr>
        <w:pStyle w:val="Item"/>
      </w:pPr>
      <w:r w:rsidRPr="006B3796">
        <w:t>Repeal the heading, substitute:</w:t>
      </w:r>
    </w:p>
    <w:p w:rsidR="00013D83" w:rsidRPr="002860B3" w:rsidRDefault="00013D83" w:rsidP="000C12AB">
      <w:pPr>
        <w:pStyle w:val="Specialsd"/>
      </w:pPr>
      <w:r w:rsidRPr="002860B3">
        <w:t>Conditions for deducting a tax loss</w:t>
      </w:r>
    </w:p>
    <w:p w:rsidR="00013D83" w:rsidRPr="006B3796" w:rsidRDefault="00013D83" w:rsidP="00013D83">
      <w:pPr>
        <w:pStyle w:val="Body"/>
      </w:pPr>
      <w:r w:rsidRPr="006B3796">
        <w:t>(Note that a group heading is always identified by reference to the section that comes immediately after it (because a group heading is not numbered, but is always followed immediately by a section).)</w:t>
      </w:r>
    </w:p>
    <w:p w:rsidR="00013D83" w:rsidRPr="006B3796" w:rsidRDefault="00013D83" w:rsidP="00013D83">
      <w:pPr>
        <w:pStyle w:val="ItemHead"/>
      </w:pPr>
      <w:r w:rsidRPr="006B3796">
        <w:t xml:space="preserve">777  </w:t>
      </w:r>
      <w:r w:rsidR="002860B3">
        <w:t>Section 1</w:t>
      </w:r>
      <w:r w:rsidRPr="006B3796">
        <w:t>65</w:t>
      </w:r>
      <w:r w:rsidR="002860B3">
        <w:noBreakHyphen/>
      </w:r>
      <w:r w:rsidRPr="006B3796">
        <w:t>10 (heading)</w:t>
      </w:r>
    </w:p>
    <w:p w:rsidR="00013D83" w:rsidRPr="006B3796" w:rsidRDefault="00013D83" w:rsidP="00013D83">
      <w:pPr>
        <w:pStyle w:val="Item"/>
      </w:pPr>
      <w:r w:rsidRPr="006B3796">
        <w:t>Repeal the heading, substitute:</w:t>
      </w:r>
    </w:p>
    <w:p w:rsidR="00013D83" w:rsidRPr="002860B3" w:rsidRDefault="00013D83" w:rsidP="000C12AB">
      <w:pPr>
        <w:pStyle w:val="Specials"/>
      </w:pPr>
      <w:r w:rsidRPr="002860B3">
        <w:t>165</w:t>
      </w:r>
      <w:r w:rsidR="002860B3" w:rsidRPr="002860B3">
        <w:noBreakHyphen/>
      </w:r>
      <w:r w:rsidRPr="002860B3">
        <w:t>10  Company must meet conditions to deduct a tax loss</w:t>
      </w:r>
    </w:p>
    <w:p w:rsidR="00013D83" w:rsidRPr="006B3796" w:rsidRDefault="00013D83" w:rsidP="00013D83">
      <w:pPr>
        <w:pStyle w:val="ItemHead"/>
      </w:pPr>
      <w:r w:rsidRPr="006B3796">
        <w:t xml:space="preserve">777  </w:t>
      </w:r>
      <w:r w:rsidR="002860B3">
        <w:t>Subsection 1</w:t>
      </w:r>
      <w:r w:rsidRPr="006B3796">
        <w:t>65</w:t>
      </w:r>
      <w:r w:rsidR="002860B3">
        <w:noBreakHyphen/>
      </w:r>
      <w:r w:rsidRPr="006B3796">
        <w:t>12(1) (heading)</w:t>
      </w:r>
    </w:p>
    <w:p w:rsidR="00013D83" w:rsidRPr="006B3796" w:rsidRDefault="00013D83" w:rsidP="00013D83">
      <w:pPr>
        <w:pStyle w:val="Item"/>
      </w:pPr>
      <w:r w:rsidRPr="006B3796">
        <w:t>Repeal the heading, substitute:</w:t>
      </w:r>
    </w:p>
    <w:p w:rsidR="00013D83" w:rsidRDefault="00013D83" w:rsidP="00013D83">
      <w:pPr>
        <w:pStyle w:val="SubsectionHead"/>
      </w:pPr>
      <w:r w:rsidRPr="006B3796">
        <w:t>Same persons must have more than 50% of voting power for loss year and income year</w:t>
      </w:r>
    </w:p>
    <w:p w:rsidR="00FB42DD" w:rsidRDefault="00FB42DD" w:rsidP="00FB42DD">
      <w:pPr>
        <w:pStyle w:val="subsection"/>
        <w:sectPr w:rsidR="00FB42DD" w:rsidSect="00F87C1F">
          <w:headerReference w:type="even" r:id="rId10"/>
          <w:headerReference w:type="default" r:id="rId11"/>
          <w:footerReference w:type="even" r:id="rId12"/>
          <w:footerReference w:type="default" r:id="rId13"/>
          <w:headerReference w:type="first" r:id="rId14"/>
          <w:footerReference w:type="first" r:id="rId15"/>
          <w:pgSz w:w="11907" w:h="16839"/>
          <w:pgMar w:top="1559" w:right="1440" w:bottom="1440" w:left="1440" w:header="720" w:footer="720" w:gutter="0"/>
          <w:cols w:space="708"/>
          <w:titlePg/>
          <w:docGrid w:linePitch="360"/>
        </w:sectPr>
      </w:pPr>
    </w:p>
    <w:p w:rsidR="00013D83" w:rsidRPr="006B3796" w:rsidRDefault="00013D83" w:rsidP="002860B3">
      <w:pPr>
        <w:pStyle w:val="Head2"/>
        <w:pageBreakBefore/>
      </w:pPr>
      <w:bookmarkStart w:id="40" w:name="_Toc144733664"/>
      <w:r w:rsidRPr="006B3796">
        <w:lastRenderedPageBreak/>
        <w:t>Attachment C—TLIP Features used in Tax Code Acts</w:t>
      </w:r>
      <w:bookmarkEnd w:id="40"/>
    </w:p>
    <w:p w:rsidR="00013D83" w:rsidRPr="006B3796" w:rsidRDefault="00013D83" w:rsidP="00013D83"/>
    <w:tbl>
      <w:tblPr>
        <w:tblW w:w="12355" w:type="dxa"/>
        <w:tblInd w:w="113" w:type="dxa"/>
        <w:tblLayout w:type="fixed"/>
        <w:tblLook w:val="0000" w:firstRow="0" w:lastRow="0" w:firstColumn="0" w:lastColumn="0" w:noHBand="0" w:noVBand="0"/>
      </w:tblPr>
      <w:tblGrid>
        <w:gridCol w:w="714"/>
        <w:gridCol w:w="3121"/>
        <w:gridCol w:w="1320"/>
        <w:gridCol w:w="1452"/>
        <w:gridCol w:w="1428"/>
        <w:gridCol w:w="1440"/>
        <w:gridCol w:w="1440"/>
        <w:gridCol w:w="1440"/>
      </w:tblGrid>
      <w:tr w:rsidR="00013D83" w:rsidRPr="006B3796" w:rsidTr="001F3F21">
        <w:trPr>
          <w:cantSplit/>
          <w:tblHeader/>
        </w:trPr>
        <w:tc>
          <w:tcPr>
            <w:tcW w:w="12355" w:type="dxa"/>
            <w:gridSpan w:val="8"/>
            <w:tcBorders>
              <w:top w:val="single" w:sz="12" w:space="0" w:color="auto"/>
              <w:bottom w:val="single" w:sz="6" w:space="0" w:color="auto"/>
            </w:tcBorders>
            <w:shd w:val="clear" w:color="auto" w:fill="auto"/>
          </w:tcPr>
          <w:p w:rsidR="00013D83" w:rsidRPr="006B3796" w:rsidRDefault="00013D83" w:rsidP="001F3F21">
            <w:pPr>
              <w:pStyle w:val="Tabletext"/>
              <w:keepNext/>
              <w:rPr>
                <w:b/>
              </w:rPr>
            </w:pPr>
            <w:r w:rsidRPr="006B3796">
              <w:rPr>
                <w:b/>
              </w:rPr>
              <w:t>TLIP Features used in Tax Code Acts</w:t>
            </w:r>
          </w:p>
        </w:tc>
      </w:tr>
      <w:tr w:rsidR="00013D83" w:rsidRPr="006B3796" w:rsidTr="001F3F21">
        <w:trPr>
          <w:cantSplit/>
          <w:tblHeader/>
        </w:trPr>
        <w:tc>
          <w:tcPr>
            <w:tcW w:w="714" w:type="dxa"/>
            <w:vMerge w:val="restart"/>
            <w:tcBorders>
              <w:top w:val="single" w:sz="6" w:space="0" w:color="auto"/>
              <w:right w:val="single" w:sz="6" w:space="0" w:color="auto"/>
            </w:tcBorders>
            <w:shd w:val="clear" w:color="auto" w:fill="auto"/>
          </w:tcPr>
          <w:p w:rsidR="00013D83" w:rsidRPr="006B3796" w:rsidRDefault="00013D83" w:rsidP="001F3F21">
            <w:pPr>
              <w:pStyle w:val="Tabletext"/>
              <w:keepNext/>
              <w:rPr>
                <w:b/>
              </w:rPr>
            </w:pPr>
            <w:r w:rsidRPr="006B3796">
              <w:rPr>
                <w:b/>
              </w:rPr>
              <w:t>Item</w:t>
            </w:r>
          </w:p>
        </w:tc>
        <w:tc>
          <w:tcPr>
            <w:tcW w:w="3121" w:type="dxa"/>
            <w:vMerge w:val="restart"/>
            <w:tcBorders>
              <w:top w:val="single" w:sz="6" w:space="0" w:color="auto"/>
              <w:right w:val="single" w:sz="6" w:space="0" w:color="auto"/>
            </w:tcBorders>
            <w:shd w:val="clear" w:color="auto" w:fill="auto"/>
          </w:tcPr>
          <w:p w:rsidR="00013D83" w:rsidRPr="006B3796" w:rsidRDefault="00013D83" w:rsidP="001F3F21">
            <w:pPr>
              <w:pStyle w:val="Tabletext"/>
              <w:keepNext/>
              <w:rPr>
                <w:b/>
              </w:rPr>
            </w:pPr>
            <w:r w:rsidRPr="006B3796">
              <w:rPr>
                <w:b/>
              </w:rPr>
              <w:t>Feature</w:t>
            </w:r>
          </w:p>
        </w:tc>
        <w:tc>
          <w:tcPr>
            <w:tcW w:w="8520" w:type="dxa"/>
            <w:gridSpan w:val="6"/>
            <w:tcBorders>
              <w:top w:val="single" w:sz="6" w:space="0" w:color="auto"/>
              <w:left w:val="single" w:sz="6" w:space="0" w:color="auto"/>
              <w:bottom w:val="single" w:sz="12" w:space="0" w:color="auto"/>
            </w:tcBorders>
            <w:shd w:val="clear" w:color="auto" w:fill="auto"/>
          </w:tcPr>
          <w:p w:rsidR="00013D83" w:rsidRPr="006B3796" w:rsidRDefault="00013D83" w:rsidP="001F3F21">
            <w:pPr>
              <w:pStyle w:val="Tabletext"/>
              <w:keepNext/>
              <w:rPr>
                <w:b/>
              </w:rPr>
            </w:pPr>
            <w:r w:rsidRPr="006B3796">
              <w:rPr>
                <w:b/>
              </w:rPr>
              <w:t>Tax Code Act</w:t>
            </w:r>
          </w:p>
        </w:tc>
      </w:tr>
      <w:tr w:rsidR="00013D83" w:rsidRPr="006B3796" w:rsidTr="001F3F21">
        <w:trPr>
          <w:cantSplit/>
          <w:tblHeader/>
        </w:trPr>
        <w:tc>
          <w:tcPr>
            <w:tcW w:w="714" w:type="dxa"/>
            <w:vMerge/>
            <w:tcBorders>
              <w:bottom w:val="single" w:sz="12" w:space="0" w:color="auto"/>
              <w:right w:val="single" w:sz="6" w:space="0" w:color="auto"/>
            </w:tcBorders>
            <w:shd w:val="clear" w:color="auto" w:fill="auto"/>
          </w:tcPr>
          <w:p w:rsidR="00013D83" w:rsidRPr="006B3796" w:rsidRDefault="00013D83" w:rsidP="001F3F21">
            <w:pPr>
              <w:pStyle w:val="Tabletext"/>
              <w:keepNext/>
              <w:rPr>
                <w:b/>
              </w:rPr>
            </w:pPr>
          </w:p>
        </w:tc>
        <w:tc>
          <w:tcPr>
            <w:tcW w:w="3121" w:type="dxa"/>
            <w:vMerge/>
            <w:tcBorders>
              <w:bottom w:val="single" w:sz="12" w:space="0" w:color="auto"/>
              <w:right w:val="single" w:sz="6" w:space="0" w:color="auto"/>
            </w:tcBorders>
            <w:shd w:val="clear" w:color="auto" w:fill="auto"/>
          </w:tcPr>
          <w:p w:rsidR="00013D83" w:rsidRPr="006B3796" w:rsidRDefault="00013D83" w:rsidP="001F3F21">
            <w:pPr>
              <w:pStyle w:val="Tabletext"/>
              <w:keepNext/>
              <w:rPr>
                <w:b/>
              </w:rPr>
            </w:pPr>
          </w:p>
        </w:tc>
        <w:tc>
          <w:tcPr>
            <w:tcW w:w="1320" w:type="dxa"/>
            <w:tcBorders>
              <w:top w:val="single" w:sz="12" w:space="0" w:color="auto"/>
              <w:left w:val="single" w:sz="6" w:space="0" w:color="auto"/>
              <w:bottom w:val="single" w:sz="12" w:space="0" w:color="auto"/>
              <w:right w:val="single" w:sz="6" w:space="0" w:color="auto"/>
            </w:tcBorders>
            <w:shd w:val="clear" w:color="auto" w:fill="auto"/>
          </w:tcPr>
          <w:p w:rsidR="00013D83" w:rsidRPr="006B3796" w:rsidRDefault="00013D83" w:rsidP="001F3F21">
            <w:pPr>
              <w:pStyle w:val="Tabletext"/>
              <w:keepNext/>
              <w:rPr>
                <w:b/>
              </w:rPr>
            </w:pPr>
            <w:r w:rsidRPr="006B3796">
              <w:rPr>
                <w:b/>
              </w:rPr>
              <w:t>ITAA 97</w:t>
            </w:r>
            <w:r w:rsidRPr="006B3796">
              <w:rPr>
                <w:rStyle w:val="FootnoteReference"/>
                <w:b/>
              </w:rPr>
              <w:footnoteReference w:id="1"/>
            </w:r>
          </w:p>
        </w:tc>
        <w:tc>
          <w:tcPr>
            <w:tcW w:w="1452" w:type="dxa"/>
            <w:tcBorders>
              <w:top w:val="single" w:sz="12" w:space="0" w:color="auto"/>
              <w:left w:val="single" w:sz="6" w:space="0" w:color="auto"/>
              <w:bottom w:val="single" w:sz="12" w:space="0" w:color="auto"/>
              <w:right w:val="single" w:sz="6" w:space="0" w:color="auto"/>
            </w:tcBorders>
            <w:shd w:val="clear" w:color="auto" w:fill="auto"/>
          </w:tcPr>
          <w:p w:rsidR="00013D83" w:rsidRPr="006B3796" w:rsidRDefault="002860B3" w:rsidP="001F3F21">
            <w:pPr>
              <w:pStyle w:val="Tabletext"/>
              <w:keepNext/>
              <w:rPr>
                <w:b/>
              </w:rPr>
            </w:pPr>
            <w:r>
              <w:rPr>
                <w:b/>
              </w:rPr>
              <w:t>Schedule 1</w:t>
            </w:r>
            <w:r w:rsidR="00013D83" w:rsidRPr="006B3796">
              <w:rPr>
                <w:b/>
              </w:rPr>
              <w:t xml:space="preserve"> to TAA</w:t>
            </w:r>
            <w:r w:rsidR="00013D83" w:rsidRPr="006B3796">
              <w:rPr>
                <w:rStyle w:val="FootnoteReference"/>
                <w:b/>
              </w:rPr>
              <w:footnoteReference w:id="2"/>
            </w:r>
          </w:p>
        </w:tc>
        <w:tc>
          <w:tcPr>
            <w:tcW w:w="1428" w:type="dxa"/>
            <w:tcBorders>
              <w:top w:val="single" w:sz="12" w:space="0" w:color="auto"/>
              <w:left w:val="single" w:sz="6" w:space="0" w:color="auto"/>
              <w:bottom w:val="single" w:sz="12" w:space="0" w:color="auto"/>
              <w:right w:val="single" w:sz="6" w:space="0" w:color="auto"/>
            </w:tcBorders>
            <w:shd w:val="clear" w:color="auto" w:fill="auto"/>
          </w:tcPr>
          <w:p w:rsidR="00013D83" w:rsidRPr="006B3796" w:rsidRDefault="00013D83" w:rsidP="001F3F21">
            <w:pPr>
              <w:pStyle w:val="Tabletext"/>
              <w:keepNext/>
              <w:rPr>
                <w:b/>
              </w:rPr>
            </w:pPr>
            <w:r w:rsidRPr="006B3796">
              <w:rPr>
                <w:b/>
              </w:rPr>
              <w:t>Transitionals Act</w:t>
            </w:r>
            <w:r w:rsidRPr="006B3796">
              <w:rPr>
                <w:rStyle w:val="FootnoteReference"/>
                <w:b/>
              </w:rPr>
              <w:footnoteReference w:id="3"/>
            </w:r>
          </w:p>
        </w:tc>
        <w:tc>
          <w:tcPr>
            <w:tcW w:w="1440" w:type="dxa"/>
            <w:tcBorders>
              <w:top w:val="single" w:sz="12" w:space="0" w:color="auto"/>
              <w:left w:val="single" w:sz="6" w:space="0" w:color="auto"/>
              <w:bottom w:val="single" w:sz="12" w:space="0" w:color="auto"/>
              <w:right w:val="single" w:sz="6" w:space="0" w:color="auto"/>
            </w:tcBorders>
            <w:shd w:val="clear" w:color="auto" w:fill="auto"/>
          </w:tcPr>
          <w:p w:rsidR="00013D83" w:rsidRPr="006B3796" w:rsidRDefault="00013D83" w:rsidP="001F3F21">
            <w:pPr>
              <w:pStyle w:val="Tabletext"/>
              <w:keepNext/>
              <w:rPr>
                <w:b/>
              </w:rPr>
            </w:pPr>
            <w:r w:rsidRPr="006B3796">
              <w:rPr>
                <w:b/>
              </w:rPr>
              <w:t>Indirect tax Acts</w:t>
            </w:r>
            <w:r w:rsidRPr="006B3796">
              <w:rPr>
                <w:rStyle w:val="FootnoteReference"/>
                <w:b/>
              </w:rPr>
              <w:footnoteReference w:id="4"/>
            </w:r>
          </w:p>
        </w:tc>
        <w:tc>
          <w:tcPr>
            <w:tcW w:w="1440" w:type="dxa"/>
            <w:tcBorders>
              <w:top w:val="single" w:sz="12" w:space="0" w:color="auto"/>
              <w:left w:val="single" w:sz="6" w:space="0" w:color="auto"/>
              <w:bottom w:val="single" w:sz="12" w:space="0" w:color="auto"/>
              <w:right w:val="single" w:sz="6" w:space="0" w:color="auto"/>
            </w:tcBorders>
            <w:shd w:val="clear" w:color="auto" w:fill="auto"/>
          </w:tcPr>
          <w:p w:rsidR="00013D83" w:rsidRPr="006B3796" w:rsidRDefault="00013D83" w:rsidP="001F3F21">
            <w:pPr>
              <w:pStyle w:val="Tabletext"/>
              <w:keepNext/>
              <w:rPr>
                <w:b/>
              </w:rPr>
            </w:pPr>
            <w:r w:rsidRPr="006B3796">
              <w:rPr>
                <w:b/>
              </w:rPr>
              <w:t>ABN Act</w:t>
            </w:r>
            <w:r w:rsidRPr="006B3796">
              <w:rPr>
                <w:rStyle w:val="FootnoteReference"/>
                <w:b/>
              </w:rPr>
              <w:footnoteReference w:id="5"/>
            </w:r>
          </w:p>
        </w:tc>
        <w:tc>
          <w:tcPr>
            <w:tcW w:w="1440" w:type="dxa"/>
            <w:tcBorders>
              <w:top w:val="single" w:sz="12" w:space="0" w:color="auto"/>
              <w:left w:val="single" w:sz="6" w:space="0" w:color="auto"/>
              <w:bottom w:val="single" w:sz="12" w:space="0" w:color="auto"/>
            </w:tcBorders>
            <w:shd w:val="clear" w:color="auto" w:fill="auto"/>
          </w:tcPr>
          <w:p w:rsidR="00013D83" w:rsidRPr="006B3796" w:rsidRDefault="00013D83" w:rsidP="001F3F21">
            <w:pPr>
              <w:pStyle w:val="Tabletext"/>
              <w:keepNext/>
              <w:rPr>
                <w:b/>
              </w:rPr>
            </w:pPr>
            <w:r w:rsidRPr="006B3796">
              <w:rPr>
                <w:b/>
              </w:rPr>
              <w:t>Venture Capital Act</w:t>
            </w:r>
            <w:r w:rsidRPr="006B3796">
              <w:rPr>
                <w:rStyle w:val="FootnoteReference"/>
                <w:b/>
              </w:rPr>
              <w:footnoteReference w:id="6"/>
            </w:r>
          </w:p>
        </w:tc>
      </w:tr>
      <w:tr w:rsidR="00013D83" w:rsidRPr="006B3796" w:rsidTr="001F3F21">
        <w:trPr>
          <w:cantSplit/>
        </w:trPr>
        <w:tc>
          <w:tcPr>
            <w:tcW w:w="714" w:type="dxa"/>
            <w:tcBorders>
              <w:top w:val="single" w:sz="12" w:space="0" w:color="auto"/>
              <w:bottom w:val="single" w:sz="4" w:space="0" w:color="auto"/>
              <w:right w:val="single" w:sz="6" w:space="0" w:color="auto"/>
            </w:tcBorders>
            <w:shd w:val="clear" w:color="auto" w:fill="auto"/>
          </w:tcPr>
          <w:p w:rsidR="00013D83" w:rsidRPr="006B3796" w:rsidRDefault="00013D83" w:rsidP="001F3F21">
            <w:pPr>
              <w:pStyle w:val="Tabletext"/>
            </w:pPr>
            <w:r w:rsidRPr="006B3796">
              <w:t>1</w:t>
            </w:r>
          </w:p>
        </w:tc>
        <w:tc>
          <w:tcPr>
            <w:tcW w:w="3121" w:type="dxa"/>
            <w:tcBorders>
              <w:top w:val="single" w:sz="12" w:space="0" w:color="auto"/>
              <w:left w:val="single" w:sz="6" w:space="0" w:color="auto"/>
              <w:bottom w:val="single" w:sz="4" w:space="0" w:color="auto"/>
              <w:right w:val="single" w:sz="6" w:space="0" w:color="auto"/>
            </w:tcBorders>
            <w:shd w:val="clear" w:color="auto" w:fill="auto"/>
          </w:tcPr>
          <w:p w:rsidR="00013D83" w:rsidRPr="006B3796" w:rsidRDefault="00013D83" w:rsidP="001F3F21">
            <w:pPr>
              <w:pStyle w:val="Tabletext"/>
            </w:pPr>
            <w:r w:rsidRPr="006B3796">
              <w:t>Decentralised tables of Contents</w:t>
            </w:r>
          </w:p>
        </w:tc>
        <w:tc>
          <w:tcPr>
            <w:tcW w:w="1320" w:type="dxa"/>
            <w:tcBorders>
              <w:top w:val="single" w:sz="12" w:space="0" w:color="auto"/>
              <w:left w:val="single" w:sz="6" w:space="0" w:color="auto"/>
              <w:bottom w:val="single" w:sz="4" w:space="0" w:color="auto"/>
              <w:right w:val="single" w:sz="6" w:space="0" w:color="auto"/>
            </w:tcBorders>
            <w:shd w:val="clear" w:color="auto" w:fill="auto"/>
          </w:tcPr>
          <w:p w:rsidR="00013D83" w:rsidRPr="006B3796" w:rsidRDefault="00013D83" w:rsidP="001F3F21">
            <w:pPr>
              <w:pStyle w:val="Tabletext"/>
            </w:pPr>
            <w:r w:rsidRPr="006B3796">
              <w:t>Yes</w:t>
            </w:r>
          </w:p>
        </w:tc>
        <w:tc>
          <w:tcPr>
            <w:tcW w:w="1452" w:type="dxa"/>
            <w:tcBorders>
              <w:top w:val="single" w:sz="12" w:space="0" w:color="auto"/>
              <w:left w:val="single" w:sz="6" w:space="0" w:color="auto"/>
              <w:bottom w:val="single" w:sz="4" w:space="0" w:color="auto"/>
              <w:right w:val="single" w:sz="6" w:space="0" w:color="auto"/>
            </w:tcBorders>
            <w:shd w:val="clear" w:color="auto" w:fill="auto"/>
          </w:tcPr>
          <w:p w:rsidR="00013D83" w:rsidRPr="006B3796" w:rsidRDefault="00013D83" w:rsidP="001F3F21">
            <w:pPr>
              <w:pStyle w:val="Tabletext"/>
            </w:pPr>
            <w:r w:rsidRPr="006B3796">
              <w:t>Yes</w:t>
            </w:r>
          </w:p>
        </w:tc>
        <w:tc>
          <w:tcPr>
            <w:tcW w:w="1428" w:type="dxa"/>
            <w:tcBorders>
              <w:top w:val="single" w:sz="12" w:space="0" w:color="auto"/>
              <w:left w:val="single" w:sz="6" w:space="0" w:color="auto"/>
              <w:bottom w:val="single" w:sz="4" w:space="0" w:color="auto"/>
              <w:right w:val="single" w:sz="6" w:space="0" w:color="auto"/>
            </w:tcBorders>
            <w:shd w:val="clear" w:color="auto" w:fill="auto"/>
          </w:tcPr>
          <w:p w:rsidR="00013D83" w:rsidRPr="006B3796" w:rsidRDefault="00013D83" w:rsidP="001F3F21">
            <w:pPr>
              <w:pStyle w:val="Tabletext"/>
            </w:pPr>
            <w:r w:rsidRPr="006B3796">
              <w:t>Yes</w:t>
            </w:r>
          </w:p>
        </w:tc>
        <w:tc>
          <w:tcPr>
            <w:tcW w:w="1440" w:type="dxa"/>
            <w:tcBorders>
              <w:top w:val="single" w:sz="12" w:space="0" w:color="auto"/>
              <w:left w:val="single" w:sz="6" w:space="0" w:color="auto"/>
              <w:bottom w:val="single" w:sz="4" w:space="0" w:color="auto"/>
              <w:right w:val="single" w:sz="6" w:space="0" w:color="auto"/>
            </w:tcBorders>
            <w:shd w:val="clear" w:color="auto" w:fill="auto"/>
          </w:tcPr>
          <w:p w:rsidR="00013D83" w:rsidRPr="006B3796" w:rsidRDefault="00013D83" w:rsidP="001F3F21">
            <w:pPr>
              <w:pStyle w:val="Tabletext"/>
            </w:pPr>
            <w:r w:rsidRPr="006B3796">
              <w:t>Yes</w:t>
            </w:r>
          </w:p>
        </w:tc>
        <w:tc>
          <w:tcPr>
            <w:tcW w:w="1440" w:type="dxa"/>
            <w:tcBorders>
              <w:top w:val="single" w:sz="12" w:space="0" w:color="auto"/>
              <w:left w:val="single" w:sz="6" w:space="0" w:color="auto"/>
              <w:bottom w:val="single" w:sz="4" w:space="0" w:color="auto"/>
              <w:right w:val="single" w:sz="6" w:space="0" w:color="auto"/>
            </w:tcBorders>
            <w:shd w:val="clear" w:color="auto" w:fill="auto"/>
          </w:tcPr>
          <w:p w:rsidR="00013D83" w:rsidRPr="006B3796" w:rsidRDefault="00013D83" w:rsidP="001F3F21">
            <w:pPr>
              <w:pStyle w:val="Tabletext"/>
            </w:pPr>
            <w:r w:rsidRPr="006B3796">
              <w:t>No</w:t>
            </w:r>
          </w:p>
        </w:tc>
        <w:tc>
          <w:tcPr>
            <w:tcW w:w="1440" w:type="dxa"/>
            <w:tcBorders>
              <w:top w:val="single" w:sz="12" w:space="0" w:color="auto"/>
              <w:left w:val="single" w:sz="6" w:space="0" w:color="auto"/>
              <w:bottom w:val="single" w:sz="4" w:space="0" w:color="auto"/>
            </w:tcBorders>
            <w:shd w:val="clear" w:color="auto" w:fill="auto"/>
          </w:tcPr>
          <w:p w:rsidR="00013D83" w:rsidRPr="006B3796" w:rsidRDefault="00013D83" w:rsidP="001F3F21">
            <w:pPr>
              <w:pStyle w:val="Tabletext"/>
            </w:pPr>
            <w:r w:rsidRPr="006B3796">
              <w:t>Yes</w:t>
            </w:r>
          </w:p>
        </w:tc>
      </w:tr>
      <w:tr w:rsidR="00013D83" w:rsidRPr="006B3796" w:rsidTr="001F3F21">
        <w:trPr>
          <w:cantSplit/>
        </w:trPr>
        <w:tc>
          <w:tcPr>
            <w:tcW w:w="714" w:type="dxa"/>
            <w:tcBorders>
              <w:top w:val="single" w:sz="4" w:space="0" w:color="auto"/>
              <w:bottom w:val="single" w:sz="4" w:space="0" w:color="auto"/>
              <w:right w:val="single" w:sz="6" w:space="0" w:color="auto"/>
            </w:tcBorders>
            <w:shd w:val="clear" w:color="auto" w:fill="auto"/>
          </w:tcPr>
          <w:p w:rsidR="00013D83" w:rsidRPr="006B3796" w:rsidRDefault="00013D83" w:rsidP="001F3F21">
            <w:pPr>
              <w:pStyle w:val="Tabletext"/>
            </w:pPr>
          </w:p>
        </w:tc>
        <w:tc>
          <w:tcPr>
            <w:tcW w:w="3121" w:type="dxa"/>
            <w:tcBorders>
              <w:top w:val="single" w:sz="4" w:space="0" w:color="auto"/>
              <w:left w:val="single" w:sz="6" w:space="0" w:color="auto"/>
              <w:bottom w:val="single" w:sz="4" w:space="0" w:color="auto"/>
              <w:right w:val="single" w:sz="6" w:space="0" w:color="auto"/>
            </w:tcBorders>
            <w:shd w:val="clear" w:color="auto" w:fill="auto"/>
          </w:tcPr>
          <w:p w:rsidR="00013D83" w:rsidRPr="006B3796" w:rsidRDefault="00013D83" w:rsidP="001F3F21">
            <w:pPr>
              <w:pStyle w:val="Tabletext"/>
            </w:pPr>
            <w:r w:rsidRPr="006B3796">
              <w:tab/>
              <w:t>Table of Subdivisions</w:t>
            </w:r>
          </w:p>
        </w:tc>
        <w:tc>
          <w:tcPr>
            <w:tcW w:w="1320" w:type="dxa"/>
            <w:tcBorders>
              <w:top w:val="single" w:sz="4" w:space="0" w:color="auto"/>
              <w:left w:val="single" w:sz="6" w:space="0" w:color="auto"/>
              <w:bottom w:val="single" w:sz="4" w:space="0" w:color="auto"/>
              <w:right w:val="single" w:sz="6" w:space="0" w:color="auto"/>
            </w:tcBorders>
            <w:shd w:val="clear" w:color="auto" w:fill="auto"/>
          </w:tcPr>
          <w:p w:rsidR="00013D83" w:rsidRPr="006B3796" w:rsidRDefault="00013D83" w:rsidP="001F3F21">
            <w:pPr>
              <w:pStyle w:val="Tabletext"/>
            </w:pPr>
            <w:r w:rsidRPr="006B3796">
              <w:t>Yes</w:t>
            </w:r>
          </w:p>
        </w:tc>
        <w:tc>
          <w:tcPr>
            <w:tcW w:w="1452" w:type="dxa"/>
            <w:tcBorders>
              <w:top w:val="single" w:sz="4" w:space="0" w:color="auto"/>
              <w:left w:val="single" w:sz="6" w:space="0" w:color="auto"/>
              <w:bottom w:val="single" w:sz="4" w:space="0" w:color="auto"/>
              <w:right w:val="single" w:sz="6" w:space="0" w:color="auto"/>
            </w:tcBorders>
            <w:shd w:val="clear" w:color="auto" w:fill="auto"/>
          </w:tcPr>
          <w:p w:rsidR="00013D83" w:rsidRPr="006B3796" w:rsidRDefault="00013D83" w:rsidP="001F3F21">
            <w:pPr>
              <w:pStyle w:val="Tabletext"/>
            </w:pPr>
            <w:r w:rsidRPr="006B3796">
              <w:t>Yes</w:t>
            </w:r>
          </w:p>
        </w:tc>
        <w:tc>
          <w:tcPr>
            <w:tcW w:w="1428" w:type="dxa"/>
            <w:tcBorders>
              <w:top w:val="single" w:sz="4" w:space="0" w:color="auto"/>
              <w:left w:val="single" w:sz="6" w:space="0" w:color="auto"/>
              <w:bottom w:val="single" w:sz="4" w:space="0" w:color="auto"/>
              <w:right w:val="single" w:sz="6" w:space="0" w:color="auto"/>
            </w:tcBorders>
            <w:shd w:val="clear" w:color="auto" w:fill="auto"/>
          </w:tcPr>
          <w:p w:rsidR="00013D83" w:rsidRPr="006B3796" w:rsidRDefault="00013D83" w:rsidP="001F3F21">
            <w:pPr>
              <w:pStyle w:val="Tabletext"/>
            </w:pPr>
            <w:r w:rsidRPr="006B3796">
              <w:t>Yes</w:t>
            </w:r>
          </w:p>
        </w:tc>
        <w:tc>
          <w:tcPr>
            <w:tcW w:w="1440" w:type="dxa"/>
            <w:tcBorders>
              <w:top w:val="single" w:sz="4" w:space="0" w:color="auto"/>
              <w:left w:val="single" w:sz="6" w:space="0" w:color="auto"/>
              <w:bottom w:val="single" w:sz="4" w:space="0" w:color="auto"/>
              <w:right w:val="single" w:sz="6" w:space="0" w:color="auto"/>
            </w:tcBorders>
            <w:shd w:val="clear" w:color="auto" w:fill="auto"/>
          </w:tcPr>
          <w:p w:rsidR="00013D83" w:rsidRPr="006B3796" w:rsidRDefault="00013D83" w:rsidP="001F3F21">
            <w:pPr>
              <w:pStyle w:val="Tabletext"/>
            </w:pPr>
            <w:r w:rsidRPr="006B3796">
              <w:t>Yes</w:t>
            </w:r>
          </w:p>
        </w:tc>
        <w:tc>
          <w:tcPr>
            <w:tcW w:w="1440" w:type="dxa"/>
            <w:tcBorders>
              <w:top w:val="single" w:sz="4" w:space="0" w:color="auto"/>
              <w:left w:val="single" w:sz="6" w:space="0" w:color="auto"/>
              <w:bottom w:val="single" w:sz="4" w:space="0" w:color="auto"/>
              <w:right w:val="single" w:sz="6" w:space="0" w:color="auto"/>
            </w:tcBorders>
            <w:shd w:val="clear" w:color="auto" w:fill="auto"/>
          </w:tcPr>
          <w:p w:rsidR="00013D83" w:rsidRPr="006B3796" w:rsidRDefault="00013D83" w:rsidP="001F3F21">
            <w:pPr>
              <w:pStyle w:val="Tabletext"/>
            </w:pPr>
            <w:r w:rsidRPr="006B3796">
              <w:t>No</w:t>
            </w:r>
          </w:p>
        </w:tc>
        <w:tc>
          <w:tcPr>
            <w:tcW w:w="1440" w:type="dxa"/>
            <w:tcBorders>
              <w:top w:val="single" w:sz="4" w:space="0" w:color="auto"/>
              <w:left w:val="single" w:sz="6" w:space="0" w:color="auto"/>
              <w:bottom w:val="single" w:sz="4" w:space="0" w:color="auto"/>
            </w:tcBorders>
            <w:shd w:val="clear" w:color="auto" w:fill="auto"/>
          </w:tcPr>
          <w:p w:rsidR="00013D83" w:rsidRPr="006B3796" w:rsidRDefault="00013D83" w:rsidP="001F3F21">
            <w:pPr>
              <w:pStyle w:val="Tabletext"/>
            </w:pPr>
            <w:r w:rsidRPr="006B3796">
              <w:t>Yes</w:t>
            </w:r>
            <w:r w:rsidRPr="006B3796">
              <w:rPr>
                <w:rStyle w:val="FootnoteReference"/>
              </w:rPr>
              <w:footnoteReference w:id="7"/>
            </w:r>
          </w:p>
        </w:tc>
      </w:tr>
      <w:tr w:rsidR="00013D83" w:rsidRPr="006B3796" w:rsidTr="001F3F21">
        <w:trPr>
          <w:cantSplit/>
        </w:trPr>
        <w:tc>
          <w:tcPr>
            <w:tcW w:w="714" w:type="dxa"/>
            <w:tcBorders>
              <w:top w:val="single" w:sz="4" w:space="0" w:color="auto"/>
              <w:bottom w:val="single" w:sz="4" w:space="0" w:color="auto"/>
              <w:right w:val="single" w:sz="6" w:space="0" w:color="auto"/>
            </w:tcBorders>
            <w:shd w:val="clear" w:color="auto" w:fill="auto"/>
          </w:tcPr>
          <w:p w:rsidR="00013D83" w:rsidRPr="006B3796" w:rsidRDefault="00013D83" w:rsidP="001F3F21">
            <w:pPr>
              <w:pStyle w:val="Tabletext"/>
            </w:pPr>
          </w:p>
        </w:tc>
        <w:tc>
          <w:tcPr>
            <w:tcW w:w="3121" w:type="dxa"/>
            <w:tcBorders>
              <w:top w:val="single" w:sz="4" w:space="0" w:color="auto"/>
              <w:left w:val="single" w:sz="6" w:space="0" w:color="auto"/>
              <w:bottom w:val="single" w:sz="4" w:space="0" w:color="auto"/>
              <w:right w:val="single" w:sz="6" w:space="0" w:color="auto"/>
            </w:tcBorders>
            <w:shd w:val="clear" w:color="auto" w:fill="auto"/>
          </w:tcPr>
          <w:p w:rsidR="00013D83" w:rsidRPr="006B3796" w:rsidRDefault="00013D83" w:rsidP="001F3F21">
            <w:pPr>
              <w:pStyle w:val="Tabletext"/>
            </w:pPr>
            <w:r w:rsidRPr="006B3796">
              <w:tab/>
              <w:t>Table of Sections</w:t>
            </w:r>
          </w:p>
        </w:tc>
        <w:tc>
          <w:tcPr>
            <w:tcW w:w="1320" w:type="dxa"/>
            <w:tcBorders>
              <w:top w:val="single" w:sz="4" w:space="0" w:color="auto"/>
              <w:left w:val="single" w:sz="6" w:space="0" w:color="auto"/>
              <w:bottom w:val="single" w:sz="4" w:space="0" w:color="auto"/>
              <w:right w:val="single" w:sz="6" w:space="0" w:color="auto"/>
            </w:tcBorders>
            <w:shd w:val="clear" w:color="auto" w:fill="auto"/>
          </w:tcPr>
          <w:p w:rsidR="00013D83" w:rsidRPr="006B3796" w:rsidRDefault="00013D83" w:rsidP="001F3F21">
            <w:pPr>
              <w:pStyle w:val="Tabletext"/>
            </w:pPr>
            <w:r w:rsidRPr="006B3796">
              <w:t>Yes</w:t>
            </w:r>
          </w:p>
        </w:tc>
        <w:tc>
          <w:tcPr>
            <w:tcW w:w="1452" w:type="dxa"/>
            <w:tcBorders>
              <w:top w:val="single" w:sz="4" w:space="0" w:color="auto"/>
              <w:left w:val="single" w:sz="6" w:space="0" w:color="auto"/>
              <w:bottom w:val="single" w:sz="4" w:space="0" w:color="auto"/>
              <w:right w:val="single" w:sz="6" w:space="0" w:color="auto"/>
            </w:tcBorders>
            <w:shd w:val="clear" w:color="auto" w:fill="auto"/>
          </w:tcPr>
          <w:p w:rsidR="00013D83" w:rsidRPr="006B3796" w:rsidRDefault="00013D83" w:rsidP="001F3F21">
            <w:pPr>
              <w:pStyle w:val="Tabletext"/>
            </w:pPr>
            <w:r w:rsidRPr="006B3796">
              <w:t>Yes</w:t>
            </w:r>
          </w:p>
        </w:tc>
        <w:tc>
          <w:tcPr>
            <w:tcW w:w="1428" w:type="dxa"/>
            <w:tcBorders>
              <w:top w:val="single" w:sz="4" w:space="0" w:color="auto"/>
              <w:left w:val="single" w:sz="6" w:space="0" w:color="auto"/>
              <w:bottom w:val="single" w:sz="4" w:space="0" w:color="auto"/>
              <w:right w:val="single" w:sz="6" w:space="0" w:color="auto"/>
            </w:tcBorders>
            <w:shd w:val="clear" w:color="auto" w:fill="auto"/>
          </w:tcPr>
          <w:p w:rsidR="00013D83" w:rsidRPr="006B3796" w:rsidRDefault="00013D83" w:rsidP="001F3F21">
            <w:pPr>
              <w:pStyle w:val="Tabletext"/>
            </w:pPr>
            <w:r w:rsidRPr="006B3796">
              <w:t>Yes</w:t>
            </w:r>
          </w:p>
        </w:tc>
        <w:tc>
          <w:tcPr>
            <w:tcW w:w="1440" w:type="dxa"/>
            <w:tcBorders>
              <w:top w:val="single" w:sz="4" w:space="0" w:color="auto"/>
              <w:left w:val="single" w:sz="6" w:space="0" w:color="auto"/>
              <w:bottom w:val="single" w:sz="4" w:space="0" w:color="auto"/>
              <w:right w:val="single" w:sz="6" w:space="0" w:color="auto"/>
            </w:tcBorders>
            <w:shd w:val="clear" w:color="auto" w:fill="auto"/>
          </w:tcPr>
          <w:p w:rsidR="00013D83" w:rsidRPr="006B3796" w:rsidRDefault="00013D83" w:rsidP="001F3F21">
            <w:pPr>
              <w:pStyle w:val="Tabletext"/>
            </w:pPr>
            <w:r w:rsidRPr="006B3796">
              <w:t>No</w:t>
            </w:r>
          </w:p>
        </w:tc>
        <w:tc>
          <w:tcPr>
            <w:tcW w:w="1440" w:type="dxa"/>
            <w:tcBorders>
              <w:top w:val="single" w:sz="4" w:space="0" w:color="auto"/>
              <w:left w:val="single" w:sz="6" w:space="0" w:color="auto"/>
              <w:bottom w:val="single" w:sz="4" w:space="0" w:color="auto"/>
              <w:right w:val="single" w:sz="6" w:space="0" w:color="auto"/>
            </w:tcBorders>
            <w:shd w:val="clear" w:color="auto" w:fill="auto"/>
          </w:tcPr>
          <w:p w:rsidR="00013D83" w:rsidRPr="006B3796" w:rsidRDefault="00013D83" w:rsidP="001F3F21">
            <w:pPr>
              <w:pStyle w:val="Tabletext"/>
            </w:pPr>
            <w:r w:rsidRPr="006B3796">
              <w:t>No</w:t>
            </w:r>
          </w:p>
        </w:tc>
        <w:tc>
          <w:tcPr>
            <w:tcW w:w="1440" w:type="dxa"/>
            <w:tcBorders>
              <w:top w:val="single" w:sz="4" w:space="0" w:color="auto"/>
              <w:left w:val="single" w:sz="6" w:space="0" w:color="auto"/>
              <w:bottom w:val="single" w:sz="4" w:space="0" w:color="auto"/>
            </w:tcBorders>
            <w:shd w:val="clear" w:color="auto" w:fill="auto"/>
          </w:tcPr>
          <w:p w:rsidR="00013D83" w:rsidRPr="006B3796" w:rsidRDefault="00013D83" w:rsidP="001F3F21">
            <w:pPr>
              <w:pStyle w:val="Tabletext"/>
            </w:pPr>
            <w:r w:rsidRPr="006B3796">
              <w:t>Yes</w:t>
            </w:r>
          </w:p>
        </w:tc>
      </w:tr>
      <w:tr w:rsidR="00013D83" w:rsidRPr="006B3796" w:rsidTr="001F3F21">
        <w:trPr>
          <w:cantSplit/>
        </w:trPr>
        <w:tc>
          <w:tcPr>
            <w:tcW w:w="714" w:type="dxa"/>
            <w:tcBorders>
              <w:top w:val="single" w:sz="4" w:space="0" w:color="auto"/>
              <w:bottom w:val="single" w:sz="4" w:space="0" w:color="auto"/>
              <w:right w:val="single" w:sz="6" w:space="0" w:color="auto"/>
            </w:tcBorders>
            <w:shd w:val="clear" w:color="auto" w:fill="auto"/>
          </w:tcPr>
          <w:p w:rsidR="00013D83" w:rsidRPr="006B3796" w:rsidRDefault="00013D83" w:rsidP="001F3F21">
            <w:pPr>
              <w:pStyle w:val="Tabletext"/>
            </w:pPr>
            <w:r w:rsidRPr="006B3796">
              <w:t>2</w:t>
            </w:r>
          </w:p>
        </w:tc>
        <w:tc>
          <w:tcPr>
            <w:tcW w:w="3121" w:type="dxa"/>
            <w:tcBorders>
              <w:top w:val="single" w:sz="4" w:space="0" w:color="auto"/>
              <w:left w:val="single" w:sz="6" w:space="0" w:color="auto"/>
              <w:bottom w:val="single" w:sz="4" w:space="0" w:color="auto"/>
              <w:right w:val="single" w:sz="6" w:space="0" w:color="auto"/>
            </w:tcBorders>
            <w:shd w:val="clear" w:color="auto" w:fill="auto"/>
          </w:tcPr>
          <w:p w:rsidR="00013D83" w:rsidRPr="006B3796" w:rsidRDefault="00013D83" w:rsidP="001F3F21">
            <w:pPr>
              <w:pStyle w:val="Tabletext"/>
            </w:pPr>
            <w:r w:rsidRPr="006B3796">
              <w:t>Guides</w:t>
            </w:r>
          </w:p>
        </w:tc>
        <w:tc>
          <w:tcPr>
            <w:tcW w:w="1320" w:type="dxa"/>
            <w:tcBorders>
              <w:top w:val="single" w:sz="4" w:space="0" w:color="auto"/>
              <w:left w:val="single" w:sz="6" w:space="0" w:color="auto"/>
              <w:bottom w:val="single" w:sz="4" w:space="0" w:color="auto"/>
              <w:right w:val="single" w:sz="6" w:space="0" w:color="auto"/>
            </w:tcBorders>
            <w:shd w:val="clear" w:color="auto" w:fill="auto"/>
          </w:tcPr>
          <w:p w:rsidR="00013D83" w:rsidRPr="006B3796" w:rsidRDefault="00013D83" w:rsidP="001F3F21">
            <w:pPr>
              <w:pStyle w:val="Tabletext"/>
            </w:pPr>
            <w:r w:rsidRPr="006B3796">
              <w:t>Yes</w:t>
            </w:r>
          </w:p>
        </w:tc>
        <w:tc>
          <w:tcPr>
            <w:tcW w:w="1452" w:type="dxa"/>
            <w:tcBorders>
              <w:top w:val="single" w:sz="4" w:space="0" w:color="auto"/>
              <w:left w:val="single" w:sz="6" w:space="0" w:color="auto"/>
              <w:bottom w:val="single" w:sz="4" w:space="0" w:color="auto"/>
              <w:right w:val="single" w:sz="6" w:space="0" w:color="auto"/>
            </w:tcBorders>
            <w:shd w:val="clear" w:color="auto" w:fill="auto"/>
          </w:tcPr>
          <w:p w:rsidR="00013D83" w:rsidRPr="006B3796" w:rsidRDefault="00013D83" w:rsidP="001F3F21">
            <w:pPr>
              <w:pStyle w:val="Tabletext"/>
            </w:pPr>
            <w:r w:rsidRPr="006B3796">
              <w:t>Yes</w:t>
            </w:r>
          </w:p>
        </w:tc>
        <w:tc>
          <w:tcPr>
            <w:tcW w:w="1428" w:type="dxa"/>
            <w:tcBorders>
              <w:top w:val="single" w:sz="4" w:space="0" w:color="auto"/>
              <w:left w:val="single" w:sz="6" w:space="0" w:color="auto"/>
              <w:bottom w:val="single" w:sz="4" w:space="0" w:color="auto"/>
              <w:right w:val="single" w:sz="6" w:space="0" w:color="auto"/>
            </w:tcBorders>
            <w:shd w:val="clear" w:color="auto" w:fill="auto"/>
          </w:tcPr>
          <w:p w:rsidR="00013D83" w:rsidRPr="006B3796" w:rsidRDefault="00013D83" w:rsidP="001F3F21">
            <w:pPr>
              <w:pStyle w:val="Tabletext"/>
            </w:pPr>
            <w:r w:rsidRPr="006B3796">
              <w:t>No</w:t>
            </w:r>
          </w:p>
        </w:tc>
        <w:tc>
          <w:tcPr>
            <w:tcW w:w="1440" w:type="dxa"/>
            <w:tcBorders>
              <w:top w:val="single" w:sz="4" w:space="0" w:color="auto"/>
              <w:left w:val="single" w:sz="6" w:space="0" w:color="auto"/>
              <w:bottom w:val="single" w:sz="4" w:space="0" w:color="auto"/>
              <w:right w:val="single" w:sz="6" w:space="0" w:color="auto"/>
            </w:tcBorders>
            <w:shd w:val="clear" w:color="auto" w:fill="auto"/>
          </w:tcPr>
          <w:p w:rsidR="00013D83" w:rsidRPr="006B3796" w:rsidRDefault="00013D83" w:rsidP="001F3F21">
            <w:pPr>
              <w:pStyle w:val="Tabletext"/>
            </w:pPr>
            <w:r w:rsidRPr="006B3796">
              <w:t>No</w:t>
            </w:r>
          </w:p>
        </w:tc>
        <w:tc>
          <w:tcPr>
            <w:tcW w:w="1440" w:type="dxa"/>
            <w:tcBorders>
              <w:top w:val="single" w:sz="4" w:space="0" w:color="auto"/>
              <w:left w:val="single" w:sz="6" w:space="0" w:color="auto"/>
              <w:bottom w:val="single" w:sz="4" w:space="0" w:color="auto"/>
              <w:right w:val="single" w:sz="6" w:space="0" w:color="auto"/>
            </w:tcBorders>
            <w:shd w:val="clear" w:color="auto" w:fill="auto"/>
          </w:tcPr>
          <w:p w:rsidR="00013D83" w:rsidRPr="006B3796" w:rsidRDefault="00013D83" w:rsidP="001F3F21">
            <w:pPr>
              <w:pStyle w:val="Tabletext"/>
            </w:pPr>
            <w:r w:rsidRPr="006B3796">
              <w:t>No</w:t>
            </w:r>
          </w:p>
        </w:tc>
        <w:tc>
          <w:tcPr>
            <w:tcW w:w="1440" w:type="dxa"/>
            <w:tcBorders>
              <w:top w:val="single" w:sz="4" w:space="0" w:color="auto"/>
              <w:left w:val="single" w:sz="6" w:space="0" w:color="auto"/>
              <w:bottom w:val="single" w:sz="4" w:space="0" w:color="auto"/>
            </w:tcBorders>
            <w:shd w:val="clear" w:color="auto" w:fill="auto"/>
          </w:tcPr>
          <w:p w:rsidR="00013D83" w:rsidRPr="006B3796" w:rsidRDefault="00013D83" w:rsidP="001F3F21">
            <w:pPr>
              <w:pStyle w:val="Tabletext"/>
            </w:pPr>
            <w:r w:rsidRPr="006B3796">
              <w:t>Yes</w:t>
            </w:r>
          </w:p>
        </w:tc>
      </w:tr>
      <w:tr w:rsidR="00013D83" w:rsidRPr="006B3796" w:rsidTr="001F3F21">
        <w:trPr>
          <w:cantSplit/>
        </w:trPr>
        <w:tc>
          <w:tcPr>
            <w:tcW w:w="714" w:type="dxa"/>
            <w:tcBorders>
              <w:top w:val="single" w:sz="4" w:space="0" w:color="auto"/>
              <w:bottom w:val="single" w:sz="4" w:space="0" w:color="auto"/>
              <w:right w:val="single" w:sz="6" w:space="0" w:color="auto"/>
            </w:tcBorders>
            <w:shd w:val="clear" w:color="auto" w:fill="auto"/>
          </w:tcPr>
          <w:p w:rsidR="00013D83" w:rsidRPr="006B3796" w:rsidRDefault="00013D83" w:rsidP="001F3F21">
            <w:pPr>
              <w:pStyle w:val="Tabletext"/>
            </w:pPr>
          </w:p>
        </w:tc>
        <w:tc>
          <w:tcPr>
            <w:tcW w:w="3121" w:type="dxa"/>
            <w:tcBorders>
              <w:top w:val="single" w:sz="4" w:space="0" w:color="auto"/>
              <w:left w:val="single" w:sz="6" w:space="0" w:color="auto"/>
              <w:bottom w:val="single" w:sz="4" w:space="0" w:color="auto"/>
              <w:right w:val="single" w:sz="6" w:space="0" w:color="auto"/>
            </w:tcBorders>
            <w:shd w:val="clear" w:color="auto" w:fill="auto"/>
          </w:tcPr>
          <w:p w:rsidR="00013D83" w:rsidRPr="006B3796" w:rsidRDefault="00013D83" w:rsidP="001F3F21">
            <w:pPr>
              <w:pStyle w:val="Tabletext"/>
            </w:pPr>
            <w:r w:rsidRPr="006B3796">
              <w:tab/>
              <w:t>Theme statement</w:t>
            </w:r>
          </w:p>
        </w:tc>
        <w:tc>
          <w:tcPr>
            <w:tcW w:w="1320" w:type="dxa"/>
            <w:tcBorders>
              <w:top w:val="single" w:sz="4" w:space="0" w:color="auto"/>
              <w:left w:val="single" w:sz="6" w:space="0" w:color="auto"/>
              <w:bottom w:val="single" w:sz="4" w:space="0" w:color="auto"/>
              <w:right w:val="single" w:sz="6" w:space="0" w:color="auto"/>
            </w:tcBorders>
            <w:shd w:val="clear" w:color="auto" w:fill="auto"/>
          </w:tcPr>
          <w:p w:rsidR="00013D83" w:rsidRPr="006B3796" w:rsidRDefault="00013D83" w:rsidP="001F3F21">
            <w:pPr>
              <w:pStyle w:val="Tabletext"/>
            </w:pPr>
            <w:r w:rsidRPr="006B3796">
              <w:t>Yes</w:t>
            </w:r>
          </w:p>
        </w:tc>
        <w:tc>
          <w:tcPr>
            <w:tcW w:w="1452" w:type="dxa"/>
            <w:tcBorders>
              <w:top w:val="single" w:sz="4" w:space="0" w:color="auto"/>
              <w:left w:val="single" w:sz="6" w:space="0" w:color="auto"/>
              <w:bottom w:val="single" w:sz="4" w:space="0" w:color="auto"/>
              <w:right w:val="single" w:sz="6" w:space="0" w:color="auto"/>
            </w:tcBorders>
            <w:shd w:val="clear" w:color="auto" w:fill="auto"/>
          </w:tcPr>
          <w:p w:rsidR="00013D83" w:rsidRPr="006B3796" w:rsidRDefault="00013D83" w:rsidP="001F3F21">
            <w:pPr>
              <w:pStyle w:val="Tabletext"/>
            </w:pPr>
            <w:r w:rsidRPr="006B3796">
              <w:t>Yes</w:t>
            </w:r>
          </w:p>
        </w:tc>
        <w:tc>
          <w:tcPr>
            <w:tcW w:w="1428" w:type="dxa"/>
            <w:tcBorders>
              <w:top w:val="single" w:sz="4" w:space="0" w:color="auto"/>
              <w:left w:val="single" w:sz="6" w:space="0" w:color="auto"/>
              <w:bottom w:val="single" w:sz="4" w:space="0" w:color="auto"/>
              <w:right w:val="single" w:sz="6" w:space="0" w:color="auto"/>
            </w:tcBorders>
            <w:shd w:val="clear" w:color="auto" w:fill="auto"/>
          </w:tcPr>
          <w:p w:rsidR="00013D83" w:rsidRPr="006B3796" w:rsidRDefault="00013D83" w:rsidP="001F3F21">
            <w:pPr>
              <w:pStyle w:val="Tabletext"/>
            </w:pPr>
            <w:r w:rsidRPr="006B3796">
              <w:t>No</w:t>
            </w:r>
          </w:p>
        </w:tc>
        <w:tc>
          <w:tcPr>
            <w:tcW w:w="1440" w:type="dxa"/>
            <w:tcBorders>
              <w:top w:val="single" w:sz="4" w:space="0" w:color="auto"/>
              <w:left w:val="single" w:sz="6" w:space="0" w:color="auto"/>
              <w:bottom w:val="single" w:sz="4" w:space="0" w:color="auto"/>
              <w:right w:val="single" w:sz="6" w:space="0" w:color="auto"/>
            </w:tcBorders>
            <w:shd w:val="clear" w:color="auto" w:fill="auto"/>
          </w:tcPr>
          <w:p w:rsidR="00013D83" w:rsidRPr="006B3796" w:rsidRDefault="00013D83" w:rsidP="001F3F21">
            <w:pPr>
              <w:pStyle w:val="Tabletext"/>
            </w:pPr>
            <w:r w:rsidRPr="006B3796">
              <w:t>No</w:t>
            </w:r>
          </w:p>
        </w:tc>
        <w:tc>
          <w:tcPr>
            <w:tcW w:w="1440" w:type="dxa"/>
            <w:tcBorders>
              <w:top w:val="single" w:sz="4" w:space="0" w:color="auto"/>
              <w:left w:val="single" w:sz="6" w:space="0" w:color="auto"/>
              <w:bottom w:val="single" w:sz="4" w:space="0" w:color="auto"/>
              <w:right w:val="single" w:sz="6" w:space="0" w:color="auto"/>
            </w:tcBorders>
            <w:shd w:val="clear" w:color="auto" w:fill="auto"/>
          </w:tcPr>
          <w:p w:rsidR="00013D83" w:rsidRPr="006B3796" w:rsidRDefault="00013D83" w:rsidP="001F3F21">
            <w:pPr>
              <w:pStyle w:val="Tabletext"/>
            </w:pPr>
            <w:r w:rsidRPr="006B3796">
              <w:t>No</w:t>
            </w:r>
          </w:p>
        </w:tc>
        <w:tc>
          <w:tcPr>
            <w:tcW w:w="1440" w:type="dxa"/>
            <w:tcBorders>
              <w:top w:val="single" w:sz="4" w:space="0" w:color="auto"/>
              <w:left w:val="single" w:sz="6" w:space="0" w:color="auto"/>
              <w:bottom w:val="single" w:sz="4" w:space="0" w:color="auto"/>
            </w:tcBorders>
            <w:shd w:val="clear" w:color="auto" w:fill="auto"/>
          </w:tcPr>
          <w:p w:rsidR="00013D83" w:rsidRPr="006B3796" w:rsidRDefault="00013D83" w:rsidP="001F3F21">
            <w:pPr>
              <w:pStyle w:val="Tabletext"/>
            </w:pPr>
            <w:r w:rsidRPr="006B3796">
              <w:t>Yes</w:t>
            </w:r>
          </w:p>
        </w:tc>
      </w:tr>
      <w:tr w:rsidR="00013D83" w:rsidRPr="006B3796" w:rsidTr="001F3F21">
        <w:trPr>
          <w:cantSplit/>
        </w:trPr>
        <w:tc>
          <w:tcPr>
            <w:tcW w:w="714" w:type="dxa"/>
            <w:tcBorders>
              <w:top w:val="single" w:sz="4" w:space="0" w:color="auto"/>
              <w:bottom w:val="single" w:sz="2" w:space="0" w:color="auto"/>
              <w:right w:val="single" w:sz="6" w:space="0" w:color="auto"/>
            </w:tcBorders>
            <w:shd w:val="clear" w:color="auto" w:fill="auto"/>
          </w:tcPr>
          <w:p w:rsidR="00013D83" w:rsidRPr="006B3796" w:rsidRDefault="00013D83" w:rsidP="001F3F21">
            <w:pPr>
              <w:pStyle w:val="Tabletext"/>
            </w:pPr>
          </w:p>
        </w:tc>
        <w:tc>
          <w:tcPr>
            <w:tcW w:w="3121" w:type="dxa"/>
            <w:tcBorders>
              <w:top w:val="single" w:sz="4" w:space="0" w:color="auto"/>
              <w:left w:val="single" w:sz="6" w:space="0" w:color="auto"/>
              <w:bottom w:val="single" w:sz="2" w:space="0" w:color="auto"/>
              <w:right w:val="single" w:sz="6" w:space="0" w:color="auto"/>
            </w:tcBorders>
            <w:shd w:val="clear" w:color="auto" w:fill="auto"/>
          </w:tcPr>
          <w:p w:rsidR="00013D83" w:rsidRPr="006B3796" w:rsidRDefault="00013D83" w:rsidP="001F3F21">
            <w:pPr>
              <w:pStyle w:val="Tabletext"/>
            </w:pPr>
            <w:r w:rsidRPr="006B3796">
              <w:tab/>
              <w:t xml:space="preserve">Balancing group heading </w:t>
            </w:r>
            <w:r w:rsidRPr="006B3796">
              <w:tab/>
              <w:t>(eg: Operative provisions)</w:t>
            </w:r>
          </w:p>
        </w:tc>
        <w:tc>
          <w:tcPr>
            <w:tcW w:w="1320" w:type="dxa"/>
            <w:tcBorders>
              <w:top w:val="single" w:sz="4" w:space="0" w:color="auto"/>
              <w:left w:val="single" w:sz="6" w:space="0" w:color="auto"/>
              <w:bottom w:val="single" w:sz="2" w:space="0" w:color="auto"/>
              <w:right w:val="single" w:sz="6" w:space="0" w:color="auto"/>
            </w:tcBorders>
            <w:shd w:val="clear" w:color="auto" w:fill="auto"/>
          </w:tcPr>
          <w:p w:rsidR="00013D83" w:rsidRPr="006B3796" w:rsidRDefault="00013D83" w:rsidP="001F3F21">
            <w:pPr>
              <w:pStyle w:val="Tabletext"/>
            </w:pPr>
            <w:r w:rsidRPr="006B3796">
              <w:t>Yes</w:t>
            </w:r>
          </w:p>
        </w:tc>
        <w:tc>
          <w:tcPr>
            <w:tcW w:w="1452" w:type="dxa"/>
            <w:tcBorders>
              <w:top w:val="single" w:sz="4" w:space="0" w:color="auto"/>
              <w:left w:val="single" w:sz="6" w:space="0" w:color="auto"/>
              <w:bottom w:val="single" w:sz="2" w:space="0" w:color="auto"/>
              <w:right w:val="single" w:sz="6" w:space="0" w:color="auto"/>
            </w:tcBorders>
            <w:shd w:val="clear" w:color="auto" w:fill="auto"/>
          </w:tcPr>
          <w:p w:rsidR="00013D83" w:rsidRPr="006B3796" w:rsidRDefault="00013D83" w:rsidP="001F3F21">
            <w:pPr>
              <w:pStyle w:val="Tabletext"/>
            </w:pPr>
            <w:r w:rsidRPr="006B3796">
              <w:t>Yes</w:t>
            </w:r>
          </w:p>
        </w:tc>
        <w:tc>
          <w:tcPr>
            <w:tcW w:w="1428" w:type="dxa"/>
            <w:tcBorders>
              <w:top w:val="single" w:sz="4" w:space="0" w:color="auto"/>
              <w:left w:val="single" w:sz="6" w:space="0" w:color="auto"/>
              <w:bottom w:val="single" w:sz="2" w:space="0" w:color="auto"/>
              <w:right w:val="single" w:sz="6" w:space="0" w:color="auto"/>
            </w:tcBorders>
            <w:shd w:val="clear" w:color="auto" w:fill="auto"/>
          </w:tcPr>
          <w:p w:rsidR="00013D83" w:rsidRPr="006B3796" w:rsidRDefault="00013D83" w:rsidP="001F3F21">
            <w:pPr>
              <w:pStyle w:val="Tabletext"/>
            </w:pPr>
            <w:r w:rsidRPr="006B3796">
              <w:t>No</w:t>
            </w:r>
            <w:r w:rsidRPr="006B3796">
              <w:rPr>
                <w:rStyle w:val="FootnoteReference"/>
              </w:rPr>
              <w:footnoteReference w:id="8"/>
            </w:r>
          </w:p>
        </w:tc>
        <w:tc>
          <w:tcPr>
            <w:tcW w:w="1440" w:type="dxa"/>
            <w:tcBorders>
              <w:top w:val="single" w:sz="4" w:space="0" w:color="auto"/>
              <w:left w:val="single" w:sz="6" w:space="0" w:color="auto"/>
              <w:bottom w:val="single" w:sz="2" w:space="0" w:color="auto"/>
              <w:right w:val="single" w:sz="6" w:space="0" w:color="auto"/>
            </w:tcBorders>
            <w:shd w:val="clear" w:color="auto" w:fill="auto"/>
          </w:tcPr>
          <w:p w:rsidR="00013D83" w:rsidRPr="006B3796" w:rsidRDefault="00013D83" w:rsidP="001F3F21">
            <w:pPr>
              <w:pStyle w:val="Tabletext"/>
            </w:pPr>
            <w:r w:rsidRPr="006B3796">
              <w:t>No</w:t>
            </w:r>
          </w:p>
        </w:tc>
        <w:tc>
          <w:tcPr>
            <w:tcW w:w="1440" w:type="dxa"/>
            <w:tcBorders>
              <w:top w:val="single" w:sz="4" w:space="0" w:color="auto"/>
              <w:left w:val="single" w:sz="6" w:space="0" w:color="auto"/>
              <w:bottom w:val="single" w:sz="2" w:space="0" w:color="auto"/>
              <w:right w:val="single" w:sz="6" w:space="0" w:color="auto"/>
            </w:tcBorders>
            <w:shd w:val="clear" w:color="auto" w:fill="auto"/>
          </w:tcPr>
          <w:p w:rsidR="00013D83" w:rsidRPr="006B3796" w:rsidRDefault="00013D83" w:rsidP="001F3F21">
            <w:pPr>
              <w:pStyle w:val="Tabletext"/>
            </w:pPr>
            <w:r w:rsidRPr="006B3796">
              <w:t>No</w:t>
            </w:r>
          </w:p>
        </w:tc>
        <w:tc>
          <w:tcPr>
            <w:tcW w:w="1440" w:type="dxa"/>
            <w:tcBorders>
              <w:top w:val="single" w:sz="4" w:space="0" w:color="auto"/>
              <w:left w:val="single" w:sz="6" w:space="0" w:color="auto"/>
              <w:bottom w:val="single" w:sz="2" w:space="0" w:color="auto"/>
            </w:tcBorders>
            <w:shd w:val="clear" w:color="auto" w:fill="auto"/>
          </w:tcPr>
          <w:p w:rsidR="00013D83" w:rsidRPr="006B3796" w:rsidRDefault="00013D83" w:rsidP="001F3F21">
            <w:pPr>
              <w:pStyle w:val="Tabletext"/>
            </w:pPr>
            <w:r w:rsidRPr="006B3796">
              <w:t>Yes</w:t>
            </w:r>
          </w:p>
        </w:tc>
      </w:tr>
      <w:tr w:rsidR="00013D83" w:rsidRPr="006B3796" w:rsidTr="001F3F21">
        <w:trPr>
          <w:cantSplit/>
        </w:trPr>
        <w:tc>
          <w:tcPr>
            <w:tcW w:w="714" w:type="dxa"/>
            <w:tcBorders>
              <w:top w:val="single" w:sz="2" w:space="0" w:color="auto"/>
              <w:bottom w:val="single" w:sz="2" w:space="0" w:color="auto"/>
              <w:right w:val="single" w:sz="6" w:space="0" w:color="auto"/>
            </w:tcBorders>
            <w:shd w:val="clear" w:color="auto" w:fill="auto"/>
          </w:tcPr>
          <w:p w:rsidR="00013D83" w:rsidRPr="006B3796" w:rsidRDefault="00013D83" w:rsidP="001F3F21">
            <w:pPr>
              <w:pStyle w:val="Tabletext"/>
            </w:pPr>
            <w:r w:rsidRPr="006B3796">
              <w:t>3</w:t>
            </w:r>
          </w:p>
        </w:tc>
        <w:tc>
          <w:tcPr>
            <w:tcW w:w="3121" w:type="dxa"/>
            <w:tcBorders>
              <w:top w:val="single" w:sz="2" w:space="0" w:color="auto"/>
              <w:left w:val="single" w:sz="6" w:space="0" w:color="auto"/>
              <w:bottom w:val="single" w:sz="2" w:space="0" w:color="auto"/>
              <w:right w:val="single" w:sz="6" w:space="0" w:color="auto"/>
            </w:tcBorders>
            <w:shd w:val="clear" w:color="auto" w:fill="auto"/>
          </w:tcPr>
          <w:p w:rsidR="00013D83" w:rsidRPr="006B3796" w:rsidRDefault="00013D83" w:rsidP="001F3F21">
            <w:pPr>
              <w:pStyle w:val="Tabletext"/>
            </w:pPr>
            <w:r w:rsidRPr="006B3796">
              <w:t>Explanatory sections</w:t>
            </w:r>
          </w:p>
        </w:tc>
        <w:tc>
          <w:tcPr>
            <w:tcW w:w="1320" w:type="dxa"/>
            <w:tcBorders>
              <w:top w:val="single" w:sz="2" w:space="0" w:color="auto"/>
              <w:left w:val="single" w:sz="6" w:space="0" w:color="auto"/>
              <w:bottom w:val="single" w:sz="2" w:space="0" w:color="auto"/>
              <w:right w:val="single" w:sz="6" w:space="0" w:color="auto"/>
            </w:tcBorders>
            <w:shd w:val="clear" w:color="auto" w:fill="auto"/>
          </w:tcPr>
          <w:p w:rsidR="00013D83" w:rsidRPr="006B3796" w:rsidRDefault="00013D83" w:rsidP="001F3F21">
            <w:pPr>
              <w:pStyle w:val="Tabletext"/>
            </w:pPr>
            <w:r w:rsidRPr="006B3796">
              <w:t>No</w:t>
            </w:r>
          </w:p>
        </w:tc>
        <w:tc>
          <w:tcPr>
            <w:tcW w:w="1452" w:type="dxa"/>
            <w:tcBorders>
              <w:top w:val="single" w:sz="2" w:space="0" w:color="auto"/>
              <w:left w:val="single" w:sz="6" w:space="0" w:color="auto"/>
              <w:bottom w:val="single" w:sz="2" w:space="0" w:color="auto"/>
              <w:right w:val="single" w:sz="6" w:space="0" w:color="auto"/>
            </w:tcBorders>
            <w:shd w:val="clear" w:color="auto" w:fill="auto"/>
          </w:tcPr>
          <w:p w:rsidR="00013D83" w:rsidRPr="006B3796" w:rsidRDefault="00013D83" w:rsidP="001F3F21">
            <w:pPr>
              <w:pStyle w:val="Tabletext"/>
            </w:pPr>
            <w:r w:rsidRPr="006B3796">
              <w:t>No</w:t>
            </w:r>
          </w:p>
        </w:tc>
        <w:tc>
          <w:tcPr>
            <w:tcW w:w="1428" w:type="dxa"/>
            <w:tcBorders>
              <w:top w:val="single" w:sz="2" w:space="0" w:color="auto"/>
              <w:left w:val="single" w:sz="6" w:space="0" w:color="auto"/>
              <w:bottom w:val="single" w:sz="2" w:space="0" w:color="auto"/>
              <w:right w:val="single" w:sz="6" w:space="0" w:color="auto"/>
            </w:tcBorders>
            <w:shd w:val="clear" w:color="auto" w:fill="auto"/>
          </w:tcPr>
          <w:p w:rsidR="00013D83" w:rsidRPr="006B3796" w:rsidRDefault="00013D83" w:rsidP="001F3F21">
            <w:pPr>
              <w:pStyle w:val="Tabletext"/>
            </w:pPr>
            <w:r w:rsidRPr="006B3796">
              <w:t>No</w:t>
            </w:r>
          </w:p>
        </w:tc>
        <w:tc>
          <w:tcPr>
            <w:tcW w:w="1440" w:type="dxa"/>
            <w:tcBorders>
              <w:top w:val="single" w:sz="2" w:space="0" w:color="auto"/>
              <w:left w:val="single" w:sz="6" w:space="0" w:color="auto"/>
              <w:bottom w:val="single" w:sz="2" w:space="0" w:color="auto"/>
              <w:right w:val="single" w:sz="6" w:space="0" w:color="auto"/>
            </w:tcBorders>
            <w:shd w:val="clear" w:color="auto" w:fill="auto"/>
          </w:tcPr>
          <w:p w:rsidR="00013D83" w:rsidRPr="006B3796" w:rsidRDefault="00013D83" w:rsidP="001F3F21">
            <w:pPr>
              <w:pStyle w:val="Tabletext"/>
            </w:pPr>
            <w:r w:rsidRPr="006B3796">
              <w:t>Yes</w:t>
            </w:r>
          </w:p>
        </w:tc>
        <w:tc>
          <w:tcPr>
            <w:tcW w:w="1440" w:type="dxa"/>
            <w:tcBorders>
              <w:top w:val="single" w:sz="2" w:space="0" w:color="auto"/>
              <w:left w:val="single" w:sz="6" w:space="0" w:color="auto"/>
              <w:bottom w:val="single" w:sz="2" w:space="0" w:color="auto"/>
              <w:right w:val="single" w:sz="6" w:space="0" w:color="auto"/>
            </w:tcBorders>
            <w:shd w:val="clear" w:color="auto" w:fill="auto"/>
          </w:tcPr>
          <w:p w:rsidR="00013D83" w:rsidRPr="006B3796" w:rsidRDefault="00013D83" w:rsidP="001F3F21">
            <w:pPr>
              <w:pStyle w:val="Tabletext"/>
            </w:pPr>
            <w:r w:rsidRPr="006B3796">
              <w:t>No</w:t>
            </w:r>
          </w:p>
        </w:tc>
        <w:tc>
          <w:tcPr>
            <w:tcW w:w="1440" w:type="dxa"/>
            <w:tcBorders>
              <w:top w:val="single" w:sz="2" w:space="0" w:color="auto"/>
              <w:left w:val="single" w:sz="6" w:space="0" w:color="auto"/>
              <w:bottom w:val="single" w:sz="2" w:space="0" w:color="auto"/>
            </w:tcBorders>
            <w:shd w:val="clear" w:color="auto" w:fill="auto"/>
          </w:tcPr>
          <w:p w:rsidR="00013D83" w:rsidRPr="006B3796" w:rsidRDefault="00013D83" w:rsidP="001F3F21">
            <w:pPr>
              <w:pStyle w:val="Tabletext"/>
            </w:pPr>
            <w:r w:rsidRPr="006B3796">
              <w:t>No</w:t>
            </w:r>
          </w:p>
        </w:tc>
      </w:tr>
      <w:tr w:rsidR="00013D83" w:rsidRPr="006B3796" w:rsidTr="001F3F21">
        <w:trPr>
          <w:cantSplit/>
        </w:trPr>
        <w:tc>
          <w:tcPr>
            <w:tcW w:w="714" w:type="dxa"/>
            <w:tcBorders>
              <w:top w:val="single" w:sz="2" w:space="0" w:color="auto"/>
              <w:bottom w:val="single" w:sz="2" w:space="0" w:color="auto"/>
              <w:right w:val="single" w:sz="6" w:space="0" w:color="auto"/>
            </w:tcBorders>
            <w:shd w:val="clear" w:color="auto" w:fill="auto"/>
          </w:tcPr>
          <w:p w:rsidR="00013D83" w:rsidRPr="006B3796" w:rsidRDefault="00013D83" w:rsidP="001F3F21">
            <w:pPr>
              <w:pStyle w:val="Tabletext"/>
            </w:pPr>
            <w:r w:rsidRPr="006B3796">
              <w:t>4</w:t>
            </w:r>
          </w:p>
        </w:tc>
        <w:tc>
          <w:tcPr>
            <w:tcW w:w="3121" w:type="dxa"/>
            <w:tcBorders>
              <w:top w:val="single" w:sz="2" w:space="0" w:color="auto"/>
              <w:left w:val="single" w:sz="6" w:space="0" w:color="auto"/>
              <w:bottom w:val="single" w:sz="2" w:space="0" w:color="auto"/>
              <w:right w:val="single" w:sz="6" w:space="0" w:color="auto"/>
            </w:tcBorders>
            <w:shd w:val="clear" w:color="auto" w:fill="auto"/>
          </w:tcPr>
          <w:p w:rsidR="00013D83" w:rsidRPr="006B3796" w:rsidRDefault="00013D83" w:rsidP="001F3F21">
            <w:pPr>
              <w:pStyle w:val="Tabletext"/>
            </w:pPr>
            <w:r w:rsidRPr="006B3796">
              <w:t>One expression/one meaning rule</w:t>
            </w:r>
          </w:p>
        </w:tc>
        <w:tc>
          <w:tcPr>
            <w:tcW w:w="1320" w:type="dxa"/>
            <w:tcBorders>
              <w:top w:val="single" w:sz="2" w:space="0" w:color="auto"/>
              <w:left w:val="single" w:sz="6" w:space="0" w:color="auto"/>
              <w:bottom w:val="single" w:sz="2" w:space="0" w:color="auto"/>
              <w:right w:val="single" w:sz="6" w:space="0" w:color="auto"/>
            </w:tcBorders>
            <w:shd w:val="clear" w:color="auto" w:fill="auto"/>
          </w:tcPr>
          <w:p w:rsidR="00013D83" w:rsidRPr="006B3796" w:rsidRDefault="00013D83" w:rsidP="001F3F21">
            <w:pPr>
              <w:pStyle w:val="Tabletext"/>
            </w:pPr>
            <w:r w:rsidRPr="006B3796">
              <w:t>Yes</w:t>
            </w:r>
          </w:p>
        </w:tc>
        <w:tc>
          <w:tcPr>
            <w:tcW w:w="1452" w:type="dxa"/>
            <w:tcBorders>
              <w:top w:val="single" w:sz="2" w:space="0" w:color="auto"/>
              <w:left w:val="single" w:sz="6" w:space="0" w:color="auto"/>
              <w:bottom w:val="single" w:sz="2" w:space="0" w:color="auto"/>
              <w:right w:val="single" w:sz="6" w:space="0" w:color="auto"/>
            </w:tcBorders>
            <w:shd w:val="clear" w:color="auto" w:fill="auto"/>
          </w:tcPr>
          <w:p w:rsidR="00013D83" w:rsidRPr="006B3796" w:rsidRDefault="00013D83" w:rsidP="001F3F21">
            <w:pPr>
              <w:pStyle w:val="Tabletext"/>
            </w:pPr>
            <w:r w:rsidRPr="006B3796">
              <w:t>Yes</w:t>
            </w:r>
          </w:p>
        </w:tc>
        <w:tc>
          <w:tcPr>
            <w:tcW w:w="1428" w:type="dxa"/>
            <w:tcBorders>
              <w:top w:val="single" w:sz="2" w:space="0" w:color="auto"/>
              <w:left w:val="single" w:sz="6" w:space="0" w:color="auto"/>
              <w:bottom w:val="single" w:sz="2" w:space="0" w:color="auto"/>
              <w:right w:val="single" w:sz="6" w:space="0" w:color="auto"/>
            </w:tcBorders>
            <w:shd w:val="clear" w:color="auto" w:fill="auto"/>
          </w:tcPr>
          <w:p w:rsidR="00013D83" w:rsidRPr="006B3796" w:rsidRDefault="00013D83" w:rsidP="001F3F21">
            <w:pPr>
              <w:pStyle w:val="Tabletext"/>
            </w:pPr>
            <w:r w:rsidRPr="006B3796">
              <w:t>Yes</w:t>
            </w:r>
          </w:p>
        </w:tc>
        <w:tc>
          <w:tcPr>
            <w:tcW w:w="1440" w:type="dxa"/>
            <w:tcBorders>
              <w:top w:val="single" w:sz="2" w:space="0" w:color="auto"/>
              <w:left w:val="single" w:sz="6" w:space="0" w:color="auto"/>
              <w:bottom w:val="single" w:sz="2" w:space="0" w:color="auto"/>
              <w:right w:val="single" w:sz="6" w:space="0" w:color="auto"/>
            </w:tcBorders>
            <w:shd w:val="clear" w:color="auto" w:fill="auto"/>
          </w:tcPr>
          <w:p w:rsidR="00013D83" w:rsidRPr="006B3796" w:rsidRDefault="00013D83" w:rsidP="001F3F21">
            <w:pPr>
              <w:pStyle w:val="Tabletext"/>
            </w:pPr>
            <w:r w:rsidRPr="006B3796">
              <w:t>Yes</w:t>
            </w:r>
          </w:p>
        </w:tc>
        <w:tc>
          <w:tcPr>
            <w:tcW w:w="1440" w:type="dxa"/>
            <w:tcBorders>
              <w:top w:val="single" w:sz="2" w:space="0" w:color="auto"/>
              <w:left w:val="single" w:sz="6" w:space="0" w:color="auto"/>
              <w:bottom w:val="single" w:sz="2" w:space="0" w:color="auto"/>
              <w:right w:val="single" w:sz="6" w:space="0" w:color="auto"/>
            </w:tcBorders>
            <w:shd w:val="clear" w:color="auto" w:fill="auto"/>
          </w:tcPr>
          <w:p w:rsidR="00013D83" w:rsidRPr="006B3796" w:rsidRDefault="00013D83" w:rsidP="001F3F21">
            <w:pPr>
              <w:pStyle w:val="Tabletext"/>
            </w:pPr>
            <w:r w:rsidRPr="006B3796">
              <w:t>Yes</w:t>
            </w:r>
          </w:p>
        </w:tc>
        <w:tc>
          <w:tcPr>
            <w:tcW w:w="1440" w:type="dxa"/>
            <w:tcBorders>
              <w:top w:val="single" w:sz="2" w:space="0" w:color="auto"/>
              <w:left w:val="single" w:sz="6" w:space="0" w:color="auto"/>
              <w:bottom w:val="single" w:sz="2" w:space="0" w:color="auto"/>
            </w:tcBorders>
            <w:shd w:val="clear" w:color="auto" w:fill="auto"/>
          </w:tcPr>
          <w:p w:rsidR="00013D83" w:rsidRPr="006B3796" w:rsidRDefault="00013D83" w:rsidP="001F3F21">
            <w:pPr>
              <w:pStyle w:val="Tabletext"/>
            </w:pPr>
            <w:r w:rsidRPr="006B3796">
              <w:t>Yes</w:t>
            </w:r>
          </w:p>
        </w:tc>
      </w:tr>
      <w:tr w:rsidR="00013D83" w:rsidRPr="006B3796" w:rsidTr="001F3F21">
        <w:trPr>
          <w:cantSplit/>
        </w:trPr>
        <w:tc>
          <w:tcPr>
            <w:tcW w:w="714" w:type="dxa"/>
            <w:tcBorders>
              <w:top w:val="single" w:sz="2" w:space="0" w:color="auto"/>
              <w:bottom w:val="single" w:sz="2" w:space="0" w:color="auto"/>
              <w:right w:val="single" w:sz="6" w:space="0" w:color="auto"/>
            </w:tcBorders>
            <w:shd w:val="clear" w:color="auto" w:fill="auto"/>
          </w:tcPr>
          <w:p w:rsidR="00013D83" w:rsidRPr="006B3796" w:rsidRDefault="00013D83" w:rsidP="001F3F21">
            <w:pPr>
              <w:pStyle w:val="Tabletext"/>
            </w:pPr>
            <w:r w:rsidRPr="006B3796">
              <w:t>5</w:t>
            </w:r>
          </w:p>
        </w:tc>
        <w:tc>
          <w:tcPr>
            <w:tcW w:w="3121" w:type="dxa"/>
            <w:tcBorders>
              <w:top w:val="single" w:sz="2" w:space="0" w:color="auto"/>
              <w:left w:val="single" w:sz="6" w:space="0" w:color="auto"/>
              <w:bottom w:val="single" w:sz="2" w:space="0" w:color="auto"/>
              <w:right w:val="single" w:sz="6" w:space="0" w:color="auto"/>
            </w:tcBorders>
            <w:shd w:val="clear" w:color="auto" w:fill="auto"/>
          </w:tcPr>
          <w:p w:rsidR="00013D83" w:rsidRPr="006B3796" w:rsidRDefault="00013D83" w:rsidP="001F3F21">
            <w:pPr>
              <w:pStyle w:val="Tabletext"/>
            </w:pPr>
            <w:r w:rsidRPr="006B3796">
              <w:t>Definitions form part of the Tax Code’s common dictionary</w:t>
            </w:r>
          </w:p>
        </w:tc>
        <w:tc>
          <w:tcPr>
            <w:tcW w:w="1320" w:type="dxa"/>
            <w:tcBorders>
              <w:top w:val="single" w:sz="2" w:space="0" w:color="auto"/>
              <w:left w:val="single" w:sz="6" w:space="0" w:color="auto"/>
              <w:bottom w:val="single" w:sz="2" w:space="0" w:color="auto"/>
              <w:right w:val="single" w:sz="6" w:space="0" w:color="auto"/>
            </w:tcBorders>
            <w:shd w:val="clear" w:color="auto" w:fill="auto"/>
          </w:tcPr>
          <w:p w:rsidR="00013D83" w:rsidRPr="006B3796" w:rsidRDefault="00013D83" w:rsidP="001F3F21">
            <w:pPr>
              <w:pStyle w:val="Tabletext"/>
            </w:pPr>
            <w:r w:rsidRPr="006B3796">
              <w:t>Yes</w:t>
            </w:r>
          </w:p>
        </w:tc>
        <w:tc>
          <w:tcPr>
            <w:tcW w:w="1452" w:type="dxa"/>
            <w:tcBorders>
              <w:top w:val="single" w:sz="2" w:space="0" w:color="auto"/>
              <w:left w:val="single" w:sz="6" w:space="0" w:color="auto"/>
              <w:bottom w:val="single" w:sz="2" w:space="0" w:color="auto"/>
              <w:right w:val="single" w:sz="6" w:space="0" w:color="auto"/>
            </w:tcBorders>
            <w:shd w:val="clear" w:color="auto" w:fill="auto"/>
          </w:tcPr>
          <w:p w:rsidR="00013D83" w:rsidRPr="006B3796" w:rsidRDefault="00013D83" w:rsidP="001F3F21">
            <w:pPr>
              <w:pStyle w:val="Tabletext"/>
            </w:pPr>
            <w:r w:rsidRPr="006B3796">
              <w:t>Yes</w:t>
            </w:r>
            <w:r w:rsidRPr="006B3796">
              <w:rPr>
                <w:rStyle w:val="FootnoteReference"/>
              </w:rPr>
              <w:footnoteReference w:id="9"/>
            </w:r>
          </w:p>
        </w:tc>
        <w:tc>
          <w:tcPr>
            <w:tcW w:w="1428" w:type="dxa"/>
            <w:tcBorders>
              <w:top w:val="single" w:sz="2" w:space="0" w:color="auto"/>
              <w:left w:val="single" w:sz="6" w:space="0" w:color="auto"/>
              <w:bottom w:val="single" w:sz="2" w:space="0" w:color="auto"/>
              <w:right w:val="single" w:sz="6" w:space="0" w:color="auto"/>
            </w:tcBorders>
            <w:shd w:val="clear" w:color="auto" w:fill="auto"/>
          </w:tcPr>
          <w:p w:rsidR="00013D83" w:rsidRPr="006B3796" w:rsidRDefault="00013D83" w:rsidP="001F3F21">
            <w:pPr>
              <w:pStyle w:val="Tabletext"/>
            </w:pPr>
            <w:r w:rsidRPr="006B3796">
              <w:t>Yes</w:t>
            </w:r>
            <w:r w:rsidRPr="006B3796">
              <w:rPr>
                <w:rStyle w:val="FootnoteReference"/>
              </w:rPr>
              <w:footnoteReference w:id="10"/>
            </w:r>
          </w:p>
        </w:tc>
        <w:tc>
          <w:tcPr>
            <w:tcW w:w="1440" w:type="dxa"/>
            <w:tcBorders>
              <w:top w:val="single" w:sz="2" w:space="0" w:color="auto"/>
              <w:left w:val="single" w:sz="6" w:space="0" w:color="auto"/>
              <w:bottom w:val="single" w:sz="2" w:space="0" w:color="auto"/>
              <w:right w:val="single" w:sz="6" w:space="0" w:color="auto"/>
            </w:tcBorders>
            <w:shd w:val="clear" w:color="auto" w:fill="auto"/>
          </w:tcPr>
          <w:p w:rsidR="00013D83" w:rsidRPr="006B3796" w:rsidRDefault="00013D83" w:rsidP="001F3F21">
            <w:pPr>
              <w:pStyle w:val="Tabletext"/>
            </w:pPr>
            <w:r w:rsidRPr="006B3796">
              <w:t>Yes</w:t>
            </w:r>
            <w:r w:rsidRPr="006B3796">
              <w:rPr>
                <w:rStyle w:val="FootnoteReference"/>
              </w:rPr>
              <w:footnoteReference w:id="11"/>
            </w:r>
          </w:p>
        </w:tc>
        <w:tc>
          <w:tcPr>
            <w:tcW w:w="1440" w:type="dxa"/>
            <w:tcBorders>
              <w:top w:val="single" w:sz="2" w:space="0" w:color="auto"/>
              <w:left w:val="single" w:sz="6" w:space="0" w:color="auto"/>
              <w:bottom w:val="single" w:sz="2" w:space="0" w:color="auto"/>
              <w:right w:val="single" w:sz="6" w:space="0" w:color="auto"/>
            </w:tcBorders>
            <w:shd w:val="clear" w:color="auto" w:fill="auto"/>
          </w:tcPr>
          <w:p w:rsidR="00013D83" w:rsidRPr="006B3796" w:rsidRDefault="00013D83" w:rsidP="001F3F21">
            <w:pPr>
              <w:pStyle w:val="Tabletext"/>
            </w:pPr>
            <w:r w:rsidRPr="006B3796">
              <w:t>Yes</w:t>
            </w:r>
            <w:r w:rsidRPr="006B3796">
              <w:rPr>
                <w:rStyle w:val="FootnoteReference"/>
              </w:rPr>
              <w:footnoteReference w:id="12"/>
            </w:r>
          </w:p>
        </w:tc>
        <w:tc>
          <w:tcPr>
            <w:tcW w:w="1440" w:type="dxa"/>
            <w:tcBorders>
              <w:top w:val="single" w:sz="2" w:space="0" w:color="auto"/>
              <w:left w:val="single" w:sz="6" w:space="0" w:color="auto"/>
              <w:bottom w:val="single" w:sz="2" w:space="0" w:color="auto"/>
            </w:tcBorders>
            <w:shd w:val="clear" w:color="auto" w:fill="auto"/>
          </w:tcPr>
          <w:p w:rsidR="00013D83" w:rsidRPr="006B3796" w:rsidRDefault="00013D83" w:rsidP="001F3F21">
            <w:pPr>
              <w:pStyle w:val="Tabletext"/>
            </w:pPr>
            <w:r w:rsidRPr="006B3796">
              <w:t>Yes</w:t>
            </w:r>
            <w:r w:rsidRPr="006B3796">
              <w:rPr>
                <w:rStyle w:val="FootnoteReference"/>
              </w:rPr>
              <w:footnoteReference w:id="13"/>
            </w:r>
          </w:p>
        </w:tc>
      </w:tr>
      <w:tr w:rsidR="00013D83" w:rsidRPr="006B3796" w:rsidTr="001F3F21">
        <w:trPr>
          <w:cantSplit/>
        </w:trPr>
        <w:tc>
          <w:tcPr>
            <w:tcW w:w="714" w:type="dxa"/>
            <w:tcBorders>
              <w:top w:val="single" w:sz="2" w:space="0" w:color="auto"/>
              <w:bottom w:val="single" w:sz="2" w:space="0" w:color="auto"/>
              <w:right w:val="single" w:sz="6" w:space="0" w:color="auto"/>
            </w:tcBorders>
            <w:shd w:val="clear" w:color="auto" w:fill="auto"/>
          </w:tcPr>
          <w:p w:rsidR="00013D83" w:rsidRPr="006B3796" w:rsidRDefault="00013D83" w:rsidP="001F3F21">
            <w:pPr>
              <w:pStyle w:val="Tabletext"/>
            </w:pPr>
            <w:r w:rsidRPr="006B3796">
              <w:lastRenderedPageBreak/>
              <w:t>6</w:t>
            </w:r>
          </w:p>
        </w:tc>
        <w:tc>
          <w:tcPr>
            <w:tcW w:w="3121" w:type="dxa"/>
            <w:tcBorders>
              <w:top w:val="single" w:sz="2" w:space="0" w:color="auto"/>
              <w:left w:val="single" w:sz="6" w:space="0" w:color="auto"/>
              <w:bottom w:val="single" w:sz="2" w:space="0" w:color="auto"/>
              <w:right w:val="single" w:sz="6" w:space="0" w:color="auto"/>
            </w:tcBorders>
            <w:shd w:val="clear" w:color="auto" w:fill="auto"/>
          </w:tcPr>
          <w:p w:rsidR="00013D83" w:rsidRPr="006B3796" w:rsidRDefault="00013D83" w:rsidP="001F3F21">
            <w:pPr>
              <w:pStyle w:val="Tabletext"/>
            </w:pPr>
            <w:r w:rsidRPr="006B3796">
              <w:t>Definitions asterisked</w:t>
            </w:r>
          </w:p>
        </w:tc>
        <w:tc>
          <w:tcPr>
            <w:tcW w:w="1320" w:type="dxa"/>
            <w:tcBorders>
              <w:top w:val="single" w:sz="2" w:space="0" w:color="auto"/>
              <w:left w:val="single" w:sz="6" w:space="0" w:color="auto"/>
              <w:bottom w:val="single" w:sz="2" w:space="0" w:color="auto"/>
              <w:right w:val="single" w:sz="6" w:space="0" w:color="auto"/>
            </w:tcBorders>
            <w:shd w:val="clear" w:color="auto" w:fill="auto"/>
          </w:tcPr>
          <w:p w:rsidR="00013D83" w:rsidRPr="006B3796" w:rsidRDefault="00013D83" w:rsidP="001F3F21">
            <w:pPr>
              <w:pStyle w:val="Tabletext"/>
            </w:pPr>
            <w:r w:rsidRPr="006B3796">
              <w:t>Yes</w:t>
            </w:r>
          </w:p>
        </w:tc>
        <w:tc>
          <w:tcPr>
            <w:tcW w:w="1452" w:type="dxa"/>
            <w:tcBorders>
              <w:top w:val="single" w:sz="2" w:space="0" w:color="auto"/>
              <w:left w:val="single" w:sz="6" w:space="0" w:color="auto"/>
              <w:bottom w:val="single" w:sz="2" w:space="0" w:color="auto"/>
              <w:right w:val="single" w:sz="6" w:space="0" w:color="auto"/>
            </w:tcBorders>
            <w:shd w:val="clear" w:color="auto" w:fill="auto"/>
          </w:tcPr>
          <w:p w:rsidR="00013D83" w:rsidRPr="006B3796" w:rsidRDefault="00013D83" w:rsidP="001F3F21">
            <w:pPr>
              <w:pStyle w:val="Tabletext"/>
            </w:pPr>
            <w:r w:rsidRPr="006B3796">
              <w:t>Yes</w:t>
            </w:r>
          </w:p>
        </w:tc>
        <w:tc>
          <w:tcPr>
            <w:tcW w:w="1428" w:type="dxa"/>
            <w:tcBorders>
              <w:top w:val="single" w:sz="2" w:space="0" w:color="auto"/>
              <w:left w:val="single" w:sz="6" w:space="0" w:color="auto"/>
              <w:bottom w:val="single" w:sz="2" w:space="0" w:color="auto"/>
              <w:right w:val="single" w:sz="6" w:space="0" w:color="auto"/>
            </w:tcBorders>
            <w:shd w:val="clear" w:color="auto" w:fill="auto"/>
          </w:tcPr>
          <w:p w:rsidR="00013D83" w:rsidRPr="006B3796" w:rsidRDefault="00013D83" w:rsidP="001F3F21">
            <w:pPr>
              <w:pStyle w:val="Tabletext"/>
            </w:pPr>
            <w:r w:rsidRPr="006B3796">
              <w:t>No</w:t>
            </w:r>
          </w:p>
        </w:tc>
        <w:tc>
          <w:tcPr>
            <w:tcW w:w="1440" w:type="dxa"/>
            <w:tcBorders>
              <w:top w:val="single" w:sz="2" w:space="0" w:color="auto"/>
              <w:left w:val="single" w:sz="6" w:space="0" w:color="auto"/>
              <w:bottom w:val="single" w:sz="2" w:space="0" w:color="auto"/>
              <w:right w:val="single" w:sz="6" w:space="0" w:color="auto"/>
            </w:tcBorders>
            <w:shd w:val="clear" w:color="auto" w:fill="auto"/>
          </w:tcPr>
          <w:p w:rsidR="00013D83" w:rsidRPr="006B3796" w:rsidRDefault="00013D83" w:rsidP="001F3F21">
            <w:pPr>
              <w:pStyle w:val="Tabletext"/>
            </w:pPr>
            <w:r w:rsidRPr="006B3796">
              <w:t>Yes</w:t>
            </w:r>
          </w:p>
        </w:tc>
        <w:tc>
          <w:tcPr>
            <w:tcW w:w="1440" w:type="dxa"/>
            <w:tcBorders>
              <w:top w:val="single" w:sz="2" w:space="0" w:color="auto"/>
              <w:left w:val="single" w:sz="6" w:space="0" w:color="auto"/>
              <w:bottom w:val="single" w:sz="2" w:space="0" w:color="auto"/>
              <w:right w:val="single" w:sz="6" w:space="0" w:color="auto"/>
            </w:tcBorders>
            <w:shd w:val="clear" w:color="auto" w:fill="auto"/>
          </w:tcPr>
          <w:p w:rsidR="00013D83" w:rsidRPr="006B3796" w:rsidRDefault="00013D83" w:rsidP="001F3F21">
            <w:pPr>
              <w:pStyle w:val="Tabletext"/>
            </w:pPr>
            <w:r w:rsidRPr="006B3796">
              <w:t>Yes</w:t>
            </w:r>
          </w:p>
        </w:tc>
        <w:tc>
          <w:tcPr>
            <w:tcW w:w="1440" w:type="dxa"/>
            <w:tcBorders>
              <w:top w:val="single" w:sz="2" w:space="0" w:color="auto"/>
              <w:left w:val="single" w:sz="6" w:space="0" w:color="auto"/>
              <w:bottom w:val="single" w:sz="2" w:space="0" w:color="auto"/>
            </w:tcBorders>
            <w:shd w:val="clear" w:color="auto" w:fill="auto"/>
          </w:tcPr>
          <w:p w:rsidR="00013D83" w:rsidRPr="006B3796" w:rsidRDefault="00013D83" w:rsidP="001F3F21">
            <w:pPr>
              <w:pStyle w:val="Tabletext"/>
            </w:pPr>
            <w:r w:rsidRPr="006B3796">
              <w:t>Yes</w:t>
            </w:r>
          </w:p>
        </w:tc>
      </w:tr>
      <w:tr w:rsidR="00013D83" w:rsidRPr="006B3796" w:rsidTr="001F3F21">
        <w:trPr>
          <w:cantSplit/>
        </w:trPr>
        <w:tc>
          <w:tcPr>
            <w:tcW w:w="714" w:type="dxa"/>
            <w:tcBorders>
              <w:top w:val="single" w:sz="2" w:space="0" w:color="auto"/>
              <w:bottom w:val="single" w:sz="2" w:space="0" w:color="auto"/>
              <w:right w:val="single" w:sz="6" w:space="0" w:color="auto"/>
            </w:tcBorders>
            <w:shd w:val="clear" w:color="auto" w:fill="auto"/>
          </w:tcPr>
          <w:p w:rsidR="00013D83" w:rsidRPr="006B3796" w:rsidRDefault="00013D83" w:rsidP="001F3F21">
            <w:pPr>
              <w:pStyle w:val="Tabletext"/>
            </w:pPr>
            <w:r w:rsidRPr="006B3796">
              <w:t>7</w:t>
            </w:r>
          </w:p>
        </w:tc>
        <w:tc>
          <w:tcPr>
            <w:tcW w:w="3121" w:type="dxa"/>
            <w:tcBorders>
              <w:top w:val="single" w:sz="2" w:space="0" w:color="auto"/>
              <w:left w:val="single" w:sz="6" w:space="0" w:color="auto"/>
              <w:bottom w:val="single" w:sz="2" w:space="0" w:color="auto"/>
              <w:right w:val="single" w:sz="6" w:space="0" w:color="auto"/>
            </w:tcBorders>
            <w:shd w:val="clear" w:color="auto" w:fill="auto"/>
          </w:tcPr>
          <w:p w:rsidR="00013D83" w:rsidRPr="006B3796" w:rsidRDefault="00013D83" w:rsidP="001F3F21">
            <w:pPr>
              <w:pStyle w:val="Tabletext"/>
            </w:pPr>
            <w:r w:rsidRPr="006B3796">
              <w:t>Other rules on definitions (for example, “just</w:t>
            </w:r>
            <w:r w:rsidR="002860B3">
              <w:noBreakHyphen/>
            </w:r>
            <w:r w:rsidRPr="006B3796">
              <w:t>in</w:t>
            </w:r>
            <w:r w:rsidR="002860B3">
              <w:noBreakHyphen/>
            </w:r>
            <w:r w:rsidRPr="006B3796">
              <w:t>time”)</w:t>
            </w:r>
          </w:p>
        </w:tc>
        <w:tc>
          <w:tcPr>
            <w:tcW w:w="1320" w:type="dxa"/>
            <w:tcBorders>
              <w:top w:val="single" w:sz="2" w:space="0" w:color="auto"/>
              <w:left w:val="single" w:sz="6" w:space="0" w:color="auto"/>
              <w:bottom w:val="single" w:sz="2" w:space="0" w:color="auto"/>
              <w:right w:val="single" w:sz="6" w:space="0" w:color="auto"/>
            </w:tcBorders>
            <w:shd w:val="clear" w:color="auto" w:fill="auto"/>
          </w:tcPr>
          <w:p w:rsidR="00013D83" w:rsidRPr="006B3796" w:rsidRDefault="00013D83" w:rsidP="001F3F21">
            <w:pPr>
              <w:pStyle w:val="Tabletext"/>
            </w:pPr>
            <w:r w:rsidRPr="006B3796">
              <w:t>Yes</w:t>
            </w:r>
          </w:p>
        </w:tc>
        <w:tc>
          <w:tcPr>
            <w:tcW w:w="1452" w:type="dxa"/>
            <w:tcBorders>
              <w:top w:val="single" w:sz="2" w:space="0" w:color="auto"/>
              <w:left w:val="single" w:sz="6" w:space="0" w:color="auto"/>
              <w:bottom w:val="single" w:sz="2" w:space="0" w:color="auto"/>
              <w:right w:val="single" w:sz="6" w:space="0" w:color="auto"/>
            </w:tcBorders>
            <w:shd w:val="clear" w:color="auto" w:fill="auto"/>
          </w:tcPr>
          <w:p w:rsidR="00013D83" w:rsidRPr="006B3796" w:rsidRDefault="00013D83" w:rsidP="001F3F21">
            <w:pPr>
              <w:pStyle w:val="Tabletext"/>
            </w:pPr>
            <w:r w:rsidRPr="006B3796">
              <w:t>Yes</w:t>
            </w:r>
          </w:p>
        </w:tc>
        <w:tc>
          <w:tcPr>
            <w:tcW w:w="1428" w:type="dxa"/>
            <w:tcBorders>
              <w:top w:val="single" w:sz="2" w:space="0" w:color="auto"/>
              <w:left w:val="single" w:sz="6" w:space="0" w:color="auto"/>
              <w:bottom w:val="single" w:sz="2" w:space="0" w:color="auto"/>
              <w:right w:val="single" w:sz="6" w:space="0" w:color="auto"/>
            </w:tcBorders>
            <w:shd w:val="clear" w:color="auto" w:fill="auto"/>
          </w:tcPr>
          <w:p w:rsidR="00013D83" w:rsidRPr="006B3796" w:rsidRDefault="00013D83" w:rsidP="001F3F21">
            <w:pPr>
              <w:pStyle w:val="Tabletext"/>
            </w:pPr>
            <w:r w:rsidRPr="006B3796">
              <w:t>Yes</w:t>
            </w:r>
          </w:p>
        </w:tc>
        <w:tc>
          <w:tcPr>
            <w:tcW w:w="1440" w:type="dxa"/>
            <w:tcBorders>
              <w:top w:val="single" w:sz="2" w:space="0" w:color="auto"/>
              <w:left w:val="single" w:sz="6" w:space="0" w:color="auto"/>
              <w:bottom w:val="single" w:sz="2" w:space="0" w:color="auto"/>
              <w:right w:val="single" w:sz="6" w:space="0" w:color="auto"/>
            </w:tcBorders>
            <w:shd w:val="clear" w:color="auto" w:fill="auto"/>
          </w:tcPr>
          <w:p w:rsidR="00013D83" w:rsidRPr="006B3796" w:rsidRDefault="00013D83" w:rsidP="001F3F21">
            <w:pPr>
              <w:pStyle w:val="Tabletext"/>
            </w:pPr>
            <w:r w:rsidRPr="006B3796">
              <w:t>Yes</w:t>
            </w:r>
          </w:p>
        </w:tc>
        <w:tc>
          <w:tcPr>
            <w:tcW w:w="1440" w:type="dxa"/>
            <w:tcBorders>
              <w:top w:val="single" w:sz="2" w:space="0" w:color="auto"/>
              <w:left w:val="single" w:sz="6" w:space="0" w:color="auto"/>
              <w:bottom w:val="single" w:sz="2" w:space="0" w:color="auto"/>
              <w:right w:val="single" w:sz="6" w:space="0" w:color="auto"/>
            </w:tcBorders>
            <w:shd w:val="clear" w:color="auto" w:fill="auto"/>
          </w:tcPr>
          <w:p w:rsidR="00013D83" w:rsidRPr="006B3796" w:rsidRDefault="00013D83" w:rsidP="001F3F21">
            <w:pPr>
              <w:pStyle w:val="Tabletext"/>
            </w:pPr>
            <w:r w:rsidRPr="006B3796">
              <w:t>Yes</w:t>
            </w:r>
          </w:p>
        </w:tc>
        <w:tc>
          <w:tcPr>
            <w:tcW w:w="1440" w:type="dxa"/>
            <w:tcBorders>
              <w:top w:val="single" w:sz="2" w:space="0" w:color="auto"/>
              <w:left w:val="single" w:sz="6" w:space="0" w:color="auto"/>
              <w:bottom w:val="single" w:sz="2" w:space="0" w:color="auto"/>
            </w:tcBorders>
            <w:shd w:val="clear" w:color="auto" w:fill="auto"/>
          </w:tcPr>
          <w:p w:rsidR="00013D83" w:rsidRPr="006B3796" w:rsidRDefault="00013D83" w:rsidP="001F3F21">
            <w:pPr>
              <w:pStyle w:val="Tabletext"/>
            </w:pPr>
            <w:r w:rsidRPr="006B3796">
              <w:t>Yes</w:t>
            </w:r>
          </w:p>
        </w:tc>
      </w:tr>
      <w:tr w:rsidR="00013D83" w:rsidRPr="006B3796" w:rsidTr="001F3F21">
        <w:trPr>
          <w:cantSplit/>
        </w:trPr>
        <w:tc>
          <w:tcPr>
            <w:tcW w:w="714" w:type="dxa"/>
            <w:tcBorders>
              <w:top w:val="single" w:sz="2" w:space="0" w:color="auto"/>
              <w:bottom w:val="single" w:sz="2" w:space="0" w:color="auto"/>
              <w:right w:val="single" w:sz="6" w:space="0" w:color="auto"/>
            </w:tcBorders>
            <w:shd w:val="clear" w:color="auto" w:fill="auto"/>
          </w:tcPr>
          <w:p w:rsidR="00013D83" w:rsidRPr="006B3796" w:rsidRDefault="00013D83" w:rsidP="001F3F21">
            <w:pPr>
              <w:pStyle w:val="Tabletext"/>
            </w:pPr>
            <w:r w:rsidRPr="006B3796">
              <w:t>8</w:t>
            </w:r>
          </w:p>
        </w:tc>
        <w:tc>
          <w:tcPr>
            <w:tcW w:w="3121" w:type="dxa"/>
            <w:tcBorders>
              <w:top w:val="single" w:sz="2" w:space="0" w:color="auto"/>
              <w:left w:val="single" w:sz="6" w:space="0" w:color="auto"/>
              <w:bottom w:val="single" w:sz="2" w:space="0" w:color="auto"/>
              <w:right w:val="single" w:sz="6" w:space="0" w:color="auto"/>
            </w:tcBorders>
            <w:shd w:val="clear" w:color="auto" w:fill="auto"/>
          </w:tcPr>
          <w:p w:rsidR="00013D83" w:rsidRPr="006B3796" w:rsidRDefault="00013D83" w:rsidP="001F3F21">
            <w:pPr>
              <w:pStyle w:val="Tabletext"/>
            </w:pPr>
            <w:r w:rsidRPr="006B3796">
              <w:t>Use of “you”</w:t>
            </w:r>
          </w:p>
        </w:tc>
        <w:tc>
          <w:tcPr>
            <w:tcW w:w="1320" w:type="dxa"/>
            <w:tcBorders>
              <w:top w:val="single" w:sz="2" w:space="0" w:color="auto"/>
              <w:left w:val="single" w:sz="6" w:space="0" w:color="auto"/>
              <w:bottom w:val="single" w:sz="2" w:space="0" w:color="auto"/>
              <w:right w:val="single" w:sz="6" w:space="0" w:color="auto"/>
            </w:tcBorders>
            <w:shd w:val="clear" w:color="auto" w:fill="auto"/>
          </w:tcPr>
          <w:p w:rsidR="00013D83" w:rsidRPr="006B3796" w:rsidRDefault="00013D83" w:rsidP="001F3F21">
            <w:pPr>
              <w:pStyle w:val="Tabletext"/>
            </w:pPr>
            <w:r w:rsidRPr="006B3796">
              <w:t>Yes</w:t>
            </w:r>
          </w:p>
        </w:tc>
        <w:tc>
          <w:tcPr>
            <w:tcW w:w="1452" w:type="dxa"/>
            <w:tcBorders>
              <w:top w:val="single" w:sz="2" w:space="0" w:color="auto"/>
              <w:left w:val="single" w:sz="6" w:space="0" w:color="auto"/>
              <w:bottom w:val="single" w:sz="2" w:space="0" w:color="auto"/>
              <w:right w:val="single" w:sz="6" w:space="0" w:color="auto"/>
            </w:tcBorders>
            <w:shd w:val="clear" w:color="auto" w:fill="auto"/>
          </w:tcPr>
          <w:p w:rsidR="00013D83" w:rsidRPr="006B3796" w:rsidRDefault="00013D83" w:rsidP="001F3F21">
            <w:pPr>
              <w:pStyle w:val="Tabletext"/>
            </w:pPr>
            <w:r w:rsidRPr="006B3796">
              <w:t>Yes</w:t>
            </w:r>
          </w:p>
        </w:tc>
        <w:tc>
          <w:tcPr>
            <w:tcW w:w="1428" w:type="dxa"/>
            <w:tcBorders>
              <w:top w:val="single" w:sz="2" w:space="0" w:color="auto"/>
              <w:left w:val="single" w:sz="6" w:space="0" w:color="auto"/>
              <w:bottom w:val="single" w:sz="2" w:space="0" w:color="auto"/>
              <w:right w:val="single" w:sz="6" w:space="0" w:color="auto"/>
            </w:tcBorders>
            <w:shd w:val="clear" w:color="auto" w:fill="auto"/>
          </w:tcPr>
          <w:p w:rsidR="00013D83" w:rsidRPr="006B3796" w:rsidRDefault="00013D83" w:rsidP="001F3F21">
            <w:pPr>
              <w:pStyle w:val="Tabletext"/>
            </w:pPr>
            <w:r w:rsidRPr="006B3796">
              <w:t>Yes</w:t>
            </w:r>
          </w:p>
        </w:tc>
        <w:tc>
          <w:tcPr>
            <w:tcW w:w="1440" w:type="dxa"/>
            <w:tcBorders>
              <w:top w:val="single" w:sz="2" w:space="0" w:color="auto"/>
              <w:left w:val="single" w:sz="6" w:space="0" w:color="auto"/>
              <w:bottom w:val="single" w:sz="2" w:space="0" w:color="auto"/>
              <w:right w:val="single" w:sz="6" w:space="0" w:color="auto"/>
            </w:tcBorders>
            <w:shd w:val="clear" w:color="auto" w:fill="auto"/>
          </w:tcPr>
          <w:p w:rsidR="00013D83" w:rsidRPr="006B3796" w:rsidRDefault="00013D83" w:rsidP="001F3F21">
            <w:pPr>
              <w:pStyle w:val="Tabletext"/>
            </w:pPr>
            <w:r w:rsidRPr="006B3796">
              <w:t>Yes</w:t>
            </w:r>
          </w:p>
        </w:tc>
        <w:tc>
          <w:tcPr>
            <w:tcW w:w="1440" w:type="dxa"/>
            <w:tcBorders>
              <w:top w:val="single" w:sz="2" w:space="0" w:color="auto"/>
              <w:left w:val="single" w:sz="6" w:space="0" w:color="auto"/>
              <w:bottom w:val="single" w:sz="2" w:space="0" w:color="auto"/>
              <w:right w:val="single" w:sz="6" w:space="0" w:color="auto"/>
            </w:tcBorders>
            <w:shd w:val="clear" w:color="auto" w:fill="auto"/>
          </w:tcPr>
          <w:p w:rsidR="00013D83" w:rsidRPr="006B3796" w:rsidRDefault="00013D83" w:rsidP="001F3F21">
            <w:pPr>
              <w:pStyle w:val="Tabletext"/>
            </w:pPr>
            <w:r w:rsidRPr="006B3796">
              <w:t>Yes</w:t>
            </w:r>
          </w:p>
        </w:tc>
        <w:tc>
          <w:tcPr>
            <w:tcW w:w="1440" w:type="dxa"/>
            <w:tcBorders>
              <w:top w:val="single" w:sz="2" w:space="0" w:color="auto"/>
              <w:left w:val="single" w:sz="6" w:space="0" w:color="auto"/>
              <w:bottom w:val="single" w:sz="2" w:space="0" w:color="auto"/>
            </w:tcBorders>
            <w:shd w:val="clear" w:color="auto" w:fill="auto"/>
          </w:tcPr>
          <w:p w:rsidR="00013D83" w:rsidRPr="006B3796" w:rsidRDefault="00013D83" w:rsidP="001F3F21">
            <w:pPr>
              <w:pStyle w:val="Tabletext"/>
            </w:pPr>
            <w:r w:rsidRPr="006B3796">
              <w:t>Yes</w:t>
            </w:r>
            <w:r w:rsidRPr="006B3796">
              <w:rPr>
                <w:rStyle w:val="FootnoteReference"/>
              </w:rPr>
              <w:footnoteReference w:id="14"/>
            </w:r>
          </w:p>
        </w:tc>
      </w:tr>
      <w:tr w:rsidR="00013D83" w:rsidRPr="006B3796" w:rsidTr="001F3F21">
        <w:trPr>
          <w:cantSplit/>
        </w:trPr>
        <w:tc>
          <w:tcPr>
            <w:tcW w:w="714" w:type="dxa"/>
            <w:tcBorders>
              <w:top w:val="single" w:sz="2" w:space="0" w:color="auto"/>
              <w:bottom w:val="single" w:sz="2" w:space="0" w:color="auto"/>
              <w:right w:val="single" w:sz="6" w:space="0" w:color="auto"/>
            </w:tcBorders>
            <w:shd w:val="clear" w:color="auto" w:fill="auto"/>
          </w:tcPr>
          <w:p w:rsidR="00013D83" w:rsidRPr="006B3796" w:rsidRDefault="00013D83" w:rsidP="001F3F21">
            <w:pPr>
              <w:pStyle w:val="Tabletext"/>
            </w:pPr>
            <w:r w:rsidRPr="006B3796">
              <w:t>9</w:t>
            </w:r>
          </w:p>
        </w:tc>
        <w:tc>
          <w:tcPr>
            <w:tcW w:w="3121" w:type="dxa"/>
            <w:tcBorders>
              <w:top w:val="single" w:sz="2" w:space="0" w:color="auto"/>
              <w:left w:val="single" w:sz="6" w:space="0" w:color="auto"/>
              <w:bottom w:val="single" w:sz="2" w:space="0" w:color="auto"/>
              <w:right w:val="single" w:sz="6" w:space="0" w:color="auto"/>
            </w:tcBorders>
            <w:shd w:val="clear" w:color="auto" w:fill="auto"/>
          </w:tcPr>
          <w:p w:rsidR="00013D83" w:rsidRPr="006B3796" w:rsidRDefault="00013D83" w:rsidP="001F3F21">
            <w:pPr>
              <w:pStyle w:val="Tabletext"/>
            </w:pPr>
            <w:r w:rsidRPr="006B3796">
              <w:t>Headings to the following units all form part of the Act:</w:t>
            </w:r>
          </w:p>
          <w:p w:rsidR="00013D83" w:rsidRPr="006B3796" w:rsidRDefault="00013D83" w:rsidP="00013D83">
            <w:pPr>
              <w:pStyle w:val="Tabletext"/>
              <w:numPr>
                <w:ilvl w:val="0"/>
                <w:numId w:val="6"/>
              </w:numPr>
            </w:pPr>
            <w:r w:rsidRPr="006B3796">
              <w:t>Chapters;</w:t>
            </w:r>
          </w:p>
          <w:p w:rsidR="00013D83" w:rsidRPr="006B3796" w:rsidRDefault="00013D83" w:rsidP="00013D83">
            <w:pPr>
              <w:pStyle w:val="Tabletext"/>
              <w:numPr>
                <w:ilvl w:val="0"/>
                <w:numId w:val="6"/>
              </w:numPr>
            </w:pPr>
            <w:r w:rsidRPr="006B3796">
              <w:t>Parts;</w:t>
            </w:r>
          </w:p>
          <w:p w:rsidR="00013D83" w:rsidRPr="006B3796" w:rsidRDefault="00013D83" w:rsidP="00013D83">
            <w:pPr>
              <w:pStyle w:val="Tabletext"/>
              <w:numPr>
                <w:ilvl w:val="0"/>
                <w:numId w:val="6"/>
              </w:numPr>
            </w:pPr>
            <w:r w:rsidRPr="006B3796">
              <w:t>Divisions;</w:t>
            </w:r>
          </w:p>
          <w:p w:rsidR="00013D83" w:rsidRPr="006B3796" w:rsidRDefault="00013D83" w:rsidP="00013D83">
            <w:pPr>
              <w:pStyle w:val="Tabletext"/>
              <w:numPr>
                <w:ilvl w:val="0"/>
                <w:numId w:val="6"/>
              </w:numPr>
            </w:pPr>
            <w:r w:rsidRPr="006B3796">
              <w:t>Subdivisions;</w:t>
            </w:r>
          </w:p>
          <w:p w:rsidR="00013D83" w:rsidRPr="006B3796" w:rsidRDefault="00013D83" w:rsidP="00013D83">
            <w:pPr>
              <w:pStyle w:val="Tabletext"/>
              <w:numPr>
                <w:ilvl w:val="0"/>
                <w:numId w:val="6"/>
              </w:numPr>
            </w:pPr>
            <w:r w:rsidRPr="006B3796">
              <w:t>sections;</w:t>
            </w:r>
          </w:p>
          <w:p w:rsidR="00013D83" w:rsidRPr="006B3796" w:rsidRDefault="00013D83" w:rsidP="00013D83">
            <w:pPr>
              <w:pStyle w:val="Tabletext"/>
              <w:numPr>
                <w:ilvl w:val="0"/>
                <w:numId w:val="6"/>
              </w:numPr>
            </w:pPr>
            <w:r w:rsidRPr="006B3796">
              <w:t>subsections;</w:t>
            </w:r>
          </w:p>
          <w:p w:rsidR="00013D83" w:rsidRPr="006B3796" w:rsidRDefault="00013D83" w:rsidP="00013D83">
            <w:pPr>
              <w:pStyle w:val="Tabletext"/>
              <w:numPr>
                <w:ilvl w:val="0"/>
                <w:numId w:val="6"/>
              </w:numPr>
            </w:pPr>
            <w:r w:rsidRPr="006B3796">
              <w:t>Group headings (including “Guide” heading).</w:t>
            </w:r>
          </w:p>
        </w:tc>
        <w:tc>
          <w:tcPr>
            <w:tcW w:w="1320" w:type="dxa"/>
            <w:tcBorders>
              <w:top w:val="single" w:sz="2" w:space="0" w:color="auto"/>
              <w:left w:val="single" w:sz="6" w:space="0" w:color="auto"/>
              <w:bottom w:val="single" w:sz="2" w:space="0" w:color="auto"/>
              <w:right w:val="single" w:sz="6" w:space="0" w:color="auto"/>
            </w:tcBorders>
            <w:shd w:val="clear" w:color="auto" w:fill="auto"/>
          </w:tcPr>
          <w:p w:rsidR="00013D83" w:rsidRPr="006B3796" w:rsidRDefault="00013D83" w:rsidP="001F3F21">
            <w:pPr>
              <w:pStyle w:val="Tabletext"/>
            </w:pPr>
            <w:r w:rsidRPr="006B3796">
              <w:t>Yes</w:t>
            </w:r>
          </w:p>
        </w:tc>
        <w:tc>
          <w:tcPr>
            <w:tcW w:w="1452" w:type="dxa"/>
            <w:tcBorders>
              <w:top w:val="single" w:sz="2" w:space="0" w:color="auto"/>
              <w:left w:val="single" w:sz="6" w:space="0" w:color="auto"/>
              <w:bottom w:val="single" w:sz="2" w:space="0" w:color="auto"/>
              <w:right w:val="single" w:sz="6" w:space="0" w:color="auto"/>
            </w:tcBorders>
            <w:shd w:val="clear" w:color="auto" w:fill="auto"/>
          </w:tcPr>
          <w:p w:rsidR="00013D83" w:rsidRPr="006B3796" w:rsidRDefault="00013D83" w:rsidP="001F3F21">
            <w:pPr>
              <w:pStyle w:val="Tabletext"/>
            </w:pPr>
            <w:r w:rsidRPr="006B3796">
              <w:t>Yes</w:t>
            </w:r>
          </w:p>
        </w:tc>
        <w:tc>
          <w:tcPr>
            <w:tcW w:w="1428" w:type="dxa"/>
            <w:tcBorders>
              <w:top w:val="single" w:sz="2" w:space="0" w:color="auto"/>
              <w:left w:val="single" w:sz="6" w:space="0" w:color="auto"/>
              <w:bottom w:val="single" w:sz="2" w:space="0" w:color="auto"/>
              <w:right w:val="single" w:sz="6" w:space="0" w:color="auto"/>
            </w:tcBorders>
            <w:shd w:val="clear" w:color="auto" w:fill="auto"/>
          </w:tcPr>
          <w:p w:rsidR="00013D83" w:rsidRPr="006B3796" w:rsidRDefault="00013D83" w:rsidP="001F3F21">
            <w:pPr>
              <w:pStyle w:val="Tabletext"/>
            </w:pPr>
            <w:r w:rsidRPr="006B3796">
              <w:t>Yes</w:t>
            </w:r>
          </w:p>
        </w:tc>
        <w:tc>
          <w:tcPr>
            <w:tcW w:w="1440" w:type="dxa"/>
            <w:tcBorders>
              <w:top w:val="single" w:sz="2" w:space="0" w:color="auto"/>
              <w:left w:val="single" w:sz="6" w:space="0" w:color="auto"/>
              <w:bottom w:val="single" w:sz="2" w:space="0" w:color="auto"/>
              <w:right w:val="single" w:sz="6" w:space="0" w:color="auto"/>
            </w:tcBorders>
            <w:shd w:val="clear" w:color="auto" w:fill="auto"/>
          </w:tcPr>
          <w:p w:rsidR="00013D83" w:rsidRPr="006B3796" w:rsidRDefault="00013D83" w:rsidP="001F3F21">
            <w:pPr>
              <w:pStyle w:val="Tabletext"/>
            </w:pPr>
            <w:r w:rsidRPr="006B3796">
              <w:t>Yes</w:t>
            </w:r>
          </w:p>
        </w:tc>
        <w:tc>
          <w:tcPr>
            <w:tcW w:w="1440" w:type="dxa"/>
            <w:tcBorders>
              <w:top w:val="single" w:sz="2" w:space="0" w:color="auto"/>
              <w:left w:val="single" w:sz="6" w:space="0" w:color="auto"/>
              <w:bottom w:val="single" w:sz="2" w:space="0" w:color="auto"/>
              <w:right w:val="single" w:sz="6" w:space="0" w:color="auto"/>
            </w:tcBorders>
            <w:shd w:val="clear" w:color="auto" w:fill="auto"/>
          </w:tcPr>
          <w:p w:rsidR="00013D83" w:rsidRPr="006B3796" w:rsidRDefault="00013D83" w:rsidP="001F3F21">
            <w:pPr>
              <w:pStyle w:val="Tabletext"/>
            </w:pPr>
            <w:r w:rsidRPr="006B3796">
              <w:t>Yes, except group headings</w:t>
            </w:r>
            <w:r w:rsidRPr="006B3796">
              <w:rPr>
                <w:rStyle w:val="FootnoteReference"/>
              </w:rPr>
              <w:footnoteReference w:id="15"/>
            </w:r>
          </w:p>
        </w:tc>
        <w:tc>
          <w:tcPr>
            <w:tcW w:w="1440" w:type="dxa"/>
            <w:tcBorders>
              <w:top w:val="single" w:sz="2" w:space="0" w:color="auto"/>
              <w:left w:val="single" w:sz="6" w:space="0" w:color="auto"/>
              <w:bottom w:val="single" w:sz="2" w:space="0" w:color="auto"/>
            </w:tcBorders>
            <w:shd w:val="clear" w:color="auto" w:fill="auto"/>
          </w:tcPr>
          <w:p w:rsidR="00013D83" w:rsidRPr="006B3796" w:rsidRDefault="00013D83" w:rsidP="001F3F21">
            <w:pPr>
              <w:pStyle w:val="Tabletext"/>
            </w:pPr>
            <w:r w:rsidRPr="006B3796">
              <w:t>Yes</w:t>
            </w:r>
          </w:p>
        </w:tc>
      </w:tr>
      <w:tr w:rsidR="00013D83" w:rsidRPr="006B3796" w:rsidTr="001F3F21">
        <w:trPr>
          <w:cantSplit/>
        </w:trPr>
        <w:tc>
          <w:tcPr>
            <w:tcW w:w="714" w:type="dxa"/>
            <w:tcBorders>
              <w:top w:val="single" w:sz="2" w:space="0" w:color="auto"/>
              <w:bottom w:val="single" w:sz="2" w:space="0" w:color="auto"/>
              <w:right w:val="single" w:sz="6" w:space="0" w:color="auto"/>
            </w:tcBorders>
            <w:shd w:val="clear" w:color="auto" w:fill="auto"/>
          </w:tcPr>
          <w:p w:rsidR="00013D83" w:rsidRPr="006B3796" w:rsidRDefault="00013D83" w:rsidP="001F3F21">
            <w:pPr>
              <w:pStyle w:val="Tabletext"/>
            </w:pPr>
            <w:r w:rsidRPr="006B3796">
              <w:t>10</w:t>
            </w:r>
          </w:p>
        </w:tc>
        <w:tc>
          <w:tcPr>
            <w:tcW w:w="3121" w:type="dxa"/>
            <w:tcBorders>
              <w:top w:val="single" w:sz="2" w:space="0" w:color="auto"/>
              <w:left w:val="single" w:sz="6" w:space="0" w:color="auto"/>
              <w:bottom w:val="single" w:sz="2" w:space="0" w:color="auto"/>
              <w:right w:val="single" w:sz="6" w:space="0" w:color="auto"/>
            </w:tcBorders>
            <w:shd w:val="clear" w:color="auto" w:fill="auto"/>
          </w:tcPr>
          <w:p w:rsidR="00013D83" w:rsidRPr="006B3796" w:rsidRDefault="00013D83" w:rsidP="001F3F21">
            <w:pPr>
              <w:pStyle w:val="Tabletext"/>
            </w:pPr>
            <w:r w:rsidRPr="006B3796">
              <w:t>Guides form part of the Act</w:t>
            </w:r>
          </w:p>
        </w:tc>
        <w:tc>
          <w:tcPr>
            <w:tcW w:w="1320" w:type="dxa"/>
            <w:tcBorders>
              <w:top w:val="single" w:sz="2" w:space="0" w:color="auto"/>
              <w:left w:val="single" w:sz="6" w:space="0" w:color="auto"/>
              <w:bottom w:val="single" w:sz="2" w:space="0" w:color="auto"/>
              <w:right w:val="single" w:sz="6" w:space="0" w:color="auto"/>
            </w:tcBorders>
            <w:shd w:val="clear" w:color="auto" w:fill="auto"/>
          </w:tcPr>
          <w:p w:rsidR="00013D83" w:rsidRPr="006B3796" w:rsidRDefault="00013D83" w:rsidP="001F3F21">
            <w:pPr>
              <w:pStyle w:val="Tabletext"/>
            </w:pPr>
            <w:r w:rsidRPr="006B3796">
              <w:t>Yes</w:t>
            </w:r>
          </w:p>
        </w:tc>
        <w:tc>
          <w:tcPr>
            <w:tcW w:w="1452" w:type="dxa"/>
            <w:tcBorders>
              <w:top w:val="single" w:sz="2" w:space="0" w:color="auto"/>
              <w:left w:val="single" w:sz="6" w:space="0" w:color="auto"/>
              <w:bottom w:val="single" w:sz="2" w:space="0" w:color="auto"/>
              <w:right w:val="single" w:sz="6" w:space="0" w:color="auto"/>
            </w:tcBorders>
            <w:shd w:val="clear" w:color="auto" w:fill="auto"/>
          </w:tcPr>
          <w:p w:rsidR="00013D83" w:rsidRPr="006B3796" w:rsidRDefault="00013D83" w:rsidP="001F3F21">
            <w:pPr>
              <w:pStyle w:val="Tabletext"/>
            </w:pPr>
            <w:r w:rsidRPr="006B3796">
              <w:t>Yes</w:t>
            </w:r>
          </w:p>
        </w:tc>
        <w:tc>
          <w:tcPr>
            <w:tcW w:w="1428" w:type="dxa"/>
            <w:tcBorders>
              <w:top w:val="single" w:sz="2" w:space="0" w:color="auto"/>
              <w:left w:val="single" w:sz="6" w:space="0" w:color="auto"/>
              <w:bottom w:val="single" w:sz="2" w:space="0" w:color="auto"/>
              <w:right w:val="single" w:sz="6" w:space="0" w:color="auto"/>
            </w:tcBorders>
            <w:shd w:val="clear" w:color="auto" w:fill="auto"/>
          </w:tcPr>
          <w:p w:rsidR="00013D83" w:rsidRPr="006B3796" w:rsidRDefault="00013D83" w:rsidP="001F3F21">
            <w:pPr>
              <w:pStyle w:val="Tabletext"/>
            </w:pPr>
            <w:r w:rsidRPr="006B3796">
              <w:t>Yes</w:t>
            </w:r>
          </w:p>
        </w:tc>
        <w:tc>
          <w:tcPr>
            <w:tcW w:w="1440" w:type="dxa"/>
            <w:tcBorders>
              <w:top w:val="single" w:sz="2" w:space="0" w:color="auto"/>
              <w:left w:val="single" w:sz="6" w:space="0" w:color="auto"/>
              <w:bottom w:val="single" w:sz="2" w:space="0" w:color="auto"/>
              <w:right w:val="single" w:sz="6" w:space="0" w:color="auto"/>
            </w:tcBorders>
            <w:shd w:val="clear" w:color="auto" w:fill="auto"/>
          </w:tcPr>
          <w:p w:rsidR="00013D83" w:rsidRPr="006B3796" w:rsidRDefault="00013D83" w:rsidP="001F3F21">
            <w:pPr>
              <w:pStyle w:val="Tabletext"/>
            </w:pPr>
            <w:r w:rsidRPr="006B3796">
              <w:t>Not applicable</w:t>
            </w:r>
          </w:p>
        </w:tc>
        <w:tc>
          <w:tcPr>
            <w:tcW w:w="1440" w:type="dxa"/>
            <w:tcBorders>
              <w:top w:val="single" w:sz="2" w:space="0" w:color="auto"/>
              <w:left w:val="single" w:sz="6" w:space="0" w:color="auto"/>
              <w:bottom w:val="single" w:sz="2" w:space="0" w:color="auto"/>
              <w:right w:val="single" w:sz="6" w:space="0" w:color="auto"/>
            </w:tcBorders>
            <w:shd w:val="clear" w:color="auto" w:fill="auto"/>
          </w:tcPr>
          <w:p w:rsidR="00013D83" w:rsidRPr="006B3796" w:rsidRDefault="00013D83" w:rsidP="001F3F21">
            <w:pPr>
              <w:pStyle w:val="Tabletext"/>
            </w:pPr>
            <w:r w:rsidRPr="006B3796">
              <w:t>Not applicable</w:t>
            </w:r>
          </w:p>
        </w:tc>
        <w:tc>
          <w:tcPr>
            <w:tcW w:w="1440" w:type="dxa"/>
            <w:tcBorders>
              <w:top w:val="single" w:sz="2" w:space="0" w:color="auto"/>
              <w:left w:val="single" w:sz="6" w:space="0" w:color="auto"/>
              <w:bottom w:val="single" w:sz="2" w:space="0" w:color="auto"/>
            </w:tcBorders>
            <w:shd w:val="clear" w:color="auto" w:fill="auto"/>
          </w:tcPr>
          <w:p w:rsidR="00013D83" w:rsidRPr="006B3796" w:rsidRDefault="00013D83" w:rsidP="001F3F21">
            <w:pPr>
              <w:pStyle w:val="Tabletext"/>
            </w:pPr>
            <w:r w:rsidRPr="006B3796">
              <w:t>Yes</w:t>
            </w:r>
          </w:p>
        </w:tc>
      </w:tr>
      <w:tr w:rsidR="00013D83" w:rsidRPr="006B3796" w:rsidTr="001F3F21">
        <w:trPr>
          <w:cantSplit/>
        </w:trPr>
        <w:tc>
          <w:tcPr>
            <w:tcW w:w="714" w:type="dxa"/>
            <w:tcBorders>
              <w:top w:val="single" w:sz="2" w:space="0" w:color="auto"/>
              <w:bottom w:val="single" w:sz="2" w:space="0" w:color="auto"/>
              <w:right w:val="single" w:sz="6" w:space="0" w:color="auto"/>
            </w:tcBorders>
            <w:shd w:val="clear" w:color="auto" w:fill="auto"/>
          </w:tcPr>
          <w:p w:rsidR="00013D83" w:rsidRPr="006B3796" w:rsidRDefault="00013D83" w:rsidP="001F3F21">
            <w:pPr>
              <w:pStyle w:val="Tabletext"/>
            </w:pPr>
            <w:r w:rsidRPr="006B3796">
              <w:t>11</w:t>
            </w:r>
          </w:p>
        </w:tc>
        <w:tc>
          <w:tcPr>
            <w:tcW w:w="3121" w:type="dxa"/>
            <w:tcBorders>
              <w:top w:val="single" w:sz="2" w:space="0" w:color="auto"/>
              <w:left w:val="single" w:sz="6" w:space="0" w:color="auto"/>
              <w:bottom w:val="single" w:sz="2" w:space="0" w:color="auto"/>
              <w:right w:val="single" w:sz="6" w:space="0" w:color="auto"/>
            </w:tcBorders>
            <w:shd w:val="clear" w:color="auto" w:fill="auto"/>
          </w:tcPr>
          <w:p w:rsidR="00013D83" w:rsidRPr="006B3796" w:rsidRDefault="00013D83" w:rsidP="001F3F21">
            <w:pPr>
              <w:pStyle w:val="Tabletext"/>
            </w:pPr>
            <w:r w:rsidRPr="006B3796">
              <w:t>Explanatory sections form part of the Act</w:t>
            </w:r>
          </w:p>
        </w:tc>
        <w:tc>
          <w:tcPr>
            <w:tcW w:w="1320" w:type="dxa"/>
            <w:tcBorders>
              <w:top w:val="single" w:sz="2" w:space="0" w:color="auto"/>
              <w:left w:val="single" w:sz="6" w:space="0" w:color="auto"/>
              <w:bottom w:val="single" w:sz="2" w:space="0" w:color="auto"/>
              <w:right w:val="single" w:sz="6" w:space="0" w:color="auto"/>
            </w:tcBorders>
            <w:shd w:val="clear" w:color="auto" w:fill="auto"/>
          </w:tcPr>
          <w:p w:rsidR="00013D83" w:rsidRPr="006B3796" w:rsidRDefault="00013D83" w:rsidP="001F3F21">
            <w:pPr>
              <w:pStyle w:val="Tabletext"/>
            </w:pPr>
            <w:r w:rsidRPr="006B3796">
              <w:t>Not applicable</w:t>
            </w:r>
          </w:p>
        </w:tc>
        <w:tc>
          <w:tcPr>
            <w:tcW w:w="1452" w:type="dxa"/>
            <w:tcBorders>
              <w:top w:val="single" w:sz="2" w:space="0" w:color="auto"/>
              <w:left w:val="single" w:sz="6" w:space="0" w:color="auto"/>
              <w:bottom w:val="single" w:sz="2" w:space="0" w:color="auto"/>
              <w:right w:val="single" w:sz="6" w:space="0" w:color="auto"/>
            </w:tcBorders>
            <w:shd w:val="clear" w:color="auto" w:fill="auto"/>
          </w:tcPr>
          <w:p w:rsidR="00013D83" w:rsidRPr="006B3796" w:rsidRDefault="00013D83" w:rsidP="001F3F21">
            <w:pPr>
              <w:pStyle w:val="Tabletext"/>
            </w:pPr>
            <w:r w:rsidRPr="006B3796">
              <w:t>Not applicable</w:t>
            </w:r>
          </w:p>
        </w:tc>
        <w:tc>
          <w:tcPr>
            <w:tcW w:w="1428" w:type="dxa"/>
            <w:tcBorders>
              <w:top w:val="single" w:sz="2" w:space="0" w:color="auto"/>
              <w:left w:val="single" w:sz="6" w:space="0" w:color="auto"/>
              <w:bottom w:val="single" w:sz="2" w:space="0" w:color="auto"/>
              <w:right w:val="single" w:sz="6" w:space="0" w:color="auto"/>
            </w:tcBorders>
            <w:shd w:val="clear" w:color="auto" w:fill="auto"/>
          </w:tcPr>
          <w:p w:rsidR="00013D83" w:rsidRPr="006B3796" w:rsidRDefault="00013D83" w:rsidP="001F3F21">
            <w:pPr>
              <w:pStyle w:val="Tabletext"/>
            </w:pPr>
            <w:r w:rsidRPr="006B3796">
              <w:t>Not applicable</w:t>
            </w:r>
          </w:p>
        </w:tc>
        <w:tc>
          <w:tcPr>
            <w:tcW w:w="1440" w:type="dxa"/>
            <w:tcBorders>
              <w:top w:val="single" w:sz="2" w:space="0" w:color="auto"/>
              <w:left w:val="single" w:sz="6" w:space="0" w:color="auto"/>
              <w:bottom w:val="single" w:sz="2" w:space="0" w:color="auto"/>
              <w:right w:val="single" w:sz="6" w:space="0" w:color="auto"/>
            </w:tcBorders>
            <w:shd w:val="clear" w:color="auto" w:fill="auto"/>
          </w:tcPr>
          <w:p w:rsidR="00013D83" w:rsidRPr="006B3796" w:rsidRDefault="00013D83" w:rsidP="001F3F21">
            <w:pPr>
              <w:pStyle w:val="Tabletext"/>
            </w:pPr>
            <w:r w:rsidRPr="006B3796">
              <w:t>Yes</w:t>
            </w:r>
          </w:p>
        </w:tc>
        <w:tc>
          <w:tcPr>
            <w:tcW w:w="1440" w:type="dxa"/>
            <w:tcBorders>
              <w:top w:val="single" w:sz="2" w:space="0" w:color="auto"/>
              <w:left w:val="single" w:sz="6" w:space="0" w:color="auto"/>
              <w:bottom w:val="single" w:sz="2" w:space="0" w:color="auto"/>
              <w:right w:val="single" w:sz="6" w:space="0" w:color="auto"/>
            </w:tcBorders>
            <w:shd w:val="clear" w:color="auto" w:fill="auto"/>
          </w:tcPr>
          <w:p w:rsidR="00013D83" w:rsidRPr="006B3796" w:rsidRDefault="00013D83" w:rsidP="001F3F21">
            <w:pPr>
              <w:pStyle w:val="Tabletext"/>
            </w:pPr>
            <w:r w:rsidRPr="006B3796">
              <w:t>Not applicable</w:t>
            </w:r>
          </w:p>
        </w:tc>
        <w:tc>
          <w:tcPr>
            <w:tcW w:w="1440" w:type="dxa"/>
            <w:tcBorders>
              <w:top w:val="single" w:sz="2" w:space="0" w:color="auto"/>
              <w:left w:val="single" w:sz="6" w:space="0" w:color="auto"/>
              <w:bottom w:val="single" w:sz="2" w:space="0" w:color="auto"/>
            </w:tcBorders>
            <w:shd w:val="clear" w:color="auto" w:fill="auto"/>
          </w:tcPr>
          <w:p w:rsidR="00013D83" w:rsidRPr="006B3796" w:rsidRDefault="00013D83" w:rsidP="001F3F21">
            <w:pPr>
              <w:pStyle w:val="Tabletext"/>
            </w:pPr>
            <w:r w:rsidRPr="006B3796">
              <w:t>Not applicable</w:t>
            </w:r>
          </w:p>
        </w:tc>
      </w:tr>
      <w:tr w:rsidR="00013D83" w:rsidRPr="006B3796" w:rsidTr="001F3F21">
        <w:trPr>
          <w:cantSplit/>
        </w:trPr>
        <w:tc>
          <w:tcPr>
            <w:tcW w:w="714" w:type="dxa"/>
            <w:tcBorders>
              <w:top w:val="single" w:sz="2" w:space="0" w:color="auto"/>
              <w:bottom w:val="single" w:sz="2" w:space="0" w:color="auto"/>
              <w:right w:val="single" w:sz="6" w:space="0" w:color="auto"/>
            </w:tcBorders>
            <w:shd w:val="clear" w:color="auto" w:fill="auto"/>
          </w:tcPr>
          <w:p w:rsidR="00013D83" w:rsidRPr="006B3796" w:rsidRDefault="00013D83" w:rsidP="001F3F21">
            <w:pPr>
              <w:pStyle w:val="Tabletext"/>
            </w:pPr>
            <w:r w:rsidRPr="006B3796">
              <w:lastRenderedPageBreak/>
              <w:t>12</w:t>
            </w:r>
          </w:p>
        </w:tc>
        <w:tc>
          <w:tcPr>
            <w:tcW w:w="3121" w:type="dxa"/>
            <w:tcBorders>
              <w:top w:val="single" w:sz="2" w:space="0" w:color="auto"/>
              <w:left w:val="single" w:sz="6" w:space="0" w:color="auto"/>
              <w:bottom w:val="single" w:sz="2" w:space="0" w:color="auto"/>
              <w:right w:val="single" w:sz="6" w:space="0" w:color="auto"/>
            </w:tcBorders>
            <w:shd w:val="clear" w:color="auto" w:fill="auto"/>
          </w:tcPr>
          <w:p w:rsidR="00013D83" w:rsidRPr="006B3796" w:rsidRDefault="00013D83" w:rsidP="001F3F21">
            <w:pPr>
              <w:pStyle w:val="Tabletext"/>
            </w:pPr>
            <w:r w:rsidRPr="006B3796">
              <w:t>Notes and examples form part of the Act</w:t>
            </w:r>
          </w:p>
        </w:tc>
        <w:tc>
          <w:tcPr>
            <w:tcW w:w="1320" w:type="dxa"/>
            <w:tcBorders>
              <w:top w:val="single" w:sz="2" w:space="0" w:color="auto"/>
              <w:left w:val="single" w:sz="6" w:space="0" w:color="auto"/>
              <w:bottom w:val="single" w:sz="2" w:space="0" w:color="auto"/>
              <w:right w:val="single" w:sz="6" w:space="0" w:color="auto"/>
            </w:tcBorders>
            <w:shd w:val="clear" w:color="auto" w:fill="auto"/>
          </w:tcPr>
          <w:p w:rsidR="00013D83" w:rsidRPr="006B3796" w:rsidRDefault="00013D83" w:rsidP="001F3F21">
            <w:pPr>
              <w:pStyle w:val="Tabletext"/>
            </w:pPr>
            <w:r w:rsidRPr="006B3796">
              <w:t>Yes</w:t>
            </w:r>
          </w:p>
        </w:tc>
        <w:tc>
          <w:tcPr>
            <w:tcW w:w="1452" w:type="dxa"/>
            <w:tcBorders>
              <w:top w:val="single" w:sz="2" w:space="0" w:color="auto"/>
              <w:left w:val="single" w:sz="6" w:space="0" w:color="auto"/>
              <w:bottom w:val="single" w:sz="2" w:space="0" w:color="auto"/>
              <w:right w:val="single" w:sz="6" w:space="0" w:color="auto"/>
            </w:tcBorders>
            <w:shd w:val="clear" w:color="auto" w:fill="auto"/>
          </w:tcPr>
          <w:p w:rsidR="00013D83" w:rsidRPr="006B3796" w:rsidRDefault="00013D83" w:rsidP="001F3F21">
            <w:pPr>
              <w:pStyle w:val="Tabletext"/>
            </w:pPr>
            <w:r w:rsidRPr="006B3796">
              <w:t>Yes</w:t>
            </w:r>
          </w:p>
        </w:tc>
        <w:tc>
          <w:tcPr>
            <w:tcW w:w="1428" w:type="dxa"/>
            <w:tcBorders>
              <w:top w:val="single" w:sz="2" w:space="0" w:color="auto"/>
              <w:left w:val="single" w:sz="6" w:space="0" w:color="auto"/>
              <w:bottom w:val="single" w:sz="2" w:space="0" w:color="auto"/>
              <w:right w:val="single" w:sz="6" w:space="0" w:color="auto"/>
            </w:tcBorders>
            <w:shd w:val="clear" w:color="auto" w:fill="auto"/>
          </w:tcPr>
          <w:p w:rsidR="00013D83" w:rsidRPr="006B3796" w:rsidRDefault="00013D83" w:rsidP="001F3F21">
            <w:pPr>
              <w:pStyle w:val="Tabletext"/>
            </w:pPr>
            <w:r w:rsidRPr="006B3796">
              <w:t>Yes</w:t>
            </w:r>
          </w:p>
        </w:tc>
        <w:tc>
          <w:tcPr>
            <w:tcW w:w="1440" w:type="dxa"/>
            <w:tcBorders>
              <w:top w:val="single" w:sz="2" w:space="0" w:color="auto"/>
              <w:left w:val="single" w:sz="6" w:space="0" w:color="auto"/>
              <w:bottom w:val="single" w:sz="2" w:space="0" w:color="auto"/>
              <w:right w:val="single" w:sz="6" w:space="0" w:color="auto"/>
            </w:tcBorders>
            <w:shd w:val="clear" w:color="auto" w:fill="auto"/>
          </w:tcPr>
          <w:p w:rsidR="00013D83" w:rsidRPr="006B3796" w:rsidRDefault="00013D83" w:rsidP="001F3F21">
            <w:pPr>
              <w:pStyle w:val="Tabletext"/>
            </w:pPr>
            <w:r w:rsidRPr="006B3796">
              <w:t>Yes</w:t>
            </w:r>
          </w:p>
        </w:tc>
        <w:tc>
          <w:tcPr>
            <w:tcW w:w="1440" w:type="dxa"/>
            <w:tcBorders>
              <w:top w:val="single" w:sz="2" w:space="0" w:color="auto"/>
              <w:left w:val="single" w:sz="6" w:space="0" w:color="auto"/>
              <w:bottom w:val="single" w:sz="2" w:space="0" w:color="auto"/>
              <w:right w:val="single" w:sz="6" w:space="0" w:color="auto"/>
            </w:tcBorders>
            <w:shd w:val="clear" w:color="auto" w:fill="auto"/>
          </w:tcPr>
          <w:p w:rsidR="00013D83" w:rsidRPr="006B3796" w:rsidRDefault="00013D83" w:rsidP="001F3F21">
            <w:pPr>
              <w:pStyle w:val="Tabletext"/>
            </w:pPr>
            <w:r w:rsidRPr="006B3796">
              <w:t>Yes</w:t>
            </w:r>
          </w:p>
        </w:tc>
        <w:tc>
          <w:tcPr>
            <w:tcW w:w="1440" w:type="dxa"/>
            <w:tcBorders>
              <w:top w:val="single" w:sz="2" w:space="0" w:color="auto"/>
              <w:left w:val="single" w:sz="6" w:space="0" w:color="auto"/>
              <w:bottom w:val="single" w:sz="2" w:space="0" w:color="auto"/>
            </w:tcBorders>
            <w:shd w:val="clear" w:color="auto" w:fill="auto"/>
          </w:tcPr>
          <w:p w:rsidR="00013D83" w:rsidRPr="006B3796" w:rsidRDefault="00013D83" w:rsidP="001F3F21">
            <w:pPr>
              <w:pStyle w:val="Tabletext"/>
            </w:pPr>
            <w:r w:rsidRPr="006B3796">
              <w:t>Yes</w:t>
            </w:r>
          </w:p>
        </w:tc>
      </w:tr>
      <w:tr w:rsidR="00013D83" w:rsidRPr="006B3796" w:rsidTr="001F3F21">
        <w:trPr>
          <w:cantSplit/>
        </w:trPr>
        <w:tc>
          <w:tcPr>
            <w:tcW w:w="714" w:type="dxa"/>
            <w:tcBorders>
              <w:top w:val="single" w:sz="2" w:space="0" w:color="auto"/>
              <w:bottom w:val="single" w:sz="2" w:space="0" w:color="auto"/>
              <w:right w:val="single" w:sz="6" w:space="0" w:color="auto"/>
            </w:tcBorders>
            <w:shd w:val="clear" w:color="auto" w:fill="auto"/>
          </w:tcPr>
          <w:p w:rsidR="00013D83" w:rsidRPr="006B3796" w:rsidRDefault="00013D83" w:rsidP="001F3F21">
            <w:pPr>
              <w:pStyle w:val="Tabletext"/>
            </w:pPr>
            <w:r w:rsidRPr="006B3796">
              <w:t>13</w:t>
            </w:r>
          </w:p>
        </w:tc>
        <w:tc>
          <w:tcPr>
            <w:tcW w:w="3121" w:type="dxa"/>
            <w:tcBorders>
              <w:top w:val="single" w:sz="2" w:space="0" w:color="auto"/>
              <w:left w:val="single" w:sz="6" w:space="0" w:color="auto"/>
              <w:bottom w:val="single" w:sz="2" w:space="0" w:color="auto"/>
              <w:right w:val="single" w:sz="6" w:space="0" w:color="auto"/>
            </w:tcBorders>
            <w:shd w:val="clear" w:color="auto" w:fill="auto"/>
          </w:tcPr>
          <w:p w:rsidR="00013D83" w:rsidRPr="006B3796" w:rsidRDefault="00013D83" w:rsidP="001F3F21">
            <w:pPr>
              <w:pStyle w:val="Tabletext"/>
            </w:pPr>
            <w:r w:rsidRPr="006B3796">
              <w:t>Tables of Subdivisions do not form part of the Act</w:t>
            </w:r>
          </w:p>
        </w:tc>
        <w:tc>
          <w:tcPr>
            <w:tcW w:w="1320" w:type="dxa"/>
            <w:tcBorders>
              <w:top w:val="single" w:sz="2" w:space="0" w:color="auto"/>
              <w:left w:val="single" w:sz="6" w:space="0" w:color="auto"/>
              <w:bottom w:val="single" w:sz="2" w:space="0" w:color="auto"/>
              <w:right w:val="single" w:sz="6" w:space="0" w:color="auto"/>
            </w:tcBorders>
            <w:shd w:val="clear" w:color="auto" w:fill="auto"/>
          </w:tcPr>
          <w:p w:rsidR="00013D83" w:rsidRPr="006B3796" w:rsidRDefault="00013D83" w:rsidP="001F3F21">
            <w:pPr>
              <w:pStyle w:val="Tabletext"/>
            </w:pPr>
            <w:r w:rsidRPr="006B3796">
              <w:t>Yes</w:t>
            </w:r>
          </w:p>
        </w:tc>
        <w:tc>
          <w:tcPr>
            <w:tcW w:w="1452" w:type="dxa"/>
            <w:tcBorders>
              <w:top w:val="single" w:sz="2" w:space="0" w:color="auto"/>
              <w:left w:val="single" w:sz="6" w:space="0" w:color="auto"/>
              <w:bottom w:val="single" w:sz="2" w:space="0" w:color="auto"/>
              <w:right w:val="single" w:sz="6" w:space="0" w:color="auto"/>
            </w:tcBorders>
            <w:shd w:val="clear" w:color="auto" w:fill="auto"/>
          </w:tcPr>
          <w:p w:rsidR="00013D83" w:rsidRPr="006B3796" w:rsidRDefault="00013D83" w:rsidP="001F3F21">
            <w:pPr>
              <w:pStyle w:val="Tabletext"/>
            </w:pPr>
            <w:r w:rsidRPr="006B3796">
              <w:t>Yes</w:t>
            </w:r>
          </w:p>
        </w:tc>
        <w:tc>
          <w:tcPr>
            <w:tcW w:w="1428" w:type="dxa"/>
            <w:tcBorders>
              <w:top w:val="single" w:sz="2" w:space="0" w:color="auto"/>
              <w:left w:val="single" w:sz="6" w:space="0" w:color="auto"/>
              <w:bottom w:val="single" w:sz="2" w:space="0" w:color="auto"/>
              <w:right w:val="single" w:sz="6" w:space="0" w:color="auto"/>
            </w:tcBorders>
            <w:shd w:val="clear" w:color="auto" w:fill="auto"/>
          </w:tcPr>
          <w:p w:rsidR="00013D83" w:rsidRPr="006B3796" w:rsidRDefault="00013D83" w:rsidP="001F3F21">
            <w:pPr>
              <w:pStyle w:val="Tabletext"/>
            </w:pPr>
            <w:r w:rsidRPr="006B3796">
              <w:t>Yes</w:t>
            </w:r>
          </w:p>
        </w:tc>
        <w:tc>
          <w:tcPr>
            <w:tcW w:w="1440" w:type="dxa"/>
            <w:tcBorders>
              <w:top w:val="single" w:sz="2" w:space="0" w:color="auto"/>
              <w:left w:val="single" w:sz="6" w:space="0" w:color="auto"/>
              <w:bottom w:val="single" w:sz="2" w:space="0" w:color="auto"/>
              <w:right w:val="single" w:sz="6" w:space="0" w:color="auto"/>
            </w:tcBorders>
            <w:shd w:val="clear" w:color="auto" w:fill="auto"/>
          </w:tcPr>
          <w:p w:rsidR="00013D83" w:rsidRPr="006B3796" w:rsidRDefault="00013D83" w:rsidP="001F3F21">
            <w:pPr>
              <w:pStyle w:val="Tabletext"/>
            </w:pPr>
            <w:r w:rsidRPr="006B3796">
              <w:t>Yes</w:t>
            </w:r>
          </w:p>
        </w:tc>
        <w:tc>
          <w:tcPr>
            <w:tcW w:w="1440" w:type="dxa"/>
            <w:tcBorders>
              <w:top w:val="single" w:sz="2" w:space="0" w:color="auto"/>
              <w:left w:val="single" w:sz="6" w:space="0" w:color="auto"/>
              <w:bottom w:val="single" w:sz="2" w:space="0" w:color="auto"/>
              <w:right w:val="single" w:sz="6" w:space="0" w:color="auto"/>
            </w:tcBorders>
            <w:shd w:val="clear" w:color="auto" w:fill="auto"/>
          </w:tcPr>
          <w:p w:rsidR="00013D83" w:rsidRPr="006B3796" w:rsidRDefault="00013D83" w:rsidP="001F3F21">
            <w:pPr>
              <w:pStyle w:val="Tabletext"/>
            </w:pPr>
            <w:r w:rsidRPr="006B3796">
              <w:t>Not applicable</w:t>
            </w:r>
          </w:p>
        </w:tc>
        <w:tc>
          <w:tcPr>
            <w:tcW w:w="1440" w:type="dxa"/>
            <w:tcBorders>
              <w:top w:val="single" w:sz="2" w:space="0" w:color="auto"/>
              <w:left w:val="single" w:sz="6" w:space="0" w:color="auto"/>
              <w:bottom w:val="single" w:sz="2" w:space="0" w:color="auto"/>
            </w:tcBorders>
            <w:shd w:val="clear" w:color="auto" w:fill="auto"/>
          </w:tcPr>
          <w:p w:rsidR="00013D83" w:rsidRPr="006B3796" w:rsidRDefault="00013D83" w:rsidP="001F3F21">
            <w:pPr>
              <w:pStyle w:val="Tabletext"/>
            </w:pPr>
            <w:r w:rsidRPr="006B3796">
              <w:t>Yes</w:t>
            </w:r>
          </w:p>
        </w:tc>
      </w:tr>
      <w:tr w:rsidR="00013D83" w:rsidRPr="006B3796" w:rsidTr="001F3F21">
        <w:trPr>
          <w:cantSplit/>
        </w:trPr>
        <w:tc>
          <w:tcPr>
            <w:tcW w:w="714" w:type="dxa"/>
            <w:tcBorders>
              <w:top w:val="single" w:sz="2" w:space="0" w:color="auto"/>
              <w:bottom w:val="single" w:sz="12" w:space="0" w:color="auto"/>
              <w:right w:val="single" w:sz="6" w:space="0" w:color="auto"/>
            </w:tcBorders>
            <w:shd w:val="clear" w:color="auto" w:fill="auto"/>
          </w:tcPr>
          <w:p w:rsidR="00013D83" w:rsidRPr="006B3796" w:rsidRDefault="00013D83" w:rsidP="001F3F21">
            <w:pPr>
              <w:pStyle w:val="Tabletext"/>
            </w:pPr>
            <w:r w:rsidRPr="006B3796">
              <w:t>14</w:t>
            </w:r>
          </w:p>
        </w:tc>
        <w:tc>
          <w:tcPr>
            <w:tcW w:w="3121" w:type="dxa"/>
            <w:tcBorders>
              <w:top w:val="single" w:sz="2" w:space="0" w:color="auto"/>
              <w:left w:val="single" w:sz="6" w:space="0" w:color="auto"/>
              <w:bottom w:val="single" w:sz="12" w:space="0" w:color="auto"/>
              <w:right w:val="single" w:sz="6" w:space="0" w:color="auto"/>
            </w:tcBorders>
            <w:shd w:val="clear" w:color="auto" w:fill="auto"/>
          </w:tcPr>
          <w:p w:rsidR="00013D83" w:rsidRPr="006B3796" w:rsidRDefault="00013D83" w:rsidP="001F3F21">
            <w:pPr>
              <w:pStyle w:val="Tabletext"/>
            </w:pPr>
            <w:r w:rsidRPr="006B3796">
              <w:t>Tables of sections do not form part of the Act</w:t>
            </w:r>
          </w:p>
        </w:tc>
        <w:tc>
          <w:tcPr>
            <w:tcW w:w="1320" w:type="dxa"/>
            <w:tcBorders>
              <w:top w:val="single" w:sz="2" w:space="0" w:color="auto"/>
              <w:left w:val="single" w:sz="6" w:space="0" w:color="auto"/>
              <w:bottom w:val="single" w:sz="12" w:space="0" w:color="auto"/>
              <w:right w:val="single" w:sz="6" w:space="0" w:color="auto"/>
            </w:tcBorders>
            <w:shd w:val="clear" w:color="auto" w:fill="auto"/>
          </w:tcPr>
          <w:p w:rsidR="00013D83" w:rsidRPr="006B3796" w:rsidRDefault="00013D83" w:rsidP="001F3F21">
            <w:pPr>
              <w:pStyle w:val="Tabletext"/>
            </w:pPr>
            <w:r w:rsidRPr="006B3796">
              <w:t>Yes</w:t>
            </w:r>
          </w:p>
        </w:tc>
        <w:tc>
          <w:tcPr>
            <w:tcW w:w="1452" w:type="dxa"/>
            <w:tcBorders>
              <w:top w:val="single" w:sz="2" w:space="0" w:color="auto"/>
              <w:left w:val="single" w:sz="6" w:space="0" w:color="auto"/>
              <w:bottom w:val="single" w:sz="12" w:space="0" w:color="auto"/>
              <w:right w:val="single" w:sz="6" w:space="0" w:color="auto"/>
            </w:tcBorders>
            <w:shd w:val="clear" w:color="auto" w:fill="auto"/>
          </w:tcPr>
          <w:p w:rsidR="00013D83" w:rsidRPr="006B3796" w:rsidRDefault="00013D83" w:rsidP="001F3F21">
            <w:pPr>
              <w:pStyle w:val="Tabletext"/>
            </w:pPr>
            <w:r w:rsidRPr="006B3796">
              <w:t>Yes</w:t>
            </w:r>
          </w:p>
        </w:tc>
        <w:tc>
          <w:tcPr>
            <w:tcW w:w="1428" w:type="dxa"/>
            <w:tcBorders>
              <w:top w:val="single" w:sz="2" w:space="0" w:color="auto"/>
              <w:left w:val="single" w:sz="6" w:space="0" w:color="auto"/>
              <w:bottom w:val="single" w:sz="12" w:space="0" w:color="auto"/>
              <w:right w:val="single" w:sz="6" w:space="0" w:color="auto"/>
            </w:tcBorders>
            <w:shd w:val="clear" w:color="auto" w:fill="auto"/>
          </w:tcPr>
          <w:p w:rsidR="00013D83" w:rsidRPr="006B3796" w:rsidRDefault="00013D83" w:rsidP="001F3F21">
            <w:pPr>
              <w:pStyle w:val="Tabletext"/>
            </w:pPr>
            <w:r w:rsidRPr="006B3796">
              <w:t>Yes</w:t>
            </w:r>
          </w:p>
        </w:tc>
        <w:tc>
          <w:tcPr>
            <w:tcW w:w="1440" w:type="dxa"/>
            <w:tcBorders>
              <w:top w:val="single" w:sz="2" w:space="0" w:color="auto"/>
              <w:left w:val="single" w:sz="6" w:space="0" w:color="auto"/>
              <w:bottom w:val="single" w:sz="12" w:space="0" w:color="auto"/>
              <w:right w:val="single" w:sz="6" w:space="0" w:color="auto"/>
            </w:tcBorders>
            <w:shd w:val="clear" w:color="auto" w:fill="auto"/>
          </w:tcPr>
          <w:p w:rsidR="00013D83" w:rsidRPr="006B3796" w:rsidRDefault="00013D83" w:rsidP="001F3F21">
            <w:pPr>
              <w:pStyle w:val="Tabletext"/>
            </w:pPr>
            <w:r w:rsidRPr="006B3796">
              <w:t>Not applicable</w:t>
            </w:r>
          </w:p>
        </w:tc>
        <w:tc>
          <w:tcPr>
            <w:tcW w:w="1440" w:type="dxa"/>
            <w:tcBorders>
              <w:top w:val="single" w:sz="2" w:space="0" w:color="auto"/>
              <w:left w:val="single" w:sz="6" w:space="0" w:color="auto"/>
              <w:bottom w:val="single" w:sz="12" w:space="0" w:color="auto"/>
              <w:right w:val="single" w:sz="6" w:space="0" w:color="auto"/>
            </w:tcBorders>
            <w:shd w:val="clear" w:color="auto" w:fill="auto"/>
          </w:tcPr>
          <w:p w:rsidR="00013D83" w:rsidRPr="006B3796" w:rsidRDefault="00013D83" w:rsidP="001F3F21">
            <w:pPr>
              <w:pStyle w:val="Tabletext"/>
            </w:pPr>
            <w:r w:rsidRPr="006B3796">
              <w:t>Not applicable</w:t>
            </w:r>
          </w:p>
        </w:tc>
        <w:tc>
          <w:tcPr>
            <w:tcW w:w="1440" w:type="dxa"/>
            <w:tcBorders>
              <w:top w:val="single" w:sz="2" w:space="0" w:color="auto"/>
              <w:left w:val="single" w:sz="6" w:space="0" w:color="auto"/>
              <w:bottom w:val="single" w:sz="12" w:space="0" w:color="auto"/>
            </w:tcBorders>
            <w:shd w:val="clear" w:color="auto" w:fill="auto"/>
          </w:tcPr>
          <w:p w:rsidR="00013D83" w:rsidRPr="006B3796" w:rsidRDefault="00013D83" w:rsidP="001F3F21">
            <w:pPr>
              <w:pStyle w:val="Tabletext"/>
            </w:pPr>
            <w:r w:rsidRPr="006B3796">
              <w:t>Yes</w:t>
            </w:r>
          </w:p>
        </w:tc>
      </w:tr>
    </w:tbl>
    <w:p w:rsidR="00013D83" w:rsidRPr="006B3796" w:rsidRDefault="00013D83" w:rsidP="00013D83"/>
    <w:sectPr w:rsidR="00013D83" w:rsidRPr="006B3796" w:rsidSect="00FB42DD">
      <w:pgSz w:w="16839" w:h="11907" w:orient="landscape"/>
      <w:pgMar w:top="1440" w:right="1559"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125C" w:rsidRDefault="0042125C" w:rsidP="00A34568">
      <w:pPr>
        <w:spacing w:line="240" w:lineRule="auto"/>
      </w:pPr>
      <w:r>
        <w:separator/>
      </w:r>
    </w:p>
  </w:endnote>
  <w:endnote w:type="continuationSeparator" w:id="0">
    <w:p w:rsidR="0042125C" w:rsidRDefault="0042125C" w:rsidP="00A345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125C" w:rsidRDefault="00B25411" w:rsidP="00A076E2">
    <w:pPr>
      <w:pStyle w:val="Footer"/>
      <w:tabs>
        <w:tab w:val="right" w:pos="8789"/>
      </w:tabs>
    </w:pPr>
    <w:r w:rsidRPr="00B25411">
      <w:rPr>
        <w:b/>
        <w:noProof/>
        <w:sz w:val="20"/>
        <w:lang w:val="en-US"/>
      </w:rPr>
      <mc:AlternateContent>
        <mc:Choice Requires="wps">
          <w:drawing>
            <wp:anchor distT="0" distB="0" distL="114300" distR="114300" simplePos="0" relativeHeight="251681792" behindDoc="1" locked="1" layoutInCell="1" allowOverlap="1">
              <wp:simplePos x="0" y="0"/>
              <wp:positionH relativeFrom="page">
                <wp:align>center</wp:align>
              </wp:positionH>
              <wp:positionV relativeFrom="paragraph">
                <wp:posOffset>0</wp:posOffset>
              </wp:positionV>
              <wp:extent cx="5773003" cy="395785"/>
              <wp:effectExtent l="0" t="0" r="0" b="4445"/>
              <wp:wrapNone/>
              <wp:docPr id="11" name="Text Box 11" descr="Sec-Footereven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B25411" w:rsidRPr="00324EB0" w:rsidRDefault="00B25411" w:rsidP="00271A4F">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2860B3">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860B3">
                            <w:rPr>
                              <w:rFonts w:ascii="Arial" w:hAnsi="Arial" w:cs="Arial"/>
                              <w:b/>
                              <w:sz w:val="40"/>
                            </w:rPr>
                            <w:instrText>OFFICIAL</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860B3">
                            <w:rPr>
                              <w:rFonts w:ascii="Arial" w:hAnsi="Arial" w:cs="Arial"/>
                              <w:b/>
                              <w:sz w:val="40"/>
                            </w:rPr>
                            <w:instrText>OFFICIAL</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2860B3">
                            <w:rPr>
                              <w:rFonts w:ascii="Arial" w:hAnsi="Arial" w:cs="Arial"/>
                              <w:b/>
                              <w:noProof/>
                              <w:sz w:val="40"/>
                            </w:rPr>
                            <w:instrText>OFFICIAL</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5D38BF">
                            <w:rPr>
                              <w:rFonts w:ascii="Arial" w:hAnsi="Arial" w:cs="Arial"/>
                              <w:b/>
                              <w:noProof/>
                              <w:sz w:val="40"/>
                            </w:rPr>
                            <w:t>OFFICIAL</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1" o:spid="_x0000_s1028" type="#_x0000_t202" alt="Sec-Footerevenpage" style="position:absolute;margin-left:0;margin-top:0;width:454.55pt;height:31.15pt;z-index:-251634688;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" stroked="f" strokeweight=".5pt">
              <v:textbox>
                <w:txbxContent>
                  <w:p w:rsidR="00B25411" w:rsidRPr="00324EB0" w:rsidRDefault="00B25411" w:rsidP="00271A4F">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2860B3">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860B3">
                      <w:rPr>
                        <w:rFonts w:ascii="Arial" w:hAnsi="Arial" w:cs="Arial"/>
                        <w:b/>
                        <w:sz w:val="40"/>
                      </w:rPr>
                      <w:instrText>OFFICIAL</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860B3">
                      <w:rPr>
                        <w:rFonts w:ascii="Arial" w:hAnsi="Arial" w:cs="Arial"/>
                        <w:b/>
                        <w:sz w:val="40"/>
                      </w:rPr>
                      <w:instrText>OFFICIAL</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2860B3">
                      <w:rPr>
                        <w:rFonts w:ascii="Arial" w:hAnsi="Arial" w:cs="Arial"/>
                        <w:b/>
                        <w:noProof/>
                        <w:sz w:val="40"/>
                      </w:rPr>
                      <w:instrText>OFFICIAL</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5D38BF">
                      <w:rPr>
                        <w:rFonts w:ascii="Arial" w:hAnsi="Arial" w:cs="Arial"/>
                        <w:b/>
                        <w:noProof/>
                        <w:sz w:val="40"/>
                      </w:rPr>
                      <w:t>OFFICIAL</w:t>
                    </w:r>
                    <w:r>
                      <w:rPr>
                        <w:rFonts w:ascii="Arial" w:hAnsi="Arial" w:cs="Arial"/>
                        <w:b/>
                        <w:sz w:val="40"/>
                      </w:rPr>
                      <w:fldChar w:fldCharType="end"/>
                    </w:r>
                  </w:p>
                </w:txbxContent>
              </v:textbox>
              <w10:wrap anchorx="page"/>
              <w10:anchorlock/>
            </v:shape>
          </w:pict>
        </mc:Fallback>
      </mc:AlternateContent>
    </w:r>
    <w:r w:rsidR="0042125C">
      <w:rPr>
        <w:sz w:val="20"/>
      </w:rPr>
      <w:t xml:space="preserve">Page </w:t>
    </w:r>
    <w:r w:rsidR="0042125C">
      <w:rPr>
        <w:rStyle w:val="PageNumber"/>
        <w:sz w:val="20"/>
      </w:rPr>
      <w:fldChar w:fldCharType="begin"/>
    </w:r>
    <w:r w:rsidR="0042125C">
      <w:rPr>
        <w:rStyle w:val="PageNumber"/>
        <w:sz w:val="20"/>
      </w:rPr>
      <w:instrText xml:space="preserve"> PAGE </w:instrText>
    </w:r>
    <w:r w:rsidR="0042125C">
      <w:rPr>
        <w:rStyle w:val="PageNumber"/>
        <w:sz w:val="20"/>
      </w:rPr>
      <w:fldChar w:fldCharType="separate"/>
    </w:r>
    <w:r w:rsidR="008F32F9">
      <w:rPr>
        <w:rStyle w:val="PageNumber"/>
        <w:noProof/>
        <w:sz w:val="20"/>
      </w:rPr>
      <w:t>38</w:t>
    </w:r>
    <w:r w:rsidR="0042125C">
      <w:rPr>
        <w:rStyle w:val="PageNumber"/>
        <w:sz w:val="20"/>
      </w:rPr>
      <w:fldChar w:fldCharType="end"/>
    </w:r>
    <w:r w:rsidR="0042125C">
      <w:rPr>
        <w:sz w:val="16"/>
      </w:rPr>
      <w:t xml:space="preserve"> </w:t>
    </w:r>
    <w:r w:rsidR="0042125C">
      <w:rPr>
        <w:sz w:val="16"/>
      </w:rPr>
      <w:tab/>
      <w:t>[</w:t>
    </w:r>
    <w:r w:rsidR="00A3086B">
      <w:rPr>
        <w:noProof/>
        <w:sz w:val="16"/>
      </w:rPr>
      <w:t>S06PF334.V08.DOCX</w:t>
    </w:r>
    <w:r w:rsidR="0042125C">
      <w:rPr>
        <w:sz w:val="16"/>
      </w:rPr>
      <w:t>] [</w:t>
    </w:r>
    <w:r w:rsidR="00A3086B">
      <w:rPr>
        <w:noProof/>
        <w:sz w:val="16"/>
      </w:rPr>
      <w:t>4 Sep 2023</w:t>
    </w:r>
    <w:r w:rsidR="0042125C">
      <w:rPr>
        <w:sz w:val="16"/>
      </w:rPr>
      <w:t>] [</w:t>
    </w:r>
    <w:r w:rsidR="00A3086B">
      <w:rPr>
        <w:noProof/>
        <w:sz w:val="16"/>
      </w:rPr>
      <w:t>3:29 PM</w:t>
    </w:r>
    <w:r w:rsidR="0042125C">
      <w:rPr>
        <w:sz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125C" w:rsidRDefault="00B25411" w:rsidP="00A076E2">
    <w:pPr>
      <w:tabs>
        <w:tab w:val="right" w:pos="8931"/>
      </w:tabs>
      <w:rPr>
        <w:sz w:val="16"/>
      </w:rPr>
    </w:pPr>
    <w:r w:rsidRPr="00B25411">
      <w:rPr>
        <w:b/>
        <w:noProof/>
        <w:sz w:val="16"/>
        <w:lang w:val="en-US"/>
      </w:rPr>
      <mc:AlternateContent>
        <mc:Choice Requires="wps">
          <w:drawing>
            <wp:anchor distT="0" distB="0" distL="114300" distR="114300" simplePos="0" relativeHeight="251677696" behindDoc="1" locked="1" layoutInCell="1" allowOverlap="1">
              <wp:simplePos x="0" y="0"/>
              <wp:positionH relativeFrom="page">
                <wp:align>center</wp:align>
              </wp:positionH>
              <wp:positionV relativeFrom="paragraph">
                <wp:posOffset>0</wp:posOffset>
              </wp:positionV>
              <wp:extent cx="5773003" cy="395785"/>
              <wp:effectExtent l="0" t="0" r="0" b="4445"/>
              <wp:wrapNone/>
              <wp:docPr id="9" name="Text Box 9" descr="Sec-Foot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B25411" w:rsidRPr="00324EB0" w:rsidRDefault="00B25411" w:rsidP="00271A4F">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2860B3">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860B3">
                            <w:rPr>
                              <w:rFonts w:ascii="Arial" w:hAnsi="Arial" w:cs="Arial"/>
                              <w:b/>
                              <w:sz w:val="40"/>
                            </w:rPr>
                            <w:instrText>OFFICIAL</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860B3">
                            <w:rPr>
                              <w:rFonts w:ascii="Arial" w:hAnsi="Arial" w:cs="Arial"/>
                              <w:b/>
                              <w:sz w:val="40"/>
                            </w:rPr>
                            <w:instrText>OFFICIAL</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2860B3">
                            <w:rPr>
                              <w:rFonts w:ascii="Arial" w:hAnsi="Arial" w:cs="Arial"/>
                              <w:b/>
                              <w:noProof/>
                              <w:sz w:val="40"/>
                            </w:rPr>
                            <w:instrText>OFFICIAL</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5D38BF">
                            <w:rPr>
                              <w:rFonts w:ascii="Arial" w:hAnsi="Arial" w:cs="Arial"/>
                              <w:b/>
                              <w:noProof/>
                              <w:sz w:val="40"/>
                            </w:rPr>
                            <w:t>OFFICIAL</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9" o:spid="_x0000_s1029" type="#_x0000_t202" alt="Sec-Footerprimary" style="position:absolute;margin-left:0;margin-top:0;width:454.55pt;height:31.15pt;z-index:-251638784;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" stroked="f" strokeweight=".5pt">
              <v:textbox>
                <w:txbxContent>
                  <w:p w:rsidR="00B25411" w:rsidRPr="00324EB0" w:rsidRDefault="00B25411" w:rsidP="00271A4F">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2860B3">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860B3">
                      <w:rPr>
                        <w:rFonts w:ascii="Arial" w:hAnsi="Arial" w:cs="Arial"/>
                        <w:b/>
                        <w:sz w:val="40"/>
                      </w:rPr>
                      <w:instrText>OFFICIAL</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860B3">
                      <w:rPr>
                        <w:rFonts w:ascii="Arial" w:hAnsi="Arial" w:cs="Arial"/>
                        <w:b/>
                        <w:sz w:val="40"/>
                      </w:rPr>
                      <w:instrText>OFFICIAL</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2860B3">
                      <w:rPr>
                        <w:rFonts w:ascii="Arial" w:hAnsi="Arial" w:cs="Arial"/>
                        <w:b/>
                        <w:noProof/>
                        <w:sz w:val="40"/>
                      </w:rPr>
                      <w:instrText>OFFICIAL</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5D38BF">
                      <w:rPr>
                        <w:rFonts w:ascii="Arial" w:hAnsi="Arial" w:cs="Arial"/>
                        <w:b/>
                        <w:noProof/>
                        <w:sz w:val="40"/>
                      </w:rPr>
                      <w:t>OFFICIAL</w:t>
                    </w:r>
                    <w:r>
                      <w:rPr>
                        <w:rFonts w:ascii="Arial" w:hAnsi="Arial" w:cs="Arial"/>
                        <w:b/>
                        <w:sz w:val="40"/>
                      </w:rPr>
                      <w:fldChar w:fldCharType="end"/>
                    </w:r>
                  </w:p>
                </w:txbxContent>
              </v:textbox>
              <w10:wrap anchorx="page"/>
              <w10:anchorlock/>
            </v:shape>
          </w:pict>
        </mc:Fallback>
      </mc:AlternateContent>
    </w:r>
    <w:r w:rsidR="0042125C">
      <w:rPr>
        <w:sz w:val="16"/>
      </w:rPr>
      <w:t>[</w:t>
    </w:r>
    <w:r w:rsidR="00A3086B">
      <w:rPr>
        <w:noProof/>
        <w:sz w:val="16"/>
      </w:rPr>
      <w:t>S06PF334.V08.DOCX</w:t>
    </w:r>
    <w:r w:rsidR="0042125C">
      <w:rPr>
        <w:sz w:val="16"/>
      </w:rPr>
      <w:t>] [</w:t>
    </w:r>
    <w:r w:rsidR="00A3086B">
      <w:rPr>
        <w:noProof/>
        <w:sz w:val="16"/>
      </w:rPr>
      <w:t>4 Sep 2023</w:t>
    </w:r>
    <w:r w:rsidR="0042125C">
      <w:rPr>
        <w:sz w:val="16"/>
      </w:rPr>
      <w:t>] [</w:t>
    </w:r>
    <w:r w:rsidR="00A3086B">
      <w:rPr>
        <w:noProof/>
        <w:sz w:val="16"/>
      </w:rPr>
      <w:t>3:29 PM</w:t>
    </w:r>
    <w:r w:rsidR="0042125C">
      <w:rPr>
        <w:sz w:val="16"/>
      </w:rPr>
      <w:t>]</w:t>
    </w:r>
    <w:r w:rsidR="0042125C">
      <w:rPr>
        <w:sz w:val="16"/>
      </w:rPr>
      <w:tab/>
    </w:r>
    <w:r w:rsidR="0042125C">
      <w:rPr>
        <w:sz w:val="20"/>
      </w:rPr>
      <w:t xml:space="preserve">Page </w:t>
    </w:r>
    <w:r w:rsidR="0042125C">
      <w:rPr>
        <w:rStyle w:val="PageNumber"/>
        <w:sz w:val="20"/>
      </w:rPr>
      <w:fldChar w:fldCharType="begin"/>
    </w:r>
    <w:r w:rsidR="0042125C">
      <w:rPr>
        <w:rStyle w:val="PageNumber"/>
        <w:sz w:val="20"/>
      </w:rPr>
      <w:instrText xml:space="preserve"> PAGE </w:instrText>
    </w:r>
    <w:r w:rsidR="0042125C">
      <w:rPr>
        <w:rStyle w:val="PageNumber"/>
        <w:sz w:val="20"/>
      </w:rPr>
      <w:fldChar w:fldCharType="separate"/>
    </w:r>
    <w:r w:rsidR="008F32F9">
      <w:rPr>
        <w:rStyle w:val="PageNumber"/>
        <w:noProof/>
        <w:sz w:val="20"/>
      </w:rPr>
      <w:t>37</w:t>
    </w:r>
    <w:r w:rsidR="0042125C">
      <w:rPr>
        <w:rStyle w:val="PageNumber"/>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125C" w:rsidRDefault="00B25411" w:rsidP="00A076E2">
    <w:pPr>
      <w:tabs>
        <w:tab w:val="right" w:pos="8931"/>
      </w:tabs>
    </w:pPr>
    <w:r w:rsidRPr="00B25411">
      <w:rPr>
        <w:b/>
        <w:noProof/>
        <w:sz w:val="16"/>
        <w:lang w:val="en-US"/>
      </w:rPr>
      <mc:AlternateContent>
        <mc:Choice Requires="wps">
          <w:drawing>
            <wp:anchor distT="0" distB="0" distL="114300" distR="114300" simplePos="0" relativeHeight="251673600" behindDoc="1" locked="1" layoutInCell="1" allowOverlap="1">
              <wp:simplePos x="0" y="0"/>
              <wp:positionH relativeFrom="page">
                <wp:align>center</wp:align>
              </wp:positionH>
              <wp:positionV relativeFrom="paragraph">
                <wp:posOffset>0</wp:posOffset>
              </wp:positionV>
              <wp:extent cx="5773003" cy="395785"/>
              <wp:effectExtent l="0" t="0" r="0" b="4445"/>
              <wp:wrapNone/>
              <wp:docPr id="7" name="Text Box 7" descr="Sec-Footerfirst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B25411" w:rsidRPr="00324EB0" w:rsidRDefault="00B25411" w:rsidP="00271A4F">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2860B3">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860B3">
                            <w:rPr>
                              <w:rFonts w:ascii="Arial" w:hAnsi="Arial" w:cs="Arial"/>
                              <w:b/>
                              <w:sz w:val="40"/>
                            </w:rPr>
                            <w:instrText>OFFICIAL</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860B3">
                            <w:rPr>
                              <w:rFonts w:ascii="Arial" w:hAnsi="Arial" w:cs="Arial"/>
                              <w:b/>
                              <w:sz w:val="40"/>
                            </w:rPr>
                            <w:instrText>OFFICIAL</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2860B3">
                            <w:rPr>
                              <w:rFonts w:ascii="Arial" w:hAnsi="Arial" w:cs="Arial"/>
                              <w:b/>
                              <w:noProof/>
                              <w:sz w:val="40"/>
                            </w:rPr>
                            <w:instrText>OFFICIAL</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2860B3">
                            <w:rPr>
                              <w:rFonts w:ascii="Arial" w:hAnsi="Arial" w:cs="Arial"/>
                              <w:b/>
                              <w:noProof/>
                              <w:sz w:val="40"/>
                            </w:rPr>
                            <w:t>OFFICIAL</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7" o:spid="_x0000_s1031" type="#_x0000_t202" alt="Sec-Footerfirstpage" style="position:absolute;margin-left:0;margin-top:0;width:454.55pt;height:31.15pt;z-index:-251642880;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" stroked="f" strokeweight=".5pt">
              <v:textbox>
                <w:txbxContent>
                  <w:p w:rsidR="00B25411" w:rsidRPr="00324EB0" w:rsidRDefault="00B25411" w:rsidP="00271A4F">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2860B3">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860B3">
                      <w:rPr>
                        <w:rFonts w:ascii="Arial" w:hAnsi="Arial" w:cs="Arial"/>
                        <w:b/>
                        <w:sz w:val="40"/>
                      </w:rPr>
                      <w:instrText>OFFICIAL</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860B3">
                      <w:rPr>
                        <w:rFonts w:ascii="Arial" w:hAnsi="Arial" w:cs="Arial"/>
                        <w:b/>
                        <w:sz w:val="40"/>
                      </w:rPr>
                      <w:instrText>OFFICIAL</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2860B3">
                      <w:rPr>
                        <w:rFonts w:ascii="Arial" w:hAnsi="Arial" w:cs="Arial"/>
                        <w:b/>
                        <w:noProof/>
                        <w:sz w:val="40"/>
                      </w:rPr>
                      <w:instrText>OFFICIAL</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2860B3">
                      <w:rPr>
                        <w:rFonts w:ascii="Arial" w:hAnsi="Arial" w:cs="Arial"/>
                        <w:b/>
                        <w:noProof/>
                        <w:sz w:val="40"/>
                      </w:rPr>
                      <w:t>OFFICIAL</w:t>
                    </w:r>
                    <w:r>
                      <w:rPr>
                        <w:rFonts w:ascii="Arial" w:hAnsi="Arial" w:cs="Arial"/>
                        <w:b/>
                        <w:sz w:val="40"/>
                      </w:rPr>
                      <w:fldChar w:fldCharType="end"/>
                    </w:r>
                  </w:p>
                </w:txbxContent>
              </v:textbox>
              <w10:wrap anchorx="page"/>
              <w10:anchorlock/>
            </v:shape>
          </w:pict>
        </mc:Fallback>
      </mc:AlternateContent>
    </w:r>
    <w:r w:rsidR="0042125C">
      <w:rPr>
        <w:sz w:val="16"/>
      </w:rPr>
      <w:t>[</w:t>
    </w:r>
    <w:r w:rsidR="00A3086B">
      <w:rPr>
        <w:noProof/>
        <w:sz w:val="16"/>
      </w:rPr>
      <w:t>S06PF334.V08.DOCX</w:t>
    </w:r>
    <w:r w:rsidR="0042125C">
      <w:rPr>
        <w:sz w:val="16"/>
      </w:rPr>
      <w:t>] [</w:t>
    </w:r>
    <w:r w:rsidR="00A3086B">
      <w:rPr>
        <w:noProof/>
        <w:sz w:val="16"/>
      </w:rPr>
      <w:t>4 Sep 2023</w:t>
    </w:r>
    <w:r w:rsidR="0042125C">
      <w:rPr>
        <w:sz w:val="16"/>
      </w:rPr>
      <w:t>] [</w:t>
    </w:r>
    <w:r w:rsidR="00A3086B">
      <w:rPr>
        <w:noProof/>
        <w:sz w:val="16"/>
      </w:rPr>
      <w:t>3:2</w:t>
    </w:r>
    <w:bookmarkStart w:id="39" w:name="_GoBack"/>
    <w:bookmarkEnd w:id="39"/>
    <w:r w:rsidR="00A3086B">
      <w:rPr>
        <w:noProof/>
        <w:sz w:val="16"/>
      </w:rPr>
      <w:t>9 PM</w:t>
    </w:r>
    <w:r w:rsidR="0042125C">
      <w:rPr>
        <w:sz w:val="16"/>
      </w:rPr>
      <w:t>]</w:t>
    </w:r>
    <w:r w:rsidR="0042125C">
      <w:tab/>
    </w:r>
    <w:r w:rsidR="0042125C">
      <w:rPr>
        <w:sz w:val="20"/>
      </w:rPr>
      <w:t xml:space="preserve">Page </w:t>
    </w:r>
    <w:r w:rsidR="0042125C">
      <w:rPr>
        <w:rStyle w:val="PageNumber"/>
        <w:sz w:val="20"/>
      </w:rPr>
      <w:fldChar w:fldCharType="begin"/>
    </w:r>
    <w:r w:rsidR="0042125C">
      <w:rPr>
        <w:rStyle w:val="PageNumber"/>
        <w:sz w:val="20"/>
      </w:rPr>
      <w:instrText xml:space="preserve"> PAGE </w:instrText>
    </w:r>
    <w:r w:rsidR="0042125C">
      <w:rPr>
        <w:rStyle w:val="PageNumber"/>
        <w:sz w:val="20"/>
      </w:rPr>
      <w:fldChar w:fldCharType="separate"/>
    </w:r>
    <w:r w:rsidR="008F32F9">
      <w:rPr>
        <w:rStyle w:val="PageNumber"/>
        <w:noProof/>
        <w:sz w:val="20"/>
      </w:rPr>
      <w:t>36</w:t>
    </w:r>
    <w:r w:rsidR="0042125C">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125C" w:rsidRDefault="0042125C" w:rsidP="00A34568">
      <w:pPr>
        <w:spacing w:line="240" w:lineRule="auto"/>
      </w:pPr>
      <w:r>
        <w:separator/>
      </w:r>
    </w:p>
  </w:footnote>
  <w:footnote w:type="continuationSeparator" w:id="0">
    <w:p w:rsidR="0042125C" w:rsidRDefault="0042125C" w:rsidP="00A34568">
      <w:pPr>
        <w:spacing w:line="240" w:lineRule="auto"/>
      </w:pPr>
      <w:r>
        <w:continuationSeparator/>
      </w:r>
    </w:p>
  </w:footnote>
  <w:footnote w:id="1">
    <w:p w:rsidR="0042125C" w:rsidRDefault="0042125C" w:rsidP="00013D83">
      <w:pPr>
        <w:pStyle w:val="FootnoteText"/>
        <w:rPr>
          <w:i/>
        </w:rPr>
      </w:pPr>
      <w:r>
        <w:rPr>
          <w:rStyle w:val="FootnoteReference"/>
        </w:rPr>
        <w:footnoteRef/>
      </w:r>
      <w:r>
        <w:t xml:space="preserve"> </w:t>
      </w:r>
      <w:r>
        <w:rPr>
          <w:i/>
        </w:rPr>
        <w:t>Income Tax Assessment Act 1997</w:t>
      </w:r>
    </w:p>
  </w:footnote>
  <w:footnote w:id="2">
    <w:p w:rsidR="0042125C" w:rsidRDefault="0042125C" w:rsidP="00013D83">
      <w:pPr>
        <w:pStyle w:val="FootnoteText"/>
      </w:pPr>
      <w:r>
        <w:rPr>
          <w:rStyle w:val="FootnoteReference"/>
        </w:rPr>
        <w:footnoteRef/>
      </w:r>
      <w:r>
        <w:t xml:space="preserve"> Schedule 1 to the </w:t>
      </w:r>
      <w:r>
        <w:rPr>
          <w:i/>
        </w:rPr>
        <w:t>Taxation Administration Act 1953</w:t>
      </w:r>
    </w:p>
  </w:footnote>
  <w:footnote w:id="3">
    <w:p w:rsidR="0042125C" w:rsidRDefault="0042125C" w:rsidP="00013D83">
      <w:pPr>
        <w:pStyle w:val="FootnoteText"/>
        <w:rPr>
          <w:i/>
        </w:rPr>
      </w:pPr>
      <w:r>
        <w:rPr>
          <w:rStyle w:val="FootnoteReference"/>
        </w:rPr>
        <w:footnoteRef/>
      </w:r>
      <w:r>
        <w:t xml:space="preserve"> </w:t>
      </w:r>
      <w:r>
        <w:rPr>
          <w:i/>
        </w:rPr>
        <w:t>Income Tax (Transitional Provisions) Act 1997</w:t>
      </w:r>
    </w:p>
  </w:footnote>
  <w:footnote w:id="4">
    <w:p w:rsidR="0042125C" w:rsidRDefault="0042125C" w:rsidP="00013D83">
      <w:pPr>
        <w:pStyle w:val="FootnoteText"/>
        <w:rPr>
          <w:i/>
        </w:rPr>
      </w:pPr>
      <w:r>
        <w:rPr>
          <w:rStyle w:val="FootnoteReference"/>
        </w:rPr>
        <w:footnoteRef/>
      </w:r>
      <w:r>
        <w:t xml:space="preserve"> </w:t>
      </w:r>
      <w:r>
        <w:rPr>
          <w:i/>
        </w:rPr>
        <w:t>A New Tax System (Goods and Services Tax) Act 1999</w:t>
      </w:r>
      <w:r>
        <w:t xml:space="preserve">, </w:t>
      </w:r>
      <w:r>
        <w:rPr>
          <w:i/>
        </w:rPr>
        <w:t>A New Tax System (Luxury Car Tax) Act 1999</w:t>
      </w:r>
      <w:r>
        <w:t xml:space="preserve"> and </w:t>
      </w:r>
      <w:r>
        <w:rPr>
          <w:i/>
        </w:rPr>
        <w:t>A New Tax System (Wine Equalisation Tax) Act 1999</w:t>
      </w:r>
    </w:p>
  </w:footnote>
  <w:footnote w:id="5">
    <w:p w:rsidR="0042125C" w:rsidRDefault="0042125C" w:rsidP="00013D83">
      <w:pPr>
        <w:pStyle w:val="FootnoteText"/>
        <w:rPr>
          <w:i/>
        </w:rPr>
      </w:pPr>
      <w:r>
        <w:rPr>
          <w:rStyle w:val="FootnoteReference"/>
        </w:rPr>
        <w:footnoteRef/>
      </w:r>
      <w:r>
        <w:t xml:space="preserve"> </w:t>
      </w:r>
      <w:r>
        <w:rPr>
          <w:i/>
        </w:rPr>
        <w:t>A New Tax System (Australian Business Number) Act 1999</w:t>
      </w:r>
    </w:p>
  </w:footnote>
  <w:footnote w:id="6">
    <w:p w:rsidR="0042125C" w:rsidRDefault="0042125C" w:rsidP="00013D83">
      <w:pPr>
        <w:pStyle w:val="FootnoteText"/>
        <w:rPr>
          <w:i/>
        </w:rPr>
      </w:pPr>
      <w:r>
        <w:rPr>
          <w:rStyle w:val="FootnoteReference"/>
        </w:rPr>
        <w:footnoteRef/>
      </w:r>
      <w:r>
        <w:t xml:space="preserve"> </w:t>
      </w:r>
      <w:r>
        <w:rPr>
          <w:i/>
        </w:rPr>
        <w:t>Venture Capital Act 2002</w:t>
      </w:r>
    </w:p>
  </w:footnote>
  <w:footnote w:id="7">
    <w:p w:rsidR="0042125C" w:rsidRDefault="0042125C" w:rsidP="00013D83">
      <w:pPr>
        <w:pStyle w:val="FootnoteText"/>
      </w:pPr>
      <w:r>
        <w:rPr>
          <w:rStyle w:val="FootnoteReference"/>
        </w:rPr>
        <w:footnoteRef/>
      </w:r>
      <w:r>
        <w:t xml:space="preserve"> The Act does not currently contain any Subdivisions, but if any were inserted, a Table of Subdivisions would be required.</w:t>
      </w:r>
    </w:p>
  </w:footnote>
  <w:footnote w:id="8">
    <w:p w:rsidR="0042125C" w:rsidRDefault="0042125C" w:rsidP="00013D83">
      <w:pPr>
        <w:pStyle w:val="FootnoteText"/>
      </w:pPr>
      <w:r>
        <w:rPr>
          <w:rStyle w:val="FootnoteReference"/>
        </w:rPr>
        <w:footnoteRef/>
      </w:r>
      <w:r>
        <w:t xml:space="preserve"> There is such a heading in Division 320 of the Act, but it should not be regarded as a precedent.</w:t>
      </w:r>
    </w:p>
  </w:footnote>
  <w:footnote w:id="9">
    <w:p w:rsidR="0042125C" w:rsidRDefault="0042125C" w:rsidP="00013D83">
      <w:pPr>
        <w:pStyle w:val="FootnoteText"/>
      </w:pPr>
      <w:r>
        <w:rPr>
          <w:rStyle w:val="FootnoteReference"/>
        </w:rPr>
        <w:footnoteRef/>
      </w:r>
      <w:r>
        <w:t xml:space="preserve"> See section 3AA of the </w:t>
      </w:r>
      <w:r>
        <w:rPr>
          <w:i/>
        </w:rPr>
        <w:t>Taxation Administration Act 1953</w:t>
      </w:r>
      <w:r>
        <w:t>. Terms not used in Schedule 1 are defined in section 2 of the Act.</w:t>
      </w:r>
    </w:p>
  </w:footnote>
  <w:footnote w:id="10">
    <w:p w:rsidR="0042125C" w:rsidRDefault="0042125C" w:rsidP="00013D83">
      <w:pPr>
        <w:pStyle w:val="FootnoteText"/>
      </w:pPr>
      <w:r>
        <w:rPr>
          <w:rStyle w:val="FootnoteReference"/>
        </w:rPr>
        <w:footnoteRef/>
      </w:r>
      <w:r>
        <w:t xml:space="preserve"> See section 1</w:t>
      </w:r>
      <w:r>
        <w:noBreakHyphen/>
        <w:t xml:space="preserve">10 of the Act. </w:t>
      </w:r>
    </w:p>
  </w:footnote>
  <w:footnote w:id="11">
    <w:p w:rsidR="0042125C" w:rsidRDefault="0042125C" w:rsidP="00013D83">
      <w:pPr>
        <w:pStyle w:val="FootnoteText"/>
      </w:pPr>
      <w:r>
        <w:rPr>
          <w:rStyle w:val="FootnoteReference"/>
        </w:rPr>
        <w:footnoteRef/>
      </w:r>
      <w:r>
        <w:t xml:space="preserve"> The intention is that the definitions in the indirect tax Acts will ultimately form part of a single Dictionary for the entire Tax Code. If you are asked to give a term already defined in ITAA 97 a different meaning in the indirect tax Acts, you should raise the issue with th</w:t>
      </w:r>
      <w:r w:rsidR="007A74C5">
        <w:t>e Law</w:t>
      </w:r>
      <w:r>
        <w:t xml:space="preserve"> Division at the Treasury.</w:t>
      </w:r>
    </w:p>
  </w:footnote>
  <w:footnote w:id="12">
    <w:p w:rsidR="0042125C" w:rsidRDefault="0042125C" w:rsidP="00013D83">
      <w:pPr>
        <w:pStyle w:val="FootnoteText"/>
      </w:pPr>
      <w:r>
        <w:rPr>
          <w:rStyle w:val="FootnoteReference"/>
        </w:rPr>
        <w:footnoteRef/>
      </w:r>
      <w:r>
        <w:t xml:space="preserve"> The Act maintains consistency with the ITAA97 and the indirect tax Acts by replicating definitions in those Acts. There are, however, some differences in the meaning in some of key terms (see, for example, the definition of </w:t>
      </w:r>
      <w:r>
        <w:rPr>
          <w:b/>
          <w:i/>
        </w:rPr>
        <w:t>entity</w:t>
      </w:r>
      <w:r>
        <w:t xml:space="preserve">, which is the same as the definition in the indirect tax Acts, but differs from that in ITAA 97. See also the definition of </w:t>
      </w:r>
      <w:r>
        <w:rPr>
          <w:b/>
          <w:i/>
        </w:rPr>
        <w:t>enterprise</w:t>
      </w:r>
      <w:r>
        <w:t>, which differs from that in the indirect tax Acts.) You should maintain consistency between the definitions in this Act and those in the other Tax Code Acts. Where you cannot give the same term the same meaning, consider using a different term.</w:t>
      </w:r>
    </w:p>
  </w:footnote>
  <w:footnote w:id="13">
    <w:p w:rsidR="0042125C" w:rsidRDefault="0042125C" w:rsidP="00013D83">
      <w:pPr>
        <w:pStyle w:val="FootnoteText"/>
      </w:pPr>
      <w:r>
        <w:rPr>
          <w:rStyle w:val="FootnoteReference"/>
        </w:rPr>
        <w:footnoteRef/>
      </w:r>
      <w:r>
        <w:t xml:space="preserve"> The Act relies on the definitions in ITAA 97 (see section 1-10 of the Act).</w:t>
      </w:r>
    </w:p>
  </w:footnote>
  <w:footnote w:id="14">
    <w:p w:rsidR="0042125C" w:rsidRDefault="0042125C" w:rsidP="00013D83">
      <w:pPr>
        <w:pStyle w:val="FootnoteText"/>
      </w:pPr>
      <w:r>
        <w:rPr>
          <w:rStyle w:val="FootnoteReference"/>
        </w:rPr>
        <w:footnoteRef/>
      </w:r>
      <w:r>
        <w:t xml:space="preserve"> Yes, but in line with the TLIP rules on the use of “you”, not actually used in the Act. </w:t>
      </w:r>
    </w:p>
  </w:footnote>
  <w:footnote w:id="15">
    <w:p w:rsidR="0042125C" w:rsidRDefault="0042125C" w:rsidP="00013D83">
      <w:pPr>
        <w:pStyle w:val="FootnoteText"/>
      </w:pPr>
      <w:r>
        <w:rPr>
          <w:rStyle w:val="FootnoteReference"/>
        </w:rPr>
        <w:footnoteRef/>
      </w:r>
      <w:r>
        <w:t xml:space="preserve"> Because there are none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125C" w:rsidRDefault="00B25411" w:rsidP="00A076E2">
    <w:pPr>
      <w:pStyle w:val="Header"/>
    </w:pPr>
    <w:r w:rsidRPr="00B25411">
      <w:rPr>
        <w:rStyle w:val="PageNumber"/>
        <w:b/>
        <w:noProof/>
        <w:lang w:val="en-US"/>
      </w:rPr>
      <mc:AlternateContent>
        <mc:Choice Requires="wps">
          <w:drawing>
            <wp:anchor distT="0" distB="0" distL="114300" distR="114300" simplePos="0" relativeHeight="251679744" behindDoc="1" locked="1" layoutInCell="1" allowOverlap="1">
              <wp:simplePos x="0" y="0"/>
              <wp:positionH relativeFrom="page">
                <wp:align>center</wp:align>
              </wp:positionH>
              <wp:positionV relativeFrom="paragraph">
                <wp:posOffset>-317500</wp:posOffset>
              </wp:positionV>
              <wp:extent cx="5773003" cy="395785"/>
              <wp:effectExtent l="0" t="0" r="0" b="4445"/>
              <wp:wrapNone/>
              <wp:docPr id="10" name="Text Box 10" descr="Sec-Headereven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B25411" w:rsidRPr="00324EB0" w:rsidRDefault="00B25411" w:rsidP="00271A4F">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2860B3">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860B3">
                            <w:rPr>
                              <w:rFonts w:ascii="Arial" w:hAnsi="Arial" w:cs="Arial"/>
                              <w:b/>
                              <w:sz w:val="40"/>
                            </w:rPr>
                            <w:instrText>OFFICIAL</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860B3">
                            <w:rPr>
                              <w:rFonts w:ascii="Arial" w:hAnsi="Arial" w:cs="Arial"/>
                              <w:b/>
                              <w:sz w:val="40"/>
                            </w:rPr>
                            <w:instrText>OFFICIAL</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2860B3">
                            <w:rPr>
                              <w:rFonts w:ascii="Arial" w:hAnsi="Arial" w:cs="Arial"/>
                              <w:b/>
                              <w:noProof/>
                              <w:sz w:val="40"/>
                            </w:rPr>
                            <w:instrText>OFFICIAL</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5D38BF">
                            <w:rPr>
                              <w:rFonts w:ascii="Arial" w:hAnsi="Arial" w:cs="Arial"/>
                              <w:b/>
                              <w:noProof/>
                              <w:sz w:val="40"/>
                            </w:rPr>
                            <w:t>OFFICIAL</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0" o:spid="_x0000_s1026" type="#_x0000_t202" alt="Sec-Headerevenpage" style="position:absolute;margin-left:0;margin-top:-25pt;width:454.55pt;height:31.15pt;z-index:-251636736;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" stroked="f" strokeweight=".5pt">
              <v:textbox>
                <w:txbxContent>
                  <w:p w:rsidR="00B25411" w:rsidRPr="00324EB0" w:rsidRDefault="00B25411" w:rsidP="00271A4F">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2860B3">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860B3">
                      <w:rPr>
                        <w:rFonts w:ascii="Arial" w:hAnsi="Arial" w:cs="Arial"/>
                        <w:b/>
                        <w:sz w:val="40"/>
                      </w:rPr>
                      <w:instrText>OFFICIAL</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860B3">
                      <w:rPr>
                        <w:rFonts w:ascii="Arial" w:hAnsi="Arial" w:cs="Arial"/>
                        <w:b/>
                        <w:sz w:val="40"/>
                      </w:rPr>
                      <w:instrText>OFFICIAL</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2860B3">
                      <w:rPr>
                        <w:rFonts w:ascii="Arial" w:hAnsi="Arial" w:cs="Arial"/>
                        <w:b/>
                        <w:noProof/>
                        <w:sz w:val="40"/>
                      </w:rPr>
                      <w:instrText>OFFICIAL</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5D38BF">
                      <w:rPr>
                        <w:rFonts w:ascii="Arial" w:hAnsi="Arial" w:cs="Arial"/>
                        <w:b/>
                        <w:noProof/>
                        <w:sz w:val="40"/>
                      </w:rPr>
                      <w:t>OFFICIAL</w:t>
                    </w:r>
                    <w:r>
                      <w:rPr>
                        <w:rFonts w:ascii="Arial" w:hAnsi="Arial" w:cs="Arial"/>
                        <w:b/>
                        <w:sz w:val="40"/>
                      </w:rPr>
                      <w:fldChar w:fldCharType="end"/>
                    </w:r>
                  </w:p>
                </w:txbxContent>
              </v:textbox>
              <w10:wrap anchorx="page"/>
              <w10:anchorlock/>
            </v:shape>
          </w:pict>
        </mc:Fallback>
      </mc:AlternateContent>
    </w:r>
    <w:r w:rsidR="0042125C">
      <w:rPr>
        <w:rStyle w:val="PageNumber"/>
      </w:rPr>
      <w:fldChar w:fldCharType="begin"/>
    </w:r>
    <w:r w:rsidR="0042125C">
      <w:rPr>
        <w:rStyle w:val="PageNumber"/>
      </w:rPr>
      <w:instrText xml:space="preserve"> STYLEREF "Head 1" </w:instrText>
    </w:r>
    <w:r w:rsidR="0042125C">
      <w:rPr>
        <w:rStyle w:val="PageNumber"/>
      </w:rPr>
      <w:fldChar w:fldCharType="separate"/>
    </w:r>
    <w:r w:rsidR="005D38BF">
      <w:rPr>
        <w:rStyle w:val="PageNumber"/>
        <w:noProof/>
      </w:rPr>
      <w:t>Drafting Direction No. 1.8</w:t>
    </w:r>
    <w:r w:rsidR="005D38BF">
      <w:rPr>
        <w:rStyle w:val="PageNumber"/>
        <w:noProof/>
      </w:rPr>
      <w:br/>
      <w:t>Special rules for Tax Code drafting</w:t>
    </w:r>
    <w:r w:rsidR="0042125C">
      <w:rPr>
        <w:rStyle w:val="PageNumber"/>
      </w:rPr>
      <w:fldChar w:fldCharType="end"/>
    </w:r>
  </w:p>
  <w:p w:rsidR="0042125C" w:rsidRDefault="0042125C" w:rsidP="00A076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125C" w:rsidRDefault="00B25411" w:rsidP="00A076E2">
    <w:pPr>
      <w:pStyle w:val="Header"/>
      <w:jc w:val="right"/>
    </w:pPr>
    <w:r w:rsidRPr="00B25411">
      <w:rPr>
        <w:rStyle w:val="PageNumber"/>
        <w:b/>
        <w:noProof/>
        <w:lang w:val="en-US"/>
      </w:rPr>
      <mc:AlternateContent>
        <mc:Choice Requires="wps">
          <w:drawing>
            <wp:anchor distT="0" distB="0" distL="114300" distR="114300" simplePos="0" relativeHeight="251675648" behindDoc="1" locked="1" layoutInCell="1" allowOverlap="1">
              <wp:simplePos x="0" y="0"/>
              <wp:positionH relativeFrom="page">
                <wp:align>center</wp:align>
              </wp:positionH>
              <wp:positionV relativeFrom="paragraph">
                <wp:posOffset>-317500</wp:posOffset>
              </wp:positionV>
              <wp:extent cx="5773003" cy="395785"/>
              <wp:effectExtent l="0" t="0" r="0" b="4445"/>
              <wp:wrapNone/>
              <wp:docPr id="8" name="Text Box 8" descr="Sec-Head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B25411" w:rsidRPr="00324EB0" w:rsidRDefault="00B25411" w:rsidP="00271A4F">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2860B3">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860B3">
                            <w:rPr>
                              <w:rFonts w:ascii="Arial" w:hAnsi="Arial" w:cs="Arial"/>
                              <w:b/>
                              <w:sz w:val="40"/>
                            </w:rPr>
                            <w:instrText>OFFICIAL</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860B3">
                            <w:rPr>
                              <w:rFonts w:ascii="Arial" w:hAnsi="Arial" w:cs="Arial"/>
                              <w:b/>
                              <w:sz w:val="40"/>
                            </w:rPr>
                            <w:instrText>OFFICIAL</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2860B3">
                            <w:rPr>
                              <w:rFonts w:ascii="Arial" w:hAnsi="Arial" w:cs="Arial"/>
                              <w:b/>
                              <w:noProof/>
                              <w:sz w:val="40"/>
                            </w:rPr>
                            <w:instrText>OFFICIAL</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5D38BF">
                            <w:rPr>
                              <w:rFonts w:ascii="Arial" w:hAnsi="Arial" w:cs="Arial"/>
                              <w:b/>
                              <w:noProof/>
                              <w:sz w:val="40"/>
                            </w:rPr>
                            <w:t>OFFICIAL</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8" o:spid="_x0000_s1027" type="#_x0000_t202" alt="Sec-Headerprimary" style="position:absolute;left:0;text-align:left;margin-left:0;margin-top:-25pt;width:454.55pt;height:31.15pt;z-index:-251640832;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" stroked="f" strokeweight=".5pt">
              <v:textbox>
                <w:txbxContent>
                  <w:p w:rsidR="00B25411" w:rsidRPr="00324EB0" w:rsidRDefault="00B25411" w:rsidP="00271A4F">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2860B3">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860B3">
                      <w:rPr>
                        <w:rFonts w:ascii="Arial" w:hAnsi="Arial" w:cs="Arial"/>
                        <w:b/>
                        <w:sz w:val="40"/>
                      </w:rPr>
                      <w:instrText>OFFICIAL</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860B3">
                      <w:rPr>
                        <w:rFonts w:ascii="Arial" w:hAnsi="Arial" w:cs="Arial"/>
                        <w:b/>
                        <w:sz w:val="40"/>
                      </w:rPr>
                      <w:instrText>OFFICIAL</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2860B3">
                      <w:rPr>
                        <w:rFonts w:ascii="Arial" w:hAnsi="Arial" w:cs="Arial"/>
                        <w:b/>
                        <w:noProof/>
                        <w:sz w:val="40"/>
                      </w:rPr>
                      <w:instrText>OFFICIAL</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5D38BF">
                      <w:rPr>
                        <w:rFonts w:ascii="Arial" w:hAnsi="Arial" w:cs="Arial"/>
                        <w:b/>
                        <w:noProof/>
                        <w:sz w:val="40"/>
                      </w:rPr>
                      <w:t>OFFICIAL</w:t>
                    </w:r>
                    <w:r>
                      <w:rPr>
                        <w:rFonts w:ascii="Arial" w:hAnsi="Arial" w:cs="Arial"/>
                        <w:b/>
                        <w:sz w:val="40"/>
                      </w:rPr>
                      <w:fldChar w:fldCharType="end"/>
                    </w:r>
                  </w:p>
                </w:txbxContent>
              </v:textbox>
              <w10:wrap anchorx="page"/>
              <w10:anchorlock/>
            </v:shape>
          </w:pict>
        </mc:Fallback>
      </mc:AlternateContent>
    </w:r>
    <w:r w:rsidR="0042125C">
      <w:rPr>
        <w:rStyle w:val="PageNumber"/>
      </w:rPr>
      <w:fldChar w:fldCharType="begin"/>
    </w:r>
    <w:r w:rsidR="0042125C">
      <w:rPr>
        <w:rStyle w:val="PageNumber"/>
      </w:rPr>
      <w:instrText xml:space="preserve"> STYLEREF "Head 1" </w:instrText>
    </w:r>
    <w:r w:rsidR="0042125C">
      <w:rPr>
        <w:rStyle w:val="PageNumber"/>
      </w:rPr>
      <w:fldChar w:fldCharType="separate"/>
    </w:r>
    <w:r w:rsidR="005D38BF">
      <w:rPr>
        <w:rStyle w:val="PageNumber"/>
        <w:noProof/>
      </w:rPr>
      <w:t>Drafting Direction No. 1.8</w:t>
    </w:r>
    <w:r w:rsidR="005D38BF">
      <w:rPr>
        <w:rStyle w:val="PageNumber"/>
        <w:noProof/>
      </w:rPr>
      <w:br/>
      <w:t>Special rules for Tax Code drafting</w:t>
    </w:r>
    <w:r w:rsidR="0042125C">
      <w:rPr>
        <w:rStyle w:val="PageNumber"/>
      </w:rPr>
      <w:fldChar w:fldCharType="end"/>
    </w:r>
  </w:p>
  <w:p w:rsidR="0042125C" w:rsidRDefault="0042125C" w:rsidP="00A076E2">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125C" w:rsidRDefault="00B25411" w:rsidP="00A076E2">
    <w:pPr>
      <w:pStyle w:val="Header"/>
      <w:jc w:val="right"/>
      <w:rPr>
        <w:rStyle w:val="PageNumber"/>
      </w:rPr>
    </w:pPr>
    <w:r w:rsidRPr="00B25411">
      <w:rPr>
        <w:rStyle w:val="PageNumber"/>
        <w:b/>
        <w:noProof/>
        <w:lang w:val="en-US"/>
      </w:rPr>
      <mc:AlternateContent>
        <mc:Choice Requires="wps">
          <w:drawing>
            <wp:anchor distT="0" distB="0" distL="114300" distR="114300" simplePos="0" relativeHeight="251671552" behindDoc="1" locked="1" layoutInCell="1" allowOverlap="1">
              <wp:simplePos x="0" y="0"/>
              <wp:positionH relativeFrom="page">
                <wp:align>center</wp:align>
              </wp:positionH>
              <wp:positionV relativeFrom="paragraph">
                <wp:posOffset>-317500</wp:posOffset>
              </wp:positionV>
              <wp:extent cx="5773003" cy="395785"/>
              <wp:effectExtent l="0" t="0" r="0" b="4445"/>
              <wp:wrapNone/>
              <wp:docPr id="6" name="Text Box 6" descr="Sec-Headerfirst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B25411" w:rsidRPr="00324EB0" w:rsidRDefault="00B25411" w:rsidP="00271A4F">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2860B3">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860B3">
                            <w:rPr>
                              <w:rFonts w:ascii="Arial" w:hAnsi="Arial" w:cs="Arial"/>
                              <w:b/>
                              <w:sz w:val="40"/>
                            </w:rPr>
                            <w:instrText>OFFICIAL</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860B3">
                            <w:rPr>
                              <w:rFonts w:ascii="Arial" w:hAnsi="Arial" w:cs="Arial"/>
                              <w:b/>
                              <w:sz w:val="40"/>
                            </w:rPr>
                            <w:instrText>OFFICIAL</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2860B3">
                            <w:rPr>
                              <w:rFonts w:ascii="Arial" w:hAnsi="Arial" w:cs="Arial"/>
                              <w:b/>
                              <w:noProof/>
                              <w:sz w:val="40"/>
                            </w:rPr>
                            <w:instrText>OFFICIAL</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5D38BF">
                            <w:rPr>
                              <w:rFonts w:ascii="Arial" w:hAnsi="Arial" w:cs="Arial"/>
                              <w:b/>
                              <w:noProof/>
                              <w:sz w:val="40"/>
                            </w:rPr>
                            <w:t>OFFICIAL</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6" o:spid="_x0000_s1030" type="#_x0000_t202" alt="Sec-Headerfirstpage" style="position:absolute;left:0;text-align:left;margin-left:0;margin-top:-25pt;width:454.55pt;height:31.15pt;z-index:-251644928;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" stroked="f" strokeweight=".5pt">
              <v:textbox>
                <w:txbxContent>
                  <w:p w:rsidR="00B25411" w:rsidRPr="00324EB0" w:rsidRDefault="00B25411" w:rsidP="00271A4F">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2860B3">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860B3">
                      <w:rPr>
                        <w:rFonts w:ascii="Arial" w:hAnsi="Arial" w:cs="Arial"/>
                        <w:b/>
                        <w:sz w:val="40"/>
                      </w:rPr>
                      <w:instrText>OFFICIAL</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860B3">
                      <w:rPr>
                        <w:rFonts w:ascii="Arial" w:hAnsi="Arial" w:cs="Arial"/>
                        <w:b/>
                        <w:sz w:val="40"/>
                      </w:rPr>
                      <w:instrText>OFFICIAL</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2860B3">
                      <w:rPr>
                        <w:rFonts w:ascii="Arial" w:hAnsi="Arial" w:cs="Arial"/>
                        <w:b/>
                        <w:noProof/>
                        <w:sz w:val="40"/>
                      </w:rPr>
                      <w:instrText>OFFICIAL</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5D38BF">
                      <w:rPr>
                        <w:rFonts w:ascii="Arial" w:hAnsi="Arial" w:cs="Arial"/>
                        <w:b/>
                        <w:noProof/>
                        <w:sz w:val="40"/>
                      </w:rPr>
                      <w:t>OFFICIAL</w:t>
                    </w:r>
                    <w:r>
                      <w:rPr>
                        <w:rFonts w:ascii="Arial" w:hAnsi="Arial" w:cs="Arial"/>
                        <w:b/>
                        <w:sz w:val="40"/>
                      </w:rPr>
                      <w:fldChar w:fldCharType="end"/>
                    </w:r>
                  </w:p>
                </w:txbxContent>
              </v:textbox>
              <w10:wrap anchorx="page"/>
              <w10:anchorlock/>
            </v:shape>
          </w:pict>
        </mc:Fallback>
      </mc:AlternateContent>
    </w:r>
    <w:r w:rsidR="0042125C">
      <w:rPr>
        <w:rStyle w:val="PageNumber"/>
      </w:rPr>
      <w:fldChar w:fldCharType="begin"/>
    </w:r>
    <w:r w:rsidR="0042125C">
      <w:rPr>
        <w:rStyle w:val="PageNumber"/>
      </w:rPr>
      <w:instrText xml:space="preserve"> STYLEREF "Head 1" </w:instrText>
    </w:r>
    <w:r w:rsidR="0042125C">
      <w:rPr>
        <w:rStyle w:val="PageNumber"/>
      </w:rPr>
      <w:fldChar w:fldCharType="separate"/>
    </w:r>
    <w:r w:rsidR="005D38BF">
      <w:rPr>
        <w:rStyle w:val="PageNumber"/>
        <w:noProof/>
      </w:rPr>
      <w:t>Drafting Direction No. 1.8</w:t>
    </w:r>
    <w:r w:rsidR="005D38BF">
      <w:rPr>
        <w:rStyle w:val="PageNumber"/>
        <w:noProof/>
      </w:rPr>
      <w:br/>
      <w:t>Special rules for Tax Code drafting</w:t>
    </w:r>
    <w:r w:rsidR="0042125C">
      <w:rPr>
        <w:rStyle w:val="PageNumber"/>
      </w:rPr>
      <w:fldChar w:fldCharType="end"/>
    </w:r>
  </w:p>
  <w:p w:rsidR="0042125C" w:rsidRDefault="0042125C" w:rsidP="00A076E2">
    <w:pPr>
      <w:pStyle w:val="Header"/>
      <w:spacing w:before="240" w:after="600"/>
      <w:jc w:val="center"/>
      <w:rPr>
        <w:b/>
        <w:caps/>
        <w:sz w:val="36"/>
        <w:lang w:val="en-US"/>
      </w:rPr>
    </w:pPr>
    <w:r>
      <w:rPr>
        <w:b/>
        <w:caps/>
        <w:sz w:val="36"/>
        <w:lang w:val="en-US"/>
      </w:rPr>
      <w:t>Parliamentary Counsel</w:t>
    </w:r>
  </w:p>
  <w:p w:rsidR="0042125C" w:rsidRDefault="0042125C" w:rsidP="00A076E2">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46CEF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472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C8851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96A0F1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A266E6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9B68C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2892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1A09C0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7C56E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5C69B6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5E41C2D"/>
    <w:multiLevelType w:val="hybridMultilevel"/>
    <w:tmpl w:val="3CC0ED42"/>
    <w:lvl w:ilvl="0" w:tplc="0C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8F8375A"/>
    <w:multiLevelType w:val="hybridMultilevel"/>
    <w:tmpl w:val="73F2A27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5" w15:restartNumberingAfterBreak="0">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6A952916"/>
    <w:multiLevelType w:val="hybridMultilevel"/>
    <w:tmpl w:val="BD6EDDB0"/>
    <w:lvl w:ilvl="0" w:tplc="0C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num w:numId="1">
    <w:abstractNumId w:val="14"/>
  </w:num>
  <w:num w:numId="2">
    <w:abstractNumId w:val="11"/>
    <w:lvlOverride w:ilvl="0">
      <w:lvl w:ilvl="0">
        <w:start w:val="1"/>
        <w:numFmt w:val="decimal"/>
        <w:pStyle w:val="BodyNum"/>
        <w:lvlText w:val="%1"/>
        <w:lvlJc w:val="left"/>
        <w:pPr>
          <w:tabs>
            <w:tab w:val="num" w:pos="720"/>
          </w:tabs>
          <w:ind w:left="0" w:firstLine="0"/>
        </w:pPr>
        <w:rPr>
          <w:rFonts w:hint="default"/>
          <w:b w:val="0"/>
          <w:i w:val="0"/>
        </w:rPr>
      </w:lvl>
    </w:lvlOverride>
  </w:num>
  <w:num w:numId="3">
    <w:abstractNumId w:val="10"/>
    <w:lvlOverride w:ilvl="0">
      <w:lvl w:ilvl="0">
        <w:start w:val="1"/>
        <w:numFmt w:val="bullet"/>
        <w:lvlText w:val=""/>
        <w:legacy w:legacy="1" w:legacySpace="0" w:legacyIndent="283"/>
        <w:lvlJc w:val="left"/>
        <w:pPr>
          <w:ind w:left="1003" w:hanging="283"/>
        </w:pPr>
        <w:rPr>
          <w:rFonts w:ascii="Symbol" w:hAnsi="Symbol" w:hint="default"/>
        </w:rPr>
      </w:lvl>
    </w:lvlOverride>
  </w:num>
  <w:num w:numId="4">
    <w:abstractNumId w:val="12"/>
  </w:num>
  <w:num w:numId="5">
    <w:abstractNumId w:val="16"/>
  </w:num>
  <w:num w:numId="6">
    <w:abstractNumId w:val="13"/>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5"/>
  </w:num>
  <w:num w:numId="18">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comments" w:enforcement="1"/>
  <w:defaultTabStop w:val="720"/>
  <w:evenAndOddHeaders/>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D83"/>
    <w:rsid w:val="000041B3"/>
    <w:rsid w:val="000136AF"/>
    <w:rsid w:val="00013D83"/>
    <w:rsid w:val="00056743"/>
    <w:rsid w:val="000614BF"/>
    <w:rsid w:val="000C12AB"/>
    <w:rsid w:val="000D05EF"/>
    <w:rsid w:val="000D6C13"/>
    <w:rsid w:val="0010745C"/>
    <w:rsid w:val="00150BDD"/>
    <w:rsid w:val="00153B87"/>
    <w:rsid w:val="00161454"/>
    <w:rsid w:val="00166C2F"/>
    <w:rsid w:val="001939E1"/>
    <w:rsid w:val="00195382"/>
    <w:rsid w:val="001C69C4"/>
    <w:rsid w:val="001E3590"/>
    <w:rsid w:val="001E7407"/>
    <w:rsid w:val="001F3F21"/>
    <w:rsid w:val="00253D1B"/>
    <w:rsid w:val="002860B3"/>
    <w:rsid w:val="00295FBA"/>
    <w:rsid w:val="002970D7"/>
    <w:rsid w:val="00297ECB"/>
    <w:rsid w:val="002C3198"/>
    <w:rsid w:val="002D043A"/>
    <w:rsid w:val="002F2285"/>
    <w:rsid w:val="00313F9F"/>
    <w:rsid w:val="00352B0F"/>
    <w:rsid w:val="00360FB0"/>
    <w:rsid w:val="003773B0"/>
    <w:rsid w:val="003775DC"/>
    <w:rsid w:val="00381882"/>
    <w:rsid w:val="003B5735"/>
    <w:rsid w:val="003D0BFE"/>
    <w:rsid w:val="003D0D05"/>
    <w:rsid w:val="003D5700"/>
    <w:rsid w:val="004116CD"/>
    <w:rsid w:val="00416DD9"/>
    <w:rsid w:val="0042125C"/>
    <w:rsid w:val="00424CA9"/>
    <w:rsid w:val="0044291A"/>
    <w:rsid w:val="004653F8"/>
    <w:rsid w:val="00490983"/>
    <w:rsid w:val="00496F97"/>
    <w:rsid w:val="00513EDA"/>
    <w:rsid w:val="00516B8D"/>
    <w:rsid w:val="00526189"/>
    <w:rsid w:val="005379F7"/>
    <w:rsid w:val="00537FBC"/>
    <w:rsid w:val="00584811"/>
    <w:rsid w:val="00594161"/>
    <w:rsid w:val="00594749"/>
    <w:rsid w:val="005D38BF"/>
    <w:rsid w:val="00600219"/>
    <w:rsid w:val="00603E75"/>
    <w:rsid w:val="00607A1C"/>
    <w:rsid w:val="006207A3"/>
    <w:rsid w:val="006429D9"/>
    <w:rsid w:val="00677CC2"/>
    <w:rsid w:val="00680F77"/>
    <w:rsid w:val="0069207B"/>
    <w:rsid w:val="006920AD"/>
    <w:rsid w:val="006B3796"/>
    <w:rsid w:val="006B4552"/>
    <w:rsid w:val="006C7F8C"/>
    <w:rsid w:val="007276BC"/>
    <w:rsid w:val="00731E00"/>
    <w:rsid w:val="00733990"/>
    <w:rsid w:val="007715C9"/>
    <w:rsid w:val="00774EDD"/>
    <w:rsid w:val="007757EC"/>
    <w:rsid w:val="007A74C5"/>
    <w:rsid w:val="007E4644"/>
    <w:rsid w:val="00844625"/>
    <w:rsid w:val="00856A31"/>
    <w:rsid w:val="008754D0"/>
    <w:rsid w:val="008816A3"/>
    <w:rsid w:val="008E3B8C"/>
    <w:rsid w:val="008F32F9"/>
    <w:rsid w:val="0094622F"/>
    <w:rsid w:val="00A076E2"/>
    <w:rsid w:val="00A231E2"/>
    <w:rsid w:val="00A3086B"/>
    <w:rsid w:val="00A34568"/>
    <w:rsid w:val="00A64912"/>
    <w:rsid w:val="00A70A74"/>
    <w:rsid w:val="00AA4163"/>
    <w:rsid w:val="00AA5F38"/>
    <w:rsid w:val="00AD5641"/>
    <w:rsid w:val="00B1780F"/>
    <w:rsid w:val="00B25411"/>
    <w:rsid w:val="00B33B3C"/>
    <w:rsid w:val="00B37088"/>
    <w:rsid w:val="00B41341"/>
    <w:rsid w:val="00B670E5"/>
    <w:rsid w:val="00BE719A"/>
    <w:rsid w:val="00BE720A"/>
    <w:rsid w:val="00C42BF8"/>
    <w:rsid w:val="00C50043"/>
    <w:rsid w:val="00C61CDD"/>
    <w:rsid w:val="00C7573B"/>
    <w:rsid w:val="00CE2C66"/>
    <w:rsid w:val="00CF0BB2"/>
    <w:rsid w:val="00D13441"/>
    <w:rsid w:val="00D14C88"/>
    <w:rsid w:val="00D70DFB"/>
    <w:rsid w:val="00D766DF"/>
    <w:rsid w:val="00D81D88"/>
    <w:rsid w:val="00DF75AF"/>
    <w:rsid w:val="00E74DC7"/>
    <w:rsid w:val="00E944AB"/>
    <w:rsid w:val="00E970F9"/>
    <w:rsid w:val="00EB4B4D"/>
    <w:rsid w:val="00EF2E3A"/>
    <w:rsid w:val="00F0121B"/>
    <w:rsid w:val="00F04811"/>
    <w:rsid w:val="00F078DC"/>
    <w:rsid w:val="00F23E5F"/>
    <w:rsid w:val="00F51269"/>
    <w:rsid w:val="00F560BE"/>
    <w:rsid w:val="00F87C1F"/>
    <w:rsid w:val="00FA7C6B"/>
    <w:rsid w:val="00FB42D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4720839"/>
  <w15:docId w15:val="{F0AED979-AC31-4247-BDB4-EE1833CBE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5">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2860B3"/>
    <w:pPr>
      <w:spacing w:line="260" w:lineRule="atLeast"/>
    </w:pPr>
    <w:rPr>
      <w:sz w:val="22"/>
    </w:rPr>
  </w:style>
  <w:style w:type="paragraph" w:styleId="Heading1">
    <w:name w:val="heading 1"/>
    <w:next w:val="Heading2"/>
    <w:link w:val="Heading1Char"/>
    <w:qFormat/>
    <w:rsid w:val="00013D83"/>
    <w:pPr>
      <w:keepNext/>
      <w:keepLines/>
      <w:ind w:left="1134" w:hanging="1134"/>
      <w:outlineLvl w:val="0"/>
    </w:pPr>
    <w:rPr>
      <w:rFonts w:eastAsia="Times New Roman" w:cs="Times New Roman"/>
      <w:b/>
      <w:bCs/>
      <w:kern w:val="28"/>
      <w:sz w:val="36"/>
      <w:szCs w:val="32"/>
      <w:lang w:eastAsia="en-AU"/>
    </w:rPr>
  </w:style>
  <w:style w:type="paragraph" w:styleId="Heading2">
    <w:name w:val="heading 2"/>
    <w:basedOn w:val="Heading1"/>
    <w:next w:val="Heading3"/>
    <w:link w:val="Heading2Char"/>
    <w:qFormat/>
    <w:rsid w:val="00013D83"/>
    <w:pPr>
      <w:spacing w:before="280"/>
      <w:outlineLvl w:val="1"/>
    </w:pPr>
    <w:rPr>
      <w:bCs w:val="0"/>
      <w:iCs/>
      <w:sz w:val="32"/>
      <w:szCs w:val="28"/>
    </w:rPr>
  </w:style>
  <w:style w:type="paragraph" w:styleId="Heading3">
    <w:name w:val="heading 3"/>
    <w:basedOn w:val="Heading1"/>
    <w:next w:val="Heading4"/>
    <w:link w:val="Heading3Char"/>
    <w:qFormat/>
    <w:rsid w:val="00013D83"/>
    <w:pPr>
      <w:spacing w:before="240"/>
      <w:outlineLvl w:val="2"/>
    </w:pPr>
    <w:rPr>
      <w:bCs w:val="0"/>
      <w:sz w:val="28"/>
      <w:szCs w:val="26"/>
    </w:rPr>
  </w:style>
  <w:style w:type="paragraph" w:styleId="Heading4">
    <w:name w:val="heading 4"/>
    <w:basedOn w:val="Heading1"/>
    <w:next w:val="Heading5"/>
    <w:link w:val="Heading4Char"/>
    <w:qFormat/>
    <w:rsid w:val="00013D83"/>
    <w:pPr>
      <w:spacing w:before="220"/>
      <w:outlineLvl w:val="3"/>
    </w:pPr>
    <w:rPr>
      <w:bCs w:val="0"/>
      <w:sz w:val="26"/>
      <w:szCs w:val="28"/>
    </w:rPr>
  </w:style>
  <w:style w:type="paragraph" w:styleId="Heading5">
    <w:name w:val="heading 5"/>
    <w:basedOn w:val="Heading1"/>
    <w:next w:val="subsection"/>
    <w:link w:val="Heading5Char"/>
    <w:qFormat/>
    <w:rsid w:val="00013D83"/>
    <w:pPr>
      <w:spacing w:before="280"/>
      <w:outlineLvl w:val="4"/>
    </w:pPr>
    <w:rPr>
      <w:bCs w:val="0"/>
      <w:iCs/>
      <w:sz w:val="24"/>
      <w:szCs w:val="26"/>
    </w:rPr>
  </w:style>
  <w:style w:type="paragraph" w:styleId="Heading6">
    <w:name w:val="heading 6"/>
    <w:basedOn w:val="Heading1"/>
    <w:next w:val="Heading7"/>
    <w:link w:val="Heading6Char"/>
    <w:qFormat/>
    <w:rsid w:val="00013D83"/>
    <w:pPr>
      <w:outlineLvl w:val="5"/>
    </w:pPr>
    <w:rPr>
      <w:rFonts w:ascii="Arial" w:hAnsi="Arial" w:cs="Arial"/>
      <w:bCs w:val="0"/>
      <w:sz w:val="32"/>
      <w:szCs w:val="22"/>
    </w:rPr>
  </w:style>
  <w:style w:type="paragraph" w:styleId="Heading7">
    <w:name w:val="heading 7"/>
    <w:basedOn w:val="Heading6"/>
    <w:next w:val="Normal"/>
    <w:link w:val="Heading7Char"/>
    <w:qFormat/>
    <w:rsid w:val="00013D83"/>
    <w:pPr>
      <w:spacing w:before="280"/>
      <w:outlineLvl w:val="6"/>
    </w:pPr>
    <w:rPr>
      <w:sz w:val="28"/>
    </w:rPr>
  </w:style>
  <w:style w:type="paragraph" w:styleId="Heading8">
    <w:name w:val="heading 8"/>
    <w:basedOn w:val="Heading6"/>
    <w:next w:val="Normal"/>
    <w:link w:val="Heading8Char"/>
    <w:qFormat/>
    <w:rsid w:val="00013D83"/>
    <w:pPr>
      <w:spacing w:before="240"/>
      <w:outlineLvl w:val="7"/>
    </w:pPr>
    <w:rPr>
      <w:iCs/>
      <w:sz w:val="26"/>
    </w:rPr>
  </w:style>
  <w:style w:type="paragraph" w:styleId="Heading9">
    <w:name w:val="heading 9"/>
    <w:basedOn w:val="Heading1"/>
    <w:next w:val="Normal"/>
    <w:link w:val="Heading9Char"/>
    <w:qFormat/>
    <w:rsid w:val="00013D83"/>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2860B3"/>
  </w:style>
  <w:style w:type="paragraph" w:customStyle="1" w:styleId="OPCParaBase">
    <w:name w:val="OPCParaBase"/>
    <w:link w:val="OPCParaBaseChar"/>
    <w:qFormat/>
    <w:rsid w:val="002860B3"/>
    <w:pPr>
      <w:spacing w:line="260" w:lineRule="atLeast"/>
    </w:pPr>
    <w:rPr>
      <w:rFonts w:eastAsia="Times New Roman" w:cs="Times New Roman"/>
      <w:sz w:val="22"/>
      <w:lang w:eastAsia="en-AU"/>
    </w:rPr>
  </w:style>
  <w:style w:type="paragraph" w:customStyle="1" w:styleId="ShortT">
    <w:name w:val="ShortT"/>
    <w:basedOn w:val="OPCParaBase"/>
    <w:next w:val="Normal"/>
    <w:qFormat/>
    <w:rsid w:val="002860B3"/>
    <w:pPr>
      <w:spacing w:line="240" w:lineRule="auto"/>
    </w:pPr>
    <w:rPr>
      <w:b/>
      <w:sz w:val="40"/>
    </w:rPr>
  </w:style>
  <w:style w:type="paragraph" w:customStyle="1" w:styleId="ActHead1">
    <w:name w:val="ActHead 1"/>
    <w:aliases w:val="c"/>
    <w:basedOn w:val="OPCParaBase"/>
    <w:next w:val="Normal"/>
    <w:qFormat/>
    <w:rsid w:val="002860B3"/>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2860B3"/>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link w:val="ActHead3Char"/>
    <w:qFormat/>
    <w:rsid w:val="002860B3"/>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link w:val="ActHead4Char"/>
    <w:qFormat/>
    <w:rsid w:val="002860B3"/>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2860B3"/>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2860B3"/>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860B3"/>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2860B3"/>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860B3"/>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2860B3"/>
  </w:style>
  <w:style w:type="paragraph" w:customStyle="1" w:styleId="Blocks">
    <w:name w:val="Blocks"/>
    <w:aliases w:val="bb"/>
    <w:basedOn w:val="OPCParaBase"/>
    <w:qFormat/>
    <w:rsid w:val="002860B3"/>
    <w:pPr>
      <w:spacing w:line="240" w:lineRule="auto"/>
    </w:pPr>
    <w:rPr>
      <w:sz w:val="24"/>
    </w:rPr>
  </w:style>
  <w:style w:type="paragraph" w:customStyle="1" w:styleId="BoxText">
    <w:name w:val="BoxText"/>
    <w:aliases w:val="bt"/>
    <w:basedOn w:val="OPCParaBase"/>
    <w:rsid w:val="002860B3"/>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2860B3"/>
    <w:rPr>
      <w:b/>
    </w:rPr>
  </w:style>
  <w:style w:type="paragraph" w:customStyle="1" w:styleId="BoxHeadItalic">
    <w:name w:val="BoxHeadItalic"/>
    <w:aliases w:val="bhi"/>
    <w:basedOn w:val="BoxText"/>
    <w:next w:val="Normal"/>
    <w:qFormat/>
    <w:rsid w:val="002860B3"/>
    <w:rPr>
      <w:i/>
    </w:rPr>
  </w:style>
  <w:style w:type="paragraph" w:customStyle="1" w:styleId="BoxList">
    <w:name w:val="BoxList"/>
    <w:aliases w:val="bl"/>
    <w:basedOn w:val="BoxText"/>
    <w:qFormat/>
    <w:rsid w:val="002860B3"/>
    <w:pPr>
      <w:ind w:left="1559" w:hanging="425"/>
    </w:pPr>
  </w:style>
  <w:style w:type="paragraph" w:customStyle="1" w:styleId="BoxNote">
    <w:name w:val="BoxNote"/>
    <w:aliases w:val="bn"/>
    <w:basedOn w:val="BoxText"/>
    <w:qFormat/>
    <w:rsid w:val="002860B3"/>
    <w:pPr>
      <w:tabs>
        <w:tab w:val="left" w:pos="1985"/>
      </w:tabs>
      <w:spacing w:before="122" w:line="198" w:lineRule="exact"/>
      <w:ind w:left="2948" w:hanging="1814"/>
    </w:pPr>
    <w:rPr>
      <w:sz w:val="18"/>
    </w:rPr>
  </w:style>
  <w:style w:type="paragraph" w:customStyle="1" w:styleId="BoxPara">
    <w:name w:val="BoxPara"/>
    <w:aliases w:val="bp"/>
    <w:basedOn w:val="BoxText"/>
    <w:qFormat/>
    <w:rsid w:val="002860B3"/>
    <w:pPr>
      <w:tabs>
        <w:tab w:val="right" w:pos="2268"/>
      </w:tabs>
      <w:ind w:left="2552" w:hanging="1418"/>
    </w:pPr>
  </w:style>
  <w:style w:type="paragraph" w:customStyle="1" w:styleId="BoxStep">
    <w:name w:val="BoxStep"/>
    <w:aliases w:val="bs"/>
    <w:basedOn w:val="BoxText"/>
    <w:qFormat/>
    <w:rsid w:val="002860B3"/>
    <w:pPr>
      <w:ind w:left="1985" w:hanging="851"/>
    </w:pPr>
  </w:style>
  <w:style w:type="character" w:customStyle="1" w:styleId="CharAmPartNo">
    <w:name w:val="CharAmPartNo"/>
    <w:basedOn w:val="OPCCharBase"/>
    <w:uiPriority w:val="1"/>
    <w:qFormat/>
    <w:rsid w:val="002860B3"/>
  </w:style>
  <w:style w:type="character" w:customStyle="1" w:styleId="CharAmPartText">
    <w:name w:val="CharAmPartText"/>
    <w:basedOn w:val="OPCCharBase"/>
    <w:uiPriority w:val="1"/>
    <w:qFormat/>
    <w:rsid w:val="002860B3"/>
  </w:style>
  <w:style w:type="character" w:customStyle="1" w:styleId="CharAmSchNo">
    <w:name w:val="CharAmSchNo"/>
    <w:basedOn w:val="OPCCharBase"/>
    <w:uiPriority w:val="1"/>
    <w:qFormat/>
    <w:rsid w:val="002860B3"/>
  </w:style>
  <w:style w:type="character" w:customStyle="1" w:styleId="CharAmSchText">
    <w:name w:val="CharAmSchText"/>
    <w:basedOn w:val="OPCCharBase"/>
    <w:uiPriority w:val="1"/>
    <w:qFormat/>
    <w:rsid w:val="002860B3"/>
  </w:style>
  <w:style w:type="character" w:customStyle="1" w:styleId="CharBoldItalic">
    <w:name w:val="CharBoldItalic"/>
    <w:basedOn w:val="OPCCharBase"/>
    <w:uiPriority w:val="1"/>
    <w:qFormat/>
    <w:rsid w:val="002860B3"/>
    <w:rPr>
      <w:b/>
      <w:i/>
    </w:rPr>
  </w:style>
  <w:style w:type="character" w:customStyle="1" w:styleId="CharChapNo">
    <w:name w:val="CharChapNo"/>
    <w:basedOn w:val="OPCCharBase"/>
    <w:uiPriority w:val="1"/>
    <w:qFormat/>
    <w:rsid w:val="002860B3"/>
  </w:style>
  <w:style w:type="character" w:customStyle="1" w:styleId="CharChapText">
    <w:name w:val="CharChapText"/>
    <w:basedOn w:val="OPCCharBase"/>
    <w:uiPriority w:val="1"/>
    <w:qFormat/>
    <w:rsid w:val="002860B3"/>
  </w:style>
  <w:style w:type="character" w:customStyle="1" w:styleId="CharDivNo">
    <w:name w:val="CharDivNo"/>
    <w:basedOn w:val="OPCCharBase"/>
    <w:uiPriority w:val="1"/>
    <w:qFormat/>
    <w:rsid w:val="002860B3"/>
  </w:style>
  <w:style w:type="character" w:customStyle="1" w:styleId="CharDivText">
    <w:name w:val="CharDivText"/>
    <w:basedOn w:val="OPCCharBase"/>
    <w:uiPriority w:val="1"/>
    <w:qFormat/>
    <w:rsid w:val="002860B3"/>
  </w:style>
  <w:style w:type="character" w:customStyle="1" w:styleId="CharItalic">
    <w:name w:val="CharItalic"/>
    <w:basedOn w:val="OPCCharBase"/>
    <w:uiPriority w:val="1"/>
    <w:qFormat/>
    <w:rsid w:val="002860B3"/>
    <w:rPr>
      <w:i/>
    </w:rPr>
  </w:style>
  <w:style w:type="character" w:customStyle="1" w:styleId="CharPartNo">
    <w:name w:val="CharPartNo"/>
    <w:basedOn w:val="OPCCharBase"/>
    <w:uiPriority w:val="1"/>
    <w:qFormat/>
    <w:rsid w:val="002860B3"/>
  </w:style>
  <w:style w:type="character" w:customStyle="1" w:styleId="CharPartText">
    <w:name w:val="CharPartText"/>
    <w:basedOn w:val="OPCCharBase"/>
    <w:uiPriority w:val="1"/>
    <w:qFormat/>
    <w:rsid w:val="002860B3"/>
  </w:style>
  <w:style w:type="character" w:customStyle="1" w:styleId="CharSectno">
    <w:name w:val="CharSectno"/>
    <w:basedOn w:val="OPCCharBase"/>
    <w:uiPriority w:val="1"/>
    <w:qFormat/>
    <w:rsid w:val="002860B3"/>
  </w:style>
  <w:style w:type="character" w:customStyle="1" w:styleId="CharSubdNo">
    <w:name w:val="CharSubdNo"/>
    <w:basedOn w:val="OPCCharBase"/>
    <w:uiPriority w:val="1"/>
    <w:qFormat/>
    <w:rsid w:val="002860B3"/>
  </w:style>
  <w:style w:type="character" w:customStyle="1" w:styleId="CharSubdText">
    <w:name w:val="CharSubdText"/>
    <w:basedOn w:val="OPCCharBase"/>
    <w:uiPriority w:val="1"/>
    <w:qFormat/>
    <w:rsid w:val="002860B3"/>
  </w:style>
  <w:style w:type="paragraph" w:customStyle="1" w:styleId="CTA--">
    <w:name w:val="CTA --"/>
    <w:basedOn w:val="OPCParaBase"/>
    <w:next w:val="Normal"/>
    <w:rsid w:val="002860B3"/>
    <w:pPr>
      <w:spacing w:before="60" w:line="240" w:lineRule="atLeast"/>
      <w:ind w:left="142" w:hanging="142"/>
    </w:pPr>
    <w:rPr>
      <w:sz w:val="20"/>
    </w:rPr>
  </w:style>
  <w:style w:type="paragraph" w:customStyle="1" w:styleId="CTA-">
    <w:name w:val="CTA -"/>
    <w:basedOn w:val="OPCParaBase"/>
    <w:rsid w:val="002860B3"/>
    <w:pPr>
      <w:spacing w:before="60" w:line="240" w:lineRule="atLeast"/>
      <w:ind w:left="85" w:hanging="85"/>
    </w:pPr>
    <w:rPr>
      <w:sz w:val="20"/>
    </w:rPr>
  </w:style>
  <w:style w:type="paragraph" w:customStyle="1" w:styleId="CTA---">
    <w:name w:val="CTA ---"/>
    <w:basedOn w:val="OPCParaBase"/>
    <w:next w:val="Normal"/>
    <w:rsid w:val="002860B3"/>
    <w:pPr>
      <w:spacing w:before="60" w:line="240" w:lineRule="atLeast"/>
      <w:ind w:left="198" w:hanging="198"/>
    </w:pPr>
    <w:rPr>
      <w:sz w:val="20"/>
    </w:rPr>
  </w:style>
  <w:style w:type="paragraph" w:customStyle="1" w:styleId="CTA----">
    <w:name w:val="CTA ----"/>
    <w:basedOn w:val="OPCParaBase"/>
    <w:next w:val="Normal"/>
    <w:rsid w:val="002860B3"/>
    <w:pPr>
      <w:spacing w:before="60" w:line="240" w:lineRule="atLeast"/>
      <w:ind w:left="255" w:hanging="255"/>
    </w:pPr>
    <w:rPr>
      <w:sz w:val="20"/>
    </w:rPr>
  </w:style>
  <w:style w:type="paragraph" w:customStyle="1" w:styleId="CTA1a">
    <w:name w:val="CTA 1(a)"/>
    <w:basedOn w:val="OPCParaBase"/>
    <w:rsid w:val="002860B3"/>
    <w:pPr>
      <w:tabs>
        <w:tab w:val="right" w:pos="414"/>
      </w:tabs>
      <w:spacing w:before="40" w:line="240" w:lineRule="atLeast"/>
      <w:ind w:left="675" w:hanging="675"/>
    </w:pPr>
    <w:rPr>
      <w:sz w:val="20"/>
    </w:rPr>
  </w:style>
  <w:style w:type="paragraph" w:customStyle="1" w:styleId="CTA1ai">
    <w:name w:val="CTA 1(a)(i)"/>
    <w:basedOn w:val="OPCParaBase"/>
    <w:rsid w:val="002860B3"/>
    <w:pPr>
      <w:tabs>
        <w:tab w:val="right" w:pos="1004"/>
      </w:tabs>
      <w:spacing w:before="40" w:line="240" w:lineRule="atLeast"/>
      <w:ind w:left="1253" w:hanging="1253"/>
    </w:pPr>
    <w:rPr>
      <w:sz w:val="20"/>
    </w:rPr>
  </w:style>
  <w:style w:type="paragraph" w:customStyle="1" w:styleId="CTA2a">
    <w:name w:val="CTA 2(a)"/>
    <w:basedOn w:val="OPCParaBase"/>
    <w:rsid w:val="002860B3"/>
    <w:pPr>
      <w:tabs>
        <w:tab w:val="right" w:pos="482"/>
      </w:tabs>
      <w:spacing w:before="40" w:line="240" w:lineRule="atLeast"/>
      <w:ind w:left="748" w:hanging="748"/>
    </w:pPr>
    <w:rPr>
      <w:sz w:val="20"/>
    </w:rPr>
  </w:style>
  <w:style w:type="paragraph" w:customStyle="1" w:styleId="CTA2ai">
    <w:name w:val="CTA 2(a)(i)"/>
    <w:basedOn w:val="OPCParaBase"/>
    <w:rsid w:val="002860B3"/>
    <w:pPr>
      <w:tabs>
        <w:tab w:val="right" w:pos="1089"/>
      </w:tabs>
      <w:spacing w:before="40" w:line="240" w:lineRule="atLeast"/>
      <w:ind w:left="1327" w:hanging="1327"/>
    </w:pPr>
    <w:rPr>
      <w:sz w:val="20"/>
    </w:rPr>
  </w:style>
  <w:style w:type="paragraph" w:customStyle="1" w:styleId="CTA3a">
    <w:name w:val="CTA 3(a)"/>
    <w:basedOn w:val="OPCParaBase"/>
    <w:rsid w:val="002860B3"/>
    <w:pPr>
      <w:tabs>
        <w:tab w:val="right" w:pos="556"/>
      </w:tabs>
      <w:spacing w:before="40" w:line="240" w:lineRule="atLeast"/>
      <w:ind w:left="805" w:hanging="805"/>
    </w:pPr>
    <w:rPr>
      <w:sz w:val="20"/>
    </w:rPr>
  </w:style>
  <w:style w:type="paragraph" w:customStyle="1" w:styleId="CTA3ai">
    <w:name w:val="CTA 3(a)(i)"/>
    <w:basedOn w:val="OPCParaBase"/>
    <w:rsid w:val="002860B3"/>
    <w:pPr>
      <w:tabs>
        <w:tab w:val="right" w:pos="1140"/>
      </w:tabs>
      <w:spacing w:before="40" w:line="240" w:lineRule="atLeast"/>
      <w:ind w:left="1361" w:hanging="1361"/>
    </w:pPr>
    <w:rPr>
      <w:sz w:val="20"/>
    </w:rPr>
  </w:style>
  <w:style w:type="paragraph" w:customStyle="1" w:styleId="CTA4a">
    <w:name w:val="CTA 4(a)"/>
    <w:basedOn w:val="OPCParaBase"/>
    <w:rsid w:val="002860B3"/>
    <w:pPr>
      <w:tabs>
        <w:tab w:val="right" w:pos="624"/>
      </w:tabs>
      <w:spacing w:before="40" w:line="240" w:lineRule="atLeast"/>
      <w:ind w:left="873" w:hanging="873"/>
    </w:pPr>
    <w:rPr>
      <w:sz w:val="20"/>
    </w:rPr>
  </w:style>
  <w:style w:type="paragraph" w:customStyle="1" w:styleId="CTA4ai">
    <w:name w:val="CTA 4(a)(i)"/>
    <w:basedOn w:val="OPCParaBase"/>
    <w:rsid w:val="002860B3"/>
    <w:pPr>
      <w:tabs>
        <w:tab w:val="right" w:pos="1213"/>
      </w:tabs>
      <w:spacing w:before="40" w:line="240" w:lineRule="atLeast"/>
      <w:ind w:left="1452" w:hanging="1452"/>
    </w:pPr>
    <w:rPr>
      <w:sz w:val="20"/>
    </w:rPr>
  </w:style>
  <w:style w:type="paragraph" w:customStyle="1" w:styleId="CTACAPS">
    <w:name w:val="CTA CAPS"/>
    <w:basedOn w:val="OPCParaBase"/>
    <w:rsid w:val="002860B3"/>
    <w:pPr>
      <w:spacing w:before="60" w:line="240" w:lineRule="atLeast"/>
    </w:pPr>
    <w:rPr>
      <w:sz w:val="20"/>
    </w:rPr>
  </w:style>
  <w:style w:type="paragraph" w:customStyle="1" w:styleId="CTAright">
    <w:name w:val="CTA right"/>
    <w:basedOn w:val="OPCParaBase"/>
    <w:rsid w:val="002860B3"/>
    <w:pPr>
      <w:spacing w:before="60" w:line="240" w:lineRule="auto"/>
      <w:jc w:val="right"/>
    </w:pPr>
    <w:rPr>
      <w:sz w:val="20"/>
    </w:rPr>
  </w:style>
  <w:style w:type="paragraph" w:customStyle="1" w:styleId="subsection">
    <w:name w:val="subsection"/>
    <w:aliases w:val="ss"/>
    <w:basedOn w:val="OPCParaBase"/>
    <w:rsid w:val="002860B3"/>
    <w:pPr>
      <w:tabs>
        <w:tab w:val="right" w:pos="1021"/>
      </w:tabs>
      <w:spacing w:before="180" w:line="240" w:lineRule="auto"/>
      <w:ind w:left="1134" w:hanging="1134"/>
    </w:pPr>
  </w:style>
  <w:style w:type="paragraph" w:customStyle="1" w:styleId="Definition">
    <w:name w:val="Definition"/>
    <w:aliases w:val="dd"/>
    <w:basedOn w:val="OPCParaBase"/>
    <w:rsid w:val="002860B3"/>
    <w:pPr>
      <w:spacing w:before="180" w:line="240" w:lineRule="auto"/>
      <w:ind w:left="1134"/>
    </w:pPr>
  </w:style>
  <w:style w:type="paragraph" w:customStyle="1" w:styleId="ETAsubitem">
    <w:name w:val="ETA(subitem)"/>
    <w:basedOn w:val="OPCParaBase"/>
    <w:rsid w:val="002860B3"/>
    <w:pPr>
      <w:tabs>
        <w:tab w:val="right" w:pos="340"/>
      </w:tabs>
      <w:spacing w:before="60" w:line="240" w:lineRule="auto"/>
      <w:ind w:left="454" w:hanging="454"/>
    </w:pPr>
    <w:rPr>
      <w:sz w:val="20"/>
    </w:rPr>
  </w:style>
  <w:style w:type="paragraph" w:customStyle="1" w:styleId="ETApara">
    <w:name w:val="ETA(para)"/>
    <w:basedOn w:val="OPCParaBase"/>
    <w:rsid w:val="002860B3"/>
    <w:pPr>
      <w:tabs>
        <w:tab w:val="right" w:pos="754"/>
      </w:tabs>
      <w:spacing w:before="60" w:line="240" w:lineRule="auto"/>
      <w:ind w:left="828" w:hanging="828"/>
    </w:pPr>
    <w:rPr>
      <w:sz w:val="20"/>
    </w:rPr>
  </w:style>
  <w:style w:type="paragraph" w:customStyle="1" w:styleId="ETAsubpara">
    <w:name w:val="ETA(subpara)"/>
    <w:basedOn w:val="OPCParaBase"/>
    <w:rsid w:val="002860B3"/>
    <w:pPr>
      <w:tabs>
        <w:tab w:val="right" w:pos="1083"/>
      </w:tabs>
      <w:spacing w:before="60" w:line="240" w:lineRule="auto"/>
      <w:ind w:left="1191" w:hanging="1191"/>
    </w:pPr>
    <w:rPr>
      <w:sz w:val="20"/>
    </w:rPr>
  </w:style>
  <w:style w:type="paragraph" w:customStyle="1" w:styleId="ETAsub-subpara">
    <w:name w:val="ETA(sub-subpara)"/>
    <w:basedOn w:val="OPCParaBase"/>
    <w:rsid w:val="002860B3"/>
    <w:pPr>
      <w:tabs>
        <w:tab w:val="right" w:pos="1412"/>
      </w:tabs>
      <w:spacing w:before="60" w:line="240" w:lineRule="auto"/>
      <w:ind w:left="1525" w:hanging="1525"/>
    </w:pPr>
    <w:rPr>
      <w:sz w:val="20"/>
    </w:rPr>
  </w:style>
  <w:style w:type="paragraph" w:customStyle="1" w:styleId="Formula">
    <w:name w:val="Formula"/>
    <w:basedOn w:val="OPCParaBase"/>
    <w:rsid w:val="002860B3"/>
    <w:pPr>
      <w:spacing w:line="240" w:lineRule="auto"/>
      <w:ind w:left="1134"/>
    </w:pPr>
    <w:rPr>
      <w:sz w:val="20"/>
    </w:rPr>
  </w:style>
  <w:style w:type="paragraph" w:styleId="Header">
    <w:name w:val="header"/>
    <w:basedOn w:val="OPCParaBase"/>
    <w:link w:val="HeaderChar"/>
    <w:unhideWhenUsed/>
    <w:rsid w:val="002860B3"/>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2860B3"/>
    <w:rPr>
      <w:rFonts w:eastAsia="Times New Roman" w:cs="Times New Roman"/>
      <w:sz w:val="16"/>
      <w:lang w:eastAsia="en-AU"/>
    </w:rPr>
  </w:style>
  <w:style w:type="paragraph" w:customStyle="1" w:styleId="House">
    <w:name w:val="House"/>
    <w:basedOn w:val="OPCParaBase"/>
    <w:rsid w:val="002860B3"/>
    <w:pPr>
      <w:spacing w:line="240" w:lineRule="auto"/>
    </w:pPr>
    <w:rPr>
      <w:sz w:val="28"/>
    </w:rPr>
  </w:style>
  <w:style w:type="paragraph" w:customStyle="1" w:styleId="Item">
    <w:name w:val="Item"/>
    <w:aliases w:val="i"/>
    <w:basedOn w:val="OPCParaBase"/>
    <w:next w:val="ItemHead"/>
    <w:rsid w:val="002860B3"/>
    <w:pPr>
      <w:keepLines/>
      <w:spacing w:before="80" w:line="240" w:lineRule="auto"/>
      <w:ind w:left="709"/>
    </w:pPr>
  </w:style>
  <w:style w:type="paragraph" w:customStyle="1" w:styleId="ItemHead">
    <w:name w:val="ItemHead"/>
    <w:aliases w:val="ih"/>
    <w:basedOn w:val="OPCParaBase"/>
    <w:next w:val="Item"/>
    <w:rsid w:val="002860B3"/>
    <w:pPr>
      <w:keepLines/>
      <w:spacing w:before="220" w:line="240" w:lineRule="auto"/>
      <w:ind w:left="709" w:hanging="709"/>
    </w:pPr>
    <w:rPr>
      <w:rFonts w:ascii="Arial" w:hAnsi="Arial"/>
      <w:b/>
      <w:kern w:val="28"/>
      <w:sz w:val="24"/>
    </w:rPr>
  </w:style>
  <w:style w:type="paragraph" w:customStyle="1" w:styleId="LongT">
    <w:name w:val="LongT"/>
    <w:basedOn w:val="OPCParaBase"/>
    <w:rsid w:val="002860B3"/>
    <w:pPr>
      <w:spacing w:line="240" w:lineRule="auto"/>
    </w:pPr>
    <w:rPr>
      <w:b/>
      <w:sz w:val="32"/>
    </w:rPr>
  </w:style>
  <w:style w:type="paragraph" w:customStyle="1" w:styleId="notedraft">
    <w:name w:val="note(draft)"/>
    <w:aliases w:val="nd"/>
    <w:basedOn w:val="OPCParaBase"/>
    <w:rsid w:val="002860B3"/>
    <w:pPr>
      <w:spacing w:before="240" w:line="240" w:lineRule="auto"/>
      <w:ind w:left="284" w:hanging="284"/>
    </w:pPr>
    <w:rPr>
      <w:i/>
      <w:sz w:val="24"/>
    </w:rPr>
  </w:style>
  <w:style w:type="paragraph" w:customStyle="1" w:styleId="notemargin">
    <w:name w:val="note(margin)"/>
    <w:aliases w:val="nm"/>
    <w:basedOn w:val="OPCParaBase"/>
    <w:rsid w:val="002860B3"/>
    <w:pPr>
      <w:tabs>
        <w:tab w:val="left" w:pos="709"/>
      </w:tabs>
      <w:spacing w:before="122" w:line="198" w:lineRule="exact"/>
      <w:ind w:left="709" w:hanging="709"/>
    </w:pPr>
    <w:rPr>
      <w:sz w:val="18"/>
    </w:rPr>
  </w:style>
  <w:style w:type="paragraph" w:customStyle="1" w:styleId="notepara">
    <w:name w:val="note(para)"/>
    <w:aliases w:val="na"/>
    <w:basedOn w:val="OPCParaBase"/>
    <w:rsid w:val="002860B3"/>
    <w:pPr>
      <w:spacing w:before="40" w:line="198" w:lineRule="exact"/>
      <w:ind w:left="2354" w:hanging="369"/>
    </w:pPr>
    <w:rPr>
      <w:sz w:val="18"/>
    </w:rPr>
  </w:style>
  <w:style w:type="paragraph" w:customStyle="1" w:styleId="noteParlAmend">
    <w:name w:val="note(ParlAmend)"/>
    <w:aliases w:val="npp"/>
    <w:basedOn w:val="OPCParaBase"/>
    <w:next w:val="ParlAmend"/>
    <w:rsid w:val="002860B3"/>
    <w:pPr>
      <w:spacing w:line="240" w:lineRule="auto"/>
      <w:jc w:val="right"/>
    </w:pPr>
    <w:rPr>
      <w:rFonts w:ascii="Arial" w:hAnsi="Arial"/>
      <w:b/>
      <w:i/>
    </w:rPr>
  </w:style>
  <w:style w:type="paragraph" w:customStyle="1" w:styleId="notetext">
    <w:name w:val="note(text)"/>
    <w:aliases w:val="n"/>
    <w:basedOn w:val="OPCParaBase"/>
    <w:rsid w:val="002860B3"/>
    <w:pPr>
      <w:spacing w:before="122" w:line="198" w:lineRule="exact"/>
      <w:ind w:left="1985" w:hanging="851"/>
    </w:pPr>
    <w:rPr>
      <w:sz w:val="18"/>
    </w:rPr>
  </w:style>
  <w:style w:type="paragraph" w:customStyle="1" w:styleId="Page1">
    <w:name w:val="Page1"/>
    <w:basedOn w:val="OPCParaBase"/>
    <w:rsid w:val="002860B3"/>
    <w:pPr>
      <w:spacing w:before="5600" w:line="240" w:lineRule="auto"/>
    </w:pPr>
    <w:rPr>
      <w:b/>
      <w:sz w:val="32"/>
    </w:rPr>
  </w:style>
  <w:style w:type="paragraph" w:customStyle="1" w:styleId="PageBreak">
    <w:name w:val="PageBreak"/>
    <w:aliases w:val="pb"/>
    <w:basedOn w:val="OPCParaBase"/>
    <w:rsid w:val="002860B3"/>
    <w:pPr>
      <w:spacing w:line="240" w:lineRule="auto"/>
    </w:pPr>
    <w:rPr>
      <w:sz w:val="10"/>
    </w:rPr>
  </w:style>
  <w:style w:type="paragraph" w:customStyle="1" w:styleId="paragraphsub">
    <w:name w:val="paragraph(sub)"/>
    <w:aliases w:val="aa"/>
    <w:basedOn w:val="OPCParaBase"/>
    <w:rsid w:val="002860B3"/>
    <w:pPr>
      <w:tabs>
        <w:tab w:val="right" w:pos="1985"/>
      </w:tabs>
      <w:spacing w:before="40" w:line="240" w:lineRule="auto"/>
      <w:ind w:left="2098" w:hanging="2098"/>
    </w:pPr>
  </w:style>
  <w:style w:type="paragraph" w:customStyle="1" w:styleId="paragraphsub-sub">
    <w:name w:val="paragraph(sub-sub)"/>
    <w:aliases w:val="aaa"/>
    <w:basedOn w:val="OPCParaBase"/>
    <w:rsid w:val="002860B3"/>
    <w:pPr>
      <w:tabs>
        <w:tab w:val="right" w:pos="2722"/>
      </w:tabs>
      <w:spacing w:before="40" w:line="240" w:lineRule="auto"/>
      <w:ind w:left="2835" w:hanging="2835"/>
    </w:pPr>
  </w:style>
  <w:style w:type="paragraph" w:customStyle="1" w:styleId="paragraph">
    <w:name w:val="paragraph"/>
    <w:aliases w:val="a"/>
    <w:basedOn w:val="OPCParaBase"/>
    <w:rsid w:val="002860B3"/>
    <w:pPr>
      <w:tabs>
        <w:tab w:val="right" w:pos="1531"/>
      </w:tabs>
      <w:spacing w:before="40" w:line="240" w:lineRule="auto"/>
      <w:ind w:left="1644" w:hanging="1644"/>
    </w:pPr>
  </w:style>
  <w:style w:type="paragraph" w:customStyle="1" w:styleId="ParlAmend">
    <w:name w:val="ParlAmend"/>
    <w:aliases w:val="pp"/>
    <w:basedOn w:val="OPCParaBase"/>
    <w:rsid w:val="002860B3"/>
    <w:pPr>
      <w:spacing w:before="240" w:line="240" w:lineRule="atLeast"/>
      <w:ind w:hanging="567"/>
    </w:pPr>
    <w:rPr>
      <w:sz w:val="24"/>
    </w:rPr>
  </w:style>
  <w:style w:type="paragraph" w:customStyle="1" w:styleId="Penalty">
    <w:name w:val="Penalty"/>
    <w:basedOn w:val="OPCParaBase"/>
    <w:rsid w:val="002860B3"/>
    <w:pPr>
      <w:tabs>
        <w:tab w:val="left" w:pos="2977"/>
      </w:tabs>
      <w:spacing w:before="180" w:line="240" w:lineRule="auto"/>
      <w:ind w:left="1985" w:hanging="851"/>
    </w:pPr>
  </w:style>
  <w:style w:type="paragraph" w:customStyle="1" w:styleId="Portfolio">
    <w:name w:val="Portfolio"/>
    <w:basedOn w:val="OPCParaBase"/>
    <w:rsid w:val="002860B3"/>
    <w:pPr>
      <w:spacing w:line="240" w:lineRule="auto"/>
    </w:pPr>
    <w:rPr>
      <w:i/>
      <w:sz w:val="20"/>
    </w:rPr>
  </w:style>
  <w:style w:type="paragraph" w:customStyle="1" w:styleId="Preamble">
    <w:name w:val="Preamble"/>
    <w:basedOn w:val="OPCParaBase"/>
    <w:next w:val="Normal"/>
    <w:rsid w:val="002860B3"/>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2860B3"/>
    <w:pPr>
      <w:spacing w:line="240" w:lineRule="auto"/>
    </w:pPr>
    <w:rPr>
      <w:i/>
      <w:sz w:val="20"/>
    </w:rPr>
  </w:style>
  <w:style w:type="paragraph" w:customStyle="1" w:styleId="Session">
    <w:name w:val="Session"/>
    <w:basedOn w:val="OPCParaBase"/>
    <w:rsid w:val="002860B3"/>
    <w:pPr>
      <w:spacing w:line="240" w:lineRule="auto"/>
    </w:pPr>
    <w:rPr>
      <w:sz w:val="28"/>
    </w:rPr>
  </w:style>
  <w:style w:type="paragraph" w:customStyle="1" w:styleId="Sponsor">
    <w:name w:val="Sponsor"/>
    <w:basedOn w:val="OPCParaBase"/>
    <w:rsid w:val="002860B3"/>
    <w:pPr>
      <w:spacing w:line="240" w:lineRule="auto"/>
    </w:pPr>
    <w:rPr>
      <w:i/>
    </w:rPr>
  </w:style>
  <w:style w:type="paragraph" w:customStyle="1" w:styleId="Subitem">
    <w:name w:val="Subitem"/>
    <w:aliases w:val="iss"/>
    <w:basedOn w:val="OPCParaBase"/>
    <w:rsid w:val="002860B3"/>
    <w:pPr>
      <w:spacing w:before="180" w:line="240" w:lineRule="auto"/>
      <w:ind w:left="709" w:hanging="709"/>
    </w:pPr>
  </w:style>
  <w:style w:type="paragraph" w:customStyle="1" w:styleId="SubitemHead">
    <w:name w:val="SubitemHead"/>
    <w:aliases w:val="issh"/>
    <w:basedOn w:val="OPCParaBase"/>
    <w:rsid w:val="002860B3"/>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2860B3"/>
    <w:pPr>
      <w:spacing w:before="40" w:line="240" w:lineRule="auto"/>
      <w:ind w:left="1134"/>
    </w:pPr>
  </w:style>
  <w:style w:type="paragraph" w:customStyle="1" w:styleId="SubsectionHead">
    <w:name w:val="SubsectionHead"/>
    <w:aliases w:val="ssh"/>
    <w:basedOn w:val="OPCParaBase"/>
    <w:next w:val="subsection"/>
    <w:rsid w:val="002860B3"/>
    <w:pPr>
      <w:keepNext/>
      <w:keepLines/>
      <w:spacing w:before="240" w:line="240" w:lineRule="auto"/>
      <w:ind w:left="1134"/>
    </w:pPr>
    <w:rPr>
      <w:i/>
    </w:rPr>
  </w:style>
  <w:style w:type="paragraph" w:customStyle="1" w:styleId="Tablea">
    <w:name w:val="Table(a)"/>
    <w:aliases w:val="ta"/>
    <w:basedOn w:val="OPCParaBase"/>
    <w:rsid w:val="002860B3"/>
    <w:pPr>
      <w:spacing w:before="60" w:line="240" w:lineRule="auto"/>
      <w:ind w:left="284" w:hanging="284"/>
    </w:pPr>
    <w:rPr>
      <w:sz w:val="20"/>
    </w:rPr>
  </w:style>
  <w:style w:type="paragraph" w:customStyle="1" w:styleId="TableAA">
    <w:name w:val="Table(AA)"/>
    <w:aliases w:val="taaa"/>
    <w:basedOn w:val="OPCParaBase"/>
    <w:rsid w:val="002860B3"/>
    <w:pPr>
      <w:tabs>
        <w:tab w:val="left" w:pos="-6543"/>
        <w:tab w:val="left" w:pos="-6260"/>
      </w:tabs>
      <w:spacing w:line="240" w:lineRule="exact"/>
      <w:ind w:left="1055" w:hanging="284"/>
    </w:pPr>
    <w:rPr>
      <w:sz w:val="20"/>
    </w:rPr>
  </w:style>
  <w:style w:type="paragraph" w:customStyle="1" w:styleId="Tablei">
    <w:name w:val="Table(i)"/>
    <w:aliases w:val="taa"/>
    <w:basedOn w:val="OPCParaBase"/>
    <w:rsid w:val="002860B3"/>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2860B3"/>
    <w:pPr>
      <w:spacing w:before="60" w:line="240" w:lineRule="atLeast"/>
    </w:pPr>
    <w:rPr>
      <w:sz w:val="20"/>
    </w:rPr>
  </w:style>
  <w:style w:type="paragraph" w:customStyle="1" w:styleId="TLPBoxTextnote">
    <w:name w:val="TLPBoxText(note"/>
    <w:aliases w:val="right)"/>
    <w:basedOn w:val="OPCParaBase"/>
    <w:rsid w:val="002860B3"/>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2860B3"/>
    <w:pPr>
      <w:numPr>
        <w:numId w:val="1"/>
      </w:numPr>
      <w:tabs>
        <w:tab w:val="clear" w:pos="2517"/>
      </w:tabs>
      <w:spacing w:before="60" w:line="198" w:lineRule="exact"/>
      <w:ind w:left="2625"/>
    </w:pPr>
    <w:rPr>
      <w:sz w:val="18"/>
    </w:rPr>
  </w:style>
  <w:style w:type="paragraph" w:customStyle="1" w:styleId="TLPnoteright">
    <w:name w:val="TLPnote(right)"/>
    <w:aliases w:val="nr"/>
    <w:basedOn w:val="OPCParaBase"/>
    <w:rsid w:val="002860B3"/>
    <w:pPr>
      <w:spacing w:before="122" w:line="198" w:lineRule="exact"/>
      <w:ind w:left="1985" w:hanging="851"/>
      <w:jc w:val="right"/>
    </w:pPr>
    <w:rPr>
      <w:sz w:val="18"/>
    </w:rPr>
  </w:style>
  <w:style w:type="paragraph" w:customStyle="1" w:styleId="TLPTableBullet">
    <w:name w:val="TLPTableBullet"/>
    <w:aliases w:val="ttb"/>
    <w:basedOn w:val="OPCParaBase"/>
    <w:rsid w:val="002860B3"/>
    <w:pPr>
      <w:spacing w:line="240" w:lineRule="exact"/>
      <w:ind w:left="284" w:hanging="284"/>
    </w:pPr>
    <w:rPr>
      <w:sz w:val="20"/>
    </w:rPr>
  </w:style>
  <w:style w:type="paragraph" w:styleId="TOC1">
    <w:name w:val="toc 1"/>
    <w:basedOn w:val="OPCParaBase"/>
    <w:next w:val="Normal"/>
    <w:uiPriority w:val="39"/>
    <w:unhideWhenUsed/>
    <w:rsid w:val="002860B3"/>
    <w:pPr>
      <w:spacing w:line="240" w:lineRule="auto"/>
    </w:pPr>
    <w:rPr>
      <w:sz w:val="24"/>
    </w:rPr>
  </w:style>
  <w:style w:type="paragraph" w:styleId="TOC2">
    <w:name w:val="toc 2"/>
    <w:basedOn w:val="OPCParaBase"/>
    <w:next w:val="Normal"/>
    <w:uiPriority w:val="39"/>
    <w:unhideWhenUsed/>
    <w:rsid w:val="002860B3"/>
    <w:pPr>
      <w:tabs>
        <w:tab w:val="right" w:leader="dot" w:pos="9017"/>
      </w:tabs>
      <w:spacing w:line="240" w:lineRule="auto"/>
      <w:ind w:left="238"/>
    </w:pPr>
    <w:rPr>
      <w:b/>
      <w:noProof/>
      <w:sz w:val="24"/>
    </w:rPr>
  </w:style>
  <w:style w:type="paragraph" w:styleId="TOC3">
    <w:name w:val="toc 3"/>
    <w:basedOn w:val="OPCParaBase"/>
    <w:next w:val="Normal"/>
    <w:uiPriority w:val="39"/>
    <w:unhideWhenUsed/>
    <w:rsid w:val="002860B3"/>
    <w:pPr>
      <w:tabs>
        <w:tab w:val="right" w:leader="dot" w:pos="9017"/>
      </w:tabs>
      <w:spacing w:line="240" w:lineRule="auto"/>
      <w:ind w:left="482"/>
    </w:pPr>
    <w:rPr>
      <w:noProof/>
      <w:sz w:val="24"/>
    </w:rPr>
  </w:style>
  <w:style w:type="paragraph" w:styleId="TOC4">
    <w:name w:val="toc 4"/>
    <w:basedOn w:val="OPCParaBase"/>
    <w:next w:val="Normal"/>
    <w:uiPriority w:val="39"/>
    <w:unhideWhenUsed/>
    <w:rsid w:val="002860B3"/>
    <w:pPr>
      <w:tabs>
        <w:tab w:val="right" w:leader="dot" w:pos="9017"/>
      </w:tabs>
      <w:spacing w:line="240" w:lineRule="auto"/>
      <w:ind w:left="720"/>
    </w:pPr>
    <w:rPr>
      <w:noProof/>
      <w:sz w:val="24"/>
    </w:rPr>
  </w:style>
  <w:style w:type="paragraph" w:styleId="TOC5">
    <w:name w:val="toc 5"/>
    <w:basedOn w:val="OPCParaBase"/>
    <w:next w:val="Normal"/>
    <w:uiPriority w:val="39"/>
    <w:unhideWhenUsed/>
    <w:rsid w:val="002860B3"/>
    <w:pPr>
      <w:spacing w:line="240" w:lineRule="auto"/>
      <w:ind w:left="958"/>
    </w:pPr>
    <w:rPr>
      <w:sz w:val="24"/>
    </w:rPr>
  </w:style>
  <w:style w:type="paragraph" w:styleId="TOC6">
    <w:name w:val="toc 6"/>
    <w:basedOn w:val="OPCParaBase"/>
    <w:next w:val="Normal"/>
    <w:uiPriority w:val="39"/>
    <w:semiHidden/>
    <w:unhideWhenUsed/>
    <w:rsid w:val="002860B3"/>
    <w:pPr>
      <w:spacing w:line="240" w:lineRule="auto"/>
      <w:ind w:left="1202"/>
    </w:pPr>
    <w:rPr>
      <w:sz w:val="24"/>
    </w:rPr>
  </w:style>
  <w:style w:type="paragraph" w:styleId="TOC7">
    <w:name w:val="toc 7"/>
    <w:basedOn w:val="OPCParaBase"/>
    <w:next w:val="Normal"/>
    <w:uiPriority w:val="39"/>
    <w:semiHidden/>
    <w:unhideWhenUsed/>
    <w:rsid w:val="002860B3"/>
    <w:pPr>
      <w:spacing w:line="240" w:lineRule="auto"/>
      <w:ind w:left="1440"/>
    </w:pPr>
    <w:rPr>
      <w:sz w:val="24"/>
    </w:rPr>
  </w:style>
  <w:style w:type="paragraph" w:styleId="TOC8">
    <w:name w:val="toc 8"/>
    <w:basedOn w:val="OPCParaBase"/>
    <w:next w:val="Normal"/>
    <w:uiPriority w:val="39"/>
    <w:semiHidden/>
    <w:unhideWhenUsed/>
    <w:rsid w:val="002860B3"/>
    <w:pPr>
      <w:spacing w:line="240" w:lineRule="auto"/>
      <w:ind w:left="1678"/>
    </w:pPr>
    <w:rPr>
      <w:sz w:val="24"/>
    </w:rPr>
  </w:style>
  <w:style w:type="paragraph" w:styleId="TOC9">
    <w:name w:val="toc 9"/>
    <w:basedOn w:val="OPCParaBase"/>
    <w:next w:val="Normal"/>
    <w:uiPriority w:val="39"/>
    <w:unhideWhenUsed/>
    <w:rsid w:val="002860B3"/>
    <w:pPr>
      <w:spacing w:line="240" w:lineRule="auto"/>
      <w:ind w:left="1922"/>
    </w:pPr>
    <w:rPr>
      <w:sz w:val="24"/>
    </w:rPr>
  </w:style>
  <w:style w:type="paragraph" w:customStyle="1" w:styleId="TofSectsGroupHeading">
    <w:name w:val="TofSects(GroupHeading)"/>
    <w:basedOn w:val="OPCParaBase"/>
    <w:next w:val="TofSectsSection"/>
    <w:rsid w:val="002860B3"/>
    <w:pPr>
      <w:keepLines/>
      <w:spacing w:before="240" w:after="120" w:line="240" w:lineRule="auto"/>
      <w:ind w:left="794"/>
    </w:pPr>
    <w:rPr>
      <w:b/>
      <w:kern w:val="28"/>
      <w:sz w:val="20"/>
    </w:rPr>
  </w:style>
  <w:style w:type="paragraph" w:customStyle="1" w:styleId="TofSectsHeading">
    <w:name w:val="TofSects(Heading)"/>
    <w:basedOn w:val="OPCParaBase"/>
    <w:rsid w:val="002860B3"/>
    <w:pPr>
      <w:spacing w:before="240" w:after="120" w:line="240" w:lineRule="auto"/>
    </w:pPr>
    <w:rPr>
      <w:b/>
      <w:sz w:val="24"/>
    </w:rPr>
  </w:style>
  <w:style w:type="paragraph" w:customStyle="1" w:styleId="TofSectsSection">
    <w:name w:val="TofSects(Section)"/>
    <w:basedOn w:val="OPCParaBase"/>
    <w:rsid w:val="002860B3"/>
    <w:pPr>
      <w:keepLines/>
      <w:spacing w:before="40" w:line="240" w:lineRule="auto"/>
      <w:ind w:left="1588" w:hanging="794"/>
    </w:pPr>
    <w:rPr>
      <w:kern w:val="28"/>
      <w:sz w:val="18"/>
    </w:rPr>
  </w:style>
  <w:style w:type="paragraph" w:customStyle="1" w:styleId="TofSectsSubdiv">
    <w:name w:val="TofSects(Subdiv)"/>
    <w:basedOn w:val="OPCParaBase"/>
    <w:rsid w:val="002860B3"/>
    <w:pPr>
      <w:keepLines/>
      <w:spacing w:before="80" w:line="240" w:lineRule="auto"/>
      <w:ind w:left="1588" w:hanging="794"/>
    </w:pPr>
    <w:rPr>
      <w:kern w:val="28"/>
    </w:rPr>
  </w:style>
  <w:style w:type="paragraph" w:customStyle="1" w:styleId="WRStyle">
    <w:name w:val="WR Style"/>
    <w:aliases w:val="WR"/>
    <w:basedOn w:val="OPCParaBase"/>
    <w:rsid w:val="002860B3"/>
    <w:pPr>
      <w:spacing w:before="240" w:line="240" w:lineRule="auto"/>
      <w:ind w:left="284" w:hanging="284"/>
    </w:pPr>
    <w:rPr>
      <w:b/>
      <w:i/>
      <w:kern w:val="28"/>
      <w:sz w:val="24"/>
    </w:rPr>
  </w:style>
  <w:style w:type="paragraph" w:customStyle="1" w:styleId="Body">
    <w:name w:val="Body"/>
    <w:aliases w:val="b"/>
    <w:basedOn w:val="OPCParaBase"/>
    <w:rsid w:val="002860B3"/>
    <w:pPr>
      <w:spacing w:before="240" w:line="240" w:lineRule="auto"/>
    </w:pPr>
    <w:rPr>
      <w:sz w:val="24"/>
    </w:rPr>
  </w:style>
  <w:style w:type="paragraph" w:customStyle="1" w:styleId="BodyNum">
    <w:name w:val="BodyNum"/>
    <w:aliases w:val="b1"/>
    <w:basedOn w:val="OPCParaBase"/>
    <w:rsid w:val="002860B3"/>
    <w:pPr>
      <w:numPr>
        <w:numId w:val="18"/>
      </w:numPr>
      <w:spacing w:before="240" w:line="240" w:lineRule="auto"/>
    </w:pPr>
    <w:rPr>
      <w:sz w:val="24"/>
    </w:rPr>
  </w:style>
  <w:style w:type="paragraph" w:customStyle="1" w:styleId="BodyPara">
    <w:name w:val="BodyPara"/>
    <w:aliases w:val="ba"/>
    <w:basedOn w:val="OPCParaBase"/>
    <w:rsid w:val="002860B3"/>
    <w:pPr>
      <w:numPr>
        <w:ilvl w:val="1"/>
        <w:numId w:val="18"/>
      </w:numPr>
      <w:spacing w:before="240" w:line="240" w:lineRule="auto"/>
    </w:pPr>
    <w:rPr>
      <w:sz w:val="24"/>
    </w:rPr>
  </w:style>
  <w:style w:type="paragraph" w:customStyle="1" w:styleId="BodyParaBullet">
    <w:name w:val="BodyParaBullet"/>
    <w:aliases w:val="bpb"/>
    <w:basedOn w:val="OPCParaBase"/>
    <w:rsid w:val="002860B3"/>
    <w:pPr>
      <w:numPr>
        <w:ilvl w:val="2"/>
        <w:numId w:val="18"/>
      </w:numPr>
      <w:tabs>
        <w:tab w:val="left" w:pos="2160"/>
      </w:tabs>
      <w:spacing w:before="240" w:line="240" w:lineRule="auto"/>
    </w:pPr>
    <w:rPr>
      <w:sz w:val="24"/>
    </w:rPr>
  </w:style>
  <w:style w:type="paragraph" w:customStyle="1" w:styleId="BodySubPara">
    <w:name w:val="BodySubPara"/>
    <w:aliases w:val="bi"/>
    <w:basedOn w:val="OPCParaBase"/>
    <w:rsid w:val="002860B3"/>
    <w:pPr>
      <w:numPr>
        <w:ilvl w:val="3"/>
        <w:numId w:val="18"/>
      </w:numPr>
      <w:spacing w:before="240" w:line="240" w:lineRule="auto"/>
    </w:pPr>
    <w:rPr>
      <w:sz w:val="24"/>
    </w:rPr>
  </w:style>
  <w:style w:type="numbering" w:customStyle="1" w:styleId="OPCBodyList">
    <w:name w:val="OPCBodyList"/>
    <w:uiPriority w:val="99"/>
    <w:rsid w:val="002860B3"/>
    <w:pPr>
      <w:numPr>
        <w:numId w:val="18"/>
      </w:numPr>
    </w:pPr>
  </w:style>
  <w:style w:type="paragraph" w:customStyle="1" w:styleId="Head1">
    <w:name w:val="Head 1"/>
    <w:aliases w:val="1"/>
    <w:basedOn w:val="OPCParaBase"/>
    <w:next w:val="BodyNum"/>
    <w:rsid w:val="002860B3"/>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2860B3"/>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2860B3"/>
    <w:pPr>
      <w:keepNext/>
      <w:spacing w:before="240" w:after="60" w:line="240" w:lineRule="auto"/>
      <w:outlineLvl w:val="2"/>
    </w:pPr>
    <w:rPr>
      <w:rFonts w:ascii="Arial" w:hAnsi="Arial"/>
      <w:b/>
      <w:i/>
      <w:kern w:val="28"/>
      <w:sz w:val="26"/>
    </w:rPr>
  </w:style>
  <w:style w:type="paragraph" w:customStyle="1" w:styleId="Head4">
    <w:name w:val="Head 4"/>
    <w:aliases w:val="4"/>
    <w:basedOn w:val="OPCParaBase"/>
    <w:next w:val="BodyNum"/>
    <w:rsid w:val="002860B3"/>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rsid w:val="002860B3"/>
    <w:pPr>
      <w:keepNext/>
      <w:spacing w:before="240" w:after="60" w:line="240" w:lineRule="auto"/>
      <w:outlineLvl w:val="4"/>
    </w:pPr>
    <w:rPr>
      <w:rFonts w:ascii="Arial" w:hAnsi="Arial"/>
      <w:b/>
      <w:i/>
      <w:kern w:val="28"/>
    </w:rPr>
  </w:style>
  <w:style w:type="paragraph" w:customStyle="1" w:styleId="noteToPara">
    <w:name w:val="noteToPara"/>
    <w:aliases w:val="ntp"/>
    <w:basedOn w:val="OPCParaBase"/>
    <w:rsid w:val="002860B3"/>
    <w:pPr>
      <w:spacing w:before="122" w:line="198" w:lineRule="exact"/>
      <w:ind w:left="2353" w:hanging="709"/>
    </w:pPr>
    <w:rPr>
      <w:sz w:val="18"/>
    </w:rPr>
  </w:style>
  <w:style w:type="paragraph" w:styleId="Footer">
    <w:name w:val="footer"/>
    <w:link w:val="FooterChar"/>
    <w:rsid w:val="002860B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2860B3"/>
    <w:rPr>
      <w:rFonts w:eastAsia="Times New Roman" w:cs="Times New Roman"/>
      <w:sz w:val="22"/>
      <w:szCs w:val="24"/>
      <w:lang w:eastAsia="en-AU"/>
    </w:rPr>
  </w:style>
  <w:style w:type="character" w:styleId="PageNumber">
    <w:name w:val="page number"/>
    <w:basedOn w:val="DefaultParagraphFont"/>
    <w:rsid w:val="002860B3"/>
  </w:style>
  <w:style w:type="character" w:customStyle="1" w:styleId="Heading1Char">
    <w:name w:val="Heading 1 Char"/>
    <w:basedOn w:val="DefaultParagraphFont"/>
    <w:link w:val="Heading1"/>
    <w:rsid w:val="00013D83"/>
    <w:rPr>
      <w:rFonts w:eastAsia="Times New Roman" w:cs="Times New Roman"/>
      <w:b/>
      <w:bCs/>
      <w:kern w:val="28"/>
      <w:sz w:val="36"/>
      <w:szCs w:val="32"/>
      <w:lang w:eastAsia="en-AU"/>
    </w:rPr>
  </w:style>
  <w:style w:type="character" w:customStyle="1" w:styleId="Heading2Char">
    <w:name w:val="Heading 2 Char"/>
    <w:basedOn w:val="DefaultParagraphFont"/>
    <w:link w:val="Heading2"/>
    <w:rsid w:val="00013D83"/>
    <w:rPr>
      <w:rFonts w:eastAsia="Times New Roman" w:cs="Times New Roman"/>
      <w:b/>
      <w:iCs/>
      <w:kern w:val="28"/>
      <w:sz w:val="32"/>
      <w:szCs w:val="28"/>
      <w:lang w:eastAsia="en-AU"/>
    </w:rPr>
  </w:style>
  <w:style w:type="character" w:customStyle="1" w:styleId="Heading3Char">
    <w:name w:val="Heading 3 Char"/>
    <w:basedOn w:val="DefaultParagraphFont"/>
    <w:link w:val="Heading3"/>
    <w:rsid w:val="00013D83"/>
    <w:rPr>
      <w:rFonts w:eastAsia="Times New Roman" w:cs="Times New Roman"/>
      <w:b/>
      <w:kern w:val="28"/>
      <w:sz w:val="28"/>
      <w:szCs w:val="26"/>
      <w:lang w:eastAsia="en-AU"/>
    </w:rPr>
  </w:style>
  <w:style w:type="character" w:customStyle="1" w:styleId="Heading4Char">
    <w:name w:val="Heading 4 Char"/>
    <w:basedOn w:val="DefaultParagraphFont"/>
    <w:link w:val="Heading4"/>
    <w:rsid w:val="00013D83"/>
    <w:rPr>
      <w:rFonts w:eastAsia="Times New Roman" w:cs="Times New Roman"/>
      <w:b/>
      <w:kern w:val="28"/>
      <w:sz w:val="26"/>
      <w:szCs w:val="28"/>
      <w:lang w:eastAsia="en-AU"/>
    </w:rPr>
  </w:style>
  <w:style w:type="character" w:customStyle="1" w:styleId="Heading5Char">
    <w:name w:val="Heading 5 Char"/>
    <w:basedOn w:val="DefaultParagraphFont"/>
    <w:link w:val="Heading5"/>
    <w:rsid w:val="00013D83"/>
    <w:rPr>
      <w:rFonts w:eastAsia="Times New Roman" w:cs="Times New Roman"/>
      <w:b/>
      <w:iCs/>
      <w:kern w:val="28"/>
      <w:sz w:val="24"/>
      <w:szCs w:val="26"/>
      <w:lang w:eastAsia="en-AU"/>
    </w:rPr>
  </w:style>
  <w:style w:type="character" w:customStyle="1" w:styleId="Heading6Char">
    <w:name w:val="Heading 6 Char"/>
    <w:basedOn w:val="DefaultParagraphFont"/>
    <w:link w:val="Heading6"/>
    <w:rsid w:val="00013D83"/>
    <w:rPr>
      <w:rFonts w:ascii="Arial" w:eastAsia="Times New Roman" w:hAnsi="Arial" w:cs="Arial"/>
      <w:b/>
      <w:kern w:val="28"/>
      <w:sz w:val="32"/>
      <w:szCs w:val="22"/>
      <w:lang w:eastAsia="en-AU"/>
    </w:rPr>
  </w:style>
  <w:style w:type="character" w:customStyle="1" w:styleId="Heading7Char">
    <w:name w:val="Heading 7 Char"/>
    <w:basedOn w:val="DefaultParagraphFont"/>
    <w:link w:val="Heading7"/>
    <w:rsid w:val="00013D83"/>
    <w:rPr>
      <w:rFonts w:ascii="Arial" w:eastAsia="Times New Roman" w:hAnsi="Arial" w:cs="Arial"/>
      <w:b/>
      <w:kern w:val="28"/>
      <w:sz w:val="28"/>
      <w:szCs w:val="22"/>
      <w:lang w:eastAsia="en-AU"/>
    </w:rPr>
  </w:style>
  <w:style w:type="character" w:customStyle="1" w:styleId="Heading8Char">
    <w:name w:val="Heading 8 Char"/>
    <w:basedOn w:val="DefaultParagraphFont"/>
    <w:link w:val="Heading8"/>
    <w:rsid w:val="00013D83"/>
    <w:rPr>
      <w:rFonts w:ascii="Arial" w:eastAsia="Times New Roman" w:hAnsi="Arial" w:cs="Arial"/>
      <w:b/>
      <w:iCs/>
      <w:kern w:val="28"/>
      <w:sz w:val="26"/>
      <w:szCs w:val="22"/>
      <w:lang w:eastAsia="en-AU"/>
    </w:rPr>
  </w:style>
  <w:style w:type="character" w:customStyle="1" w:styleId="Heading9Char">
    <w:name w:val="Heading 9 Char"/>
    <w:basedOn w:val="DefaultParagraphFont"/>
    <w:link w:val="Heading9"/>
    <w:rsid w:val="00013D83"/>
    <w:rPr>
      <w:rFonts w:eastAsia="Times New Roman" w:cs="Times New Roman"/>
      <w:b/>
      <w:bCs/>
      <w:i/>
      <w:kern w:val="28"/>
      <w:sz w:val="28"/>
      <w:szCs w:val="22"/>
      <w:lang w:eastAsia="en-AU"/>
    </w:rPr>
  </w:style>
  <w:style w:type="paragraph" w:styleId="BalloonText">
    <w:name w:val="Balloon Text"/>
    <w:basedOn w:val="Normal"/>
    <w:link w:val="BalloonTextChar"/>
    <w:uiPriority w:val="99"/>
    <w:semiHidden/>
    <w:unhideWhenUsed/>
    <w:rsid w:val="002860B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60B3"/>
    <w:rPr>
      <w:rFonts w:ascii="Tahoma" w:hAnsi="Tahoma" w:cs="Tahoma"/>
      <w:sz w:val="16"/>
      <w:szCs w:val="16"/>
    </w:rPr>
  </w:style>
  <w:style w:type="paragraph" w:styleId="BlockText">
    <w:name w:val="Block Text"/>
    <w:rsid w:val="00013D83"/>
    <w:pPr>
      <w:spacing w:after="120"/>
      <w:ind w:left="1440" w:right="1440"/>
    </w:pPr>
    <w:rPr>
      <w:rFonts w:eastAsia="Times New Roman" w:cs="Times New Roman"/>
      <w:sz w:val="22"/>
      <w:szCs w:val="24"/>
      <w:lang w:eastAsia="en-AU"/>
    </w:rPr>
  </w:style>
  <w:style w:type="paragraph" w:styleId="BodyText">
    <w:name w:val="Body Text"/>
    <w:link w:val="BodyTextChar"/>
    <w:rsid w:val="00013D83"/>
    <w:pPr>
      <w:spacing w:after="120"/>
    </w:pPr>
    <w:rPr>
      <w:rFonts w:eastAsia="Times New Roman" w:cs="Times New Roman"/>
      <w:sz w:val="22"/>
      <w:szCs w:val="24"/>
      <w:lang w:eastAsia="en-AU"/>
    </w:rPr>
  </w:style>
  <w:style w:type="character" w:customStyle="1" w:styleId="BodyTextChar">
    <w:name w:val="Body Text Char"/>
    <w:basedOn w:val="DefaultParagraphFont"/>
    <w:link w:val="BodyText"/>
    <w:rsid w:val="00013D83"/>
    <w:rPr>
      <w:rFonts w:eastAsia="Times New Roman" w:cs="Times New Roman"/>
      <w:sz w:val="22"/>
      <w:szCs w:val="24"/>
      <w:lang w:eastAsia="en-AU"/>
    </w:rPr>
  </w:style>
  <w:style w:type="paragraph" w:styleId="BodyText2">
    <w:name w:val="Body Text 2"/>
    <w:link w:val="BodyText2Char"/>
    <w:rsid w:val="00013D83"/>
    <w:pPr>
      <w:spacing w:after="120" w:line="480" w:lineRule="auto"/>
    </w:pPr>
    <w:rPr>
      <w:rFonts w:eastAsia="Times New Roman" w:cs="Times New Roman"/>
      <w:sz w:val="22"/>
      <w:szCs w:val="24"/>
      <w:lang w:eastAsia="en-AU"/>
    </w:rPr>
  </w:style>
  <w:style w:type="character" w:customStyle="1" w:styleId="BodyText2Char">
    <w:name w:val="Body Text 2 Char"/>
    <w:basedOn w:val="DefaultParagraphFont"/>
    <w:link w:val="BodyText2"/>
    <w:rsid w:val="00013D83"/>
    <w:rPr>
      <w:rFonts w:eastAsia="Times New Roman" w:cs="Times New Roman"/>
      <w:sz w:val="22"/>
      <w:szCs w:val="24"/>
      <w:lang w:eastAsia="en-AU"/>
    </w:rPr>
  </w:style>
  <w:style w:type="paragraph" w:styleId="BodyText3">
    <w:name w:val="Body Text 3"/>
    <w:link w:val="BodyText3Char"/>
    <w:rsid w:val="00013D83"/>
    <w:pPr>
      <w:spacing w:after="120"/>
    </w:pPr>
    <w:rPr>
      <w:rFonts w:eastAsia="Times New Roman" w:cs="Times New Roman"/>
      <w:sz w:val="16"/>
      <w:szCs w:val="16"/>
      <w:lang w:eastAsia="en-AU"/>
    </w:rPr>
  </w:style>
  <w:style w:type="character" w:customStyle="1" w:styleId="BodyText3Char">
    <w:name w:val="Body Text 3 Char"/>
    <w:basedOn w:val="DefaultParagraphFont"/>
    <w:link w:val="BodyText3"/>
    <w:rsid w:val="00013D83"/>
    <w:rPr>
      <w:rFonts w:eastAsia="Times New Roman" w:cs="Times New Roman"/>
      <w:sz w:val="16"/>
      <w:szCs w:val="16"/>
      <w:lang w:eastAsia="en-AU"/>
    </w:rPr>
  </w:style>
  <w:style w:type="paragraph" w:styleId="BodyTextFirstIndent">
    <w:name w:val="Body Text First Indent"/>
    <w:basedOn w:val="BodyText"/>
    <w:link w:val="BodyTextFirstIndentChar"/>
    <w:rsid w:val="00013D83"/>
    <w:pPr>
      <w:ind w:firstLine="210"/>
    </w:pPr>
  </w:style>
  <w:style w:type="character" w:customStyle="1" w:styleId="BodyTextFirstIndentChar">
    <w:name w:val="Body Text First Indent Char"/>
    <w:basedOn w:val="BodyTextChar"/>
    <w:link w:val="BodyTextFirstIndent"/>
    <w:rsid w:val="00013D83"/>
    <w:rPr>
      <w:rFonts w:eastAsia="Times New Roman" w:cs="Times New Roman"/>
      <w:sz w:val="22"/>
      <w:szCs w:val="24"/>
      <w:lang w:eastAsia="en-AU"/>
    </w:rPr>
  </w:style>
  <w:style w:type="paragraph" w:styleId="BodyTextIndent">
    <w:name w:val="Body Text Indent"/>
    <w:link w:val="BodyTextIndentChar"/>
    <w:rsid w:val="00013D83"/>
    <w:pPr>
      <w:spacing w:after="120"/>
      <w:ind w:left="283"/>
    </w:pPr>
    <w:rPr>
      <w:rFonts w:eastAsia="Times New Roman" w:cs="Times New Roman"/>
      <w:sz w:val="22"/>
      <w:szCs w:val="24"/>
      <w:lang w:eastAsia="en-AU"/>
    </w:rPr>
  </w:style>
  <w:style w:type="character" w:customStyle="1" w:styleId="BodyTextIndentChar">
    <w:name w:val="Body Text Indent Char"/>
    <w:basedOn w:val="DefaultParagraphFont"/>
    <w:link w:val="BodyTextIndent"/>
    <w:rsid w:val="00013D83"/>
    <w:rPr>
      <w:rFonts w:eastAsia="Times New Roman" w:cs="Times New Roman"/>
      <w:sz w:val="22"/>
      <w:szCs w:val="24"/>
      <w:lang w:eastAsia="en-AU"/>
    </w:rPr>
  </w:style>
  <w:style w:type="paragraph" w:styleId="BodyTextFirstIndent2">
    <w:name w:val="Body Text First Indent 2"/>
    <w:basedOn w:val="BodyTextIndent"/>
    <w:link w:val="BodyTextFirstIndent2Char"/>
    <w:rsid w:val="00013D83"/>
    <w:pPr>
      <w:ind w:firstLine="210"/>
    </w:pPr>
  </w:style>
  <w:style w:type="character" w:customStyle="1" w:styleId="BodyTextFirstIndent2Char">
    <w:name w:val="Body Text First Indent 2 Char"/>
    <w:basedOn w:val="BodyTextIndentChar"/>
    <w:link w:val="BodyTextFirstIndent2"/>
    <w:rsid w:val="00013D83"/>
    <w:rPr>
      <w:rFonts w:eastAsia="Times New Roman" w:cs="Times New Roman"/>
      <w:sz w:val="22"/>
      <w:szCs w:val="24"/>
      <w:lang w:eastAsia="en-AU"/>
    </w:rPr>
  </w:style>
  <w:style w:type="paragraph" w:styleId="BodyTextIndent2">
    <w:name w:val="Body Text Indent 2"/>
    <w:link w:val="BodyTextIndent2Char"/>
    <w:rsid w:val="00013D83"/>
    <w:pPr>
      <w:spacing w:after="120" w:line="480" w:lineRule="auto"/>
      <w:ind w:left="283"/>
    </w:pPr>
    <w:rPr>
      <w:rFonts w:eastAsia="Times New Roman" w:cs="Times New Roman"/>
      <w:sz w:val="22"/>
      <w:szCs w:val="24"/>
      <w:lang w:eastAsia="en-AU"/>
    </w:rPr>
  </w:style>
  <w:style w:type="character" w:customStyle="1" w:styleId="BodyTextIndent2Char">
    <w:name w:val="Body Text Indent 2 Char"/>
    <w:basedOn w:val="DefaultParagraphFont"/>
    <w:link w:val="BodyTextIndent2"/>
    <w:rsid w:val="00013D83"/>
    <w:rPr>
      <w:rFonts w:eastAsia="Times New Roman" w:cs="Times New Roman"/>
      <w:sz w:val="22"/>
      <w:szCs w:val="24"/>
      <w:lang w:eastAsia="en-AU"/>
    </w:rPr>
  </w:style>
  <w:style w:type="paragraph" w:styleId="BodyTextIndent3">
    <w:name w:val="Body Text Indent 3"/>
    <w:link w:val="BodyTextIndent3Char"/>
    <w:rsid w:val="00013D83"/>
    <w:pPr>
      <w:spacing w:after="120"/>
      <w:ind w:left="283"/>
    </w:pPr>
    <w:rPr>
      <w:rFonts w:eastAsia="Times New Roman" w:cs="Times New Roman"/>
      <w:sz w:val="16"/>
      <w:szCs w:val="16"/>
      <w:lang w:eastAsia="en-AU"/>
    </w:rPr>
  </w:style>
  <w:style w:type="character" w:customStyle="1" w:styleId="BodyTextIndent3Char">
    <w:name w:val="Body Text Indent 3 Char"/>
    <w:basedOn w:val="DefaultParagraphFont"/>
    <w:link w:val="BodyTextIndent3"/>
    <w:rsid w:val="00013D83"/>
    <w:rPr>
      <w:rFonts w:eastAsia="Times New Roman" w:cs="Times New Roman"/>
      <w:sz w:val="16"/>
      <w:szCs w:val="16"/>
      <w:lang w:eastAsia="en-AU"/>
    </w:rPr>
  </w:style>
  <w:style w:type="paragraph" w:styleId="Caption">
    <w:name w:val="caption"/>
    <w:next w:val="Normal"/>
    <w:qFormat/>
    <w:rsid w:val="00013D83"/>
    <w:pPr>
      <w:spacing w:before="120" w:after="120"/>
    </w:pPr>
    <w:rPr>
      <w:rFonts w:eastAsia="Times New Roman" w:cs="Times New Roman"/>
      <w:b/>
      <w:bCs/>
      <w:lang w:eastAsia="en-AU"/>
    </w:rPr>
  </w:style>
  <w:style w:type="paragraph" w:styleId="Closing">
    <w:name w:val="Closing"/>
    <w:link w:val="ClosingChar"/>
    <w:rsid w:val="00013D83"/>
    <w:pPr>
      <w:ind w:left="4252"/>
    </w:pPr>
    <w:rPr>
      <w:rFonts w:eastAsia="Times New Roman" w:cs="Times New Roman"/>
      <w:sz w:val="22"/>
      <w:szCs w:val="24"/>
      <w:lang w:eastAsia="en-AU"/>
    </w:rPr>
  </w:style>
  <w:style w:type="character" w:customStyle="1" w:styleId="ClosingChar">
    <w:name w:val="Closing Char"/>
    <w:basedOn w:val="DefaultParagraphFont"/>
    <w:link w:val="Closing"/>
    <w:rsid w:val="00013D83"/>
    <w:rPr>
      <w:rFonts w:eastAsia="Times New Roman" w:cs="Times New Roman"/>
      <w:sz w:val="22"/>
      <w:szCs w:val="24"/>
      <w:lang w:eastAsia="en-AU"/>
    </w:rPr>
  </w:style>
  <w:style w:type="paragraph" w:styleId="CommentText">
    <w:name w:val="annotation text"/>
    <w:link w:val="CommentTextChar"/>
    <w:semiHidden/>
    <w:rsid w:val="00013D83"/>
    <w:rPr>
      <w:rFonts w:eastAsia="Times New Roman" w:cs="Times New Roman"/>
      <w:lang w:eastAsia="en-AU"/>
    </w:rPr>
  </w:style>
  <w:style w:type="character" w:customStyle="1" w:styleId="CommentTextChar">
    <w:name w:val="Comment Text Char"/>
    <w:basedOn w:val="DefaultParagraphFont"/>
    <w:link w:val="CommentText"/>
    <w:semiHidden/>
    <w:rsid w:val="00013D83"/>
    <w:rPr>
      <w:rFonts w:eastAsia="Times New Roman" w:cs="Times New Roman"/>
      <w:lang w:eastAsia="en-AU"/>
    </w:rPr>
  </w:style>
  <w:style w:type="paragraph" w:styleId="Date">
    <w:name w:val="Date"/>
    <w:next w:val="Normal"/>
    <w:link w:val="DateChar"/>
    <w:rsid w:val="00013D83"/>
    <w:rPr>
      <w:rFonts w:eastAsia="Times New Roman" w:cs="Times New Roman"/>
      <w:sz w:val="22"/>
      <w:szCs w:val="24"/>
      <w:lang w:eastAsia="en-AU"/>
    </w:rPr>
  </w:style>
  <w:style w:type="character" w:customStyle="1" w:styleId="DateChar">
    <w:name w:val="Date Char"/>
    <w:basedOn w:val="DefaultParagraphFont"/>
    <w:link w:val="Date"/>
    <w:rsid w:val="00013D83"/>
    <w:rPr>
      <w:rFonts w:eastAsia="Times New Roman" w:cs="Times New Roman"/>
      <w:sz w:val="22"/>
      <w:szCs w:val="24"/>
      <w:lang w:eastAsia="en-AU"/>
    </w:rPr>
  </w:style>
  <w:style w:type="paragraph" w:styleId="DocumentMap">
    <w:name w:val="Document Map"/>
    <w:link w:val="DocumentMapChar"/>
    <w:semiHidden/>
    <w:rsid w:val="00013D83"/>
    <w:pPr>
      <w:shd w:val="clear" w:color="auto" w:fill="000080"/>
    </w:pPr>
    <w:rPr>
      <w:rFonts w:ascii="Tahoma" w:eastAsia="Times New Roman" w:hAnsi="Tahoma" w:cs="Tahoma"/>
      <w:sz w:val="22"/>
      <w:szCs w:val="24"/>
      <w:lang w:eastAsia="en-AU"/>
    </w:rPr>
  </w:style>
  <w:style w:type="character" w:customStyle="1" w:styleId="DocumentMapChar">
    <w:name w:val="Document Map Char"/>
    <w:basedOn w:val="DefaultParagraphFont"/>
    <w:link w:val="DocumentMap"/>
    <w:semiHidden/>
    <w:rsid w:val="00013D83"/>
    <w:rPr>
      <w:rFonts w:ascii="Tahoma" w:eastAsia="Times New Roman" w:hAnsi="Tahoma" w:cs="Tahoma"/>
      <w:sz w:val="22"/>
      <w:szCs w:val="24"/>
      <w:shd w:val="clear" w:color="auto" w:fill="000080"/>
      <w:lang w:eastAsia="en-AU"/>
    </w:rPr>
  </w:style>
  <w:style w:type="paragraph" w:styleId="E-mailSignature">
    <w:name w:val="E-mail Signature"/>
    <w:link w:val="E-mailSignatureChar"/>
    <w:rsid w:val="00013D83"/>
    <w:rPr>
      <w:rFonts w:eastAsia="Times New Roman" w:cs="Times New Roman"/>
      <w:sz w:val="22"/>
      <w:szCs w:val="24"/>
      <w:lang w:eastAsia="en-AU"/>
    </w:rPr>
  </w:style>
  <w:style w:type="character" w:customStyle="1" w:styleId="E-mailSignatureChar">
    <w:name w:val="E-mail Signature Char"/>
    <w:basedOn w:val="DefaultParagraphFont"/>
    <w:link w:val="E-mailSignature"/>
    <w:rsid w:val="00013D83"/>
    <w:rPr>
      <w:rFonts w:eastAsia="Times New Roman" w:cs="Times New Roman"/>
      <w:sz w:val="22"/>
      <w:szCs w:val="24"/>
      <w:lang w:eastAsia="en-AU"/>
    </w:rPr>
  </w:style>
  <w:style w:type="paragraph" w:styleId="EndnoteText">
    <w:name w:val="endnote text"/>
    <w:link w:val="EndnoteTextChar"/>
    <w:semiHidden/>
    <w:rsid w:val="00013D83"/>
    <w:rPr>
      <w:rFonts w:eastAsia="Times New Roman" w:cs="Times New Roman"/>
      <w:lang w:eastAsia="en-AU"/>
    </w:rPr>
  </w:style>
  <w:style w:type="character" w:customStyle="1" w:styleId="EndnoteTextChar">
    <w:name w:val="Endnote Text Char"/>
    <w:basedOn w:val="DefaultParagraphFont"/>
    <w:link w:val="EndnoteText"/>
    <w:semiHidden/>
    <w:rsid w:val="00013D83"/>
    <w:rPr>
      <w:rFonts w:eastAsia="Times New Roman" w:cs="Times New Roman"/>
      <w:lang w:eastAsia="en-AU"/>
    </w:rPr>
  </w:style>
  <w:style w:type="paragraph" w:styleId="EnvelopeAddress">
    <w:name w:val="envelope address"/>
    <w:rsid w:val="00013D83"/>
    <w:pPr>
      <w:framePr w:w="7920" w:h="1980" w:hRule="exact" w:hSpace="180" w:wrap="auto" w:hAnchor="page" w:xAlign="center" w:yAlign="bottom"/>
      <w:ind w:left="2880"/>
    </w:pPr>
    <w:rPr>
      <w:rFonts w:ascii="Arial" w:eastAsia="Times New Roman" w:hAnsi="Arial" w:cs="Arial"/>
      <w:sz w:val="24"/>
      <w:szCs w:val="24"/>
      <w:lang w:eastAsia="en-AU"/>
    </w:rPr>
  </w:style>
  <w:style w:type="paragraph" w:styleId="EnvelopeReturn">
    <w:name w:val="envelope return"/>
    <w:rsid w:val="00013D83"/>
    <w:rPr>
      <w:rFonts w:ascii="Arial" w:eastAsia="Times New Roman" w:hAnsi="Arial" w:cs="Arial"/>
      <w:lang w:eastAsia="en-AU"/>
    </w:rPr>
  </w:style>
  <w:style w:type="paragraph" w:styleId="FootnoteText">
    <w:name w:val="footnote text"/>
    <w:link w:val="FootnoteTextChar"/>
    <w:semiHidden/>
    <w:rsid w:val="00013D83"/>
    <w:rPr>
      <w:rFonts w:eastAsia="Times New Roman" w:cs="Times New Roman"/>
      <w:lang w:eastAsia="en-AU"/>
    </w:rPr>
  </w:style>
  <w:style w:type="character" w:customStyle="1" w:styleId="FootnoteTextChar">
    <w:name w:val="Footnote Text Char"/>
    <w:basedOn w:val="DefaultParagraphFont"/>
    <w:link w:val="FootnoteText"/>
    <w:semiHidden/>
    <w:rsid w:val="00013D83"/>
    <w:rPr>
      <w:rFonts w:eastAsia="Times New Roman" w:cs="Times New Roman"/>
      <w:lang w:eastAsia="en-AU"/>
    </w:rPr>
  </w:style>
  <w:style w:type="paragraph" w:styleId="HTMLAddress">
    <w:name w:val="HTML Address"/>
    <w:link w:val="HTMLAddressChar"/>
    <w:rsid w:val="00013D83"/>
    <w:rPr>
      <w:rFonts w:eastAsia="Times New Roman" w:cs="Times New Roman"/>
      <w:i/>
      <w:iCs/>
      <w:sz w:val="22"/>
      <w:szCs w:val="24"/>
      <w:lang w:eastAsia="en-AU"/>
    </w:rPr>
  </w:style>
  <w:style w:type="character" w:customStyle="1" w:styleId="HTMLAddressChar">
    <w:name w:val="HTML Address Char"/>
    <w:basedOn w:val="DefaultParagraphFont"/>
    <w:link w:val="HTMLAddress"/>
    <w:rsid w:val="00013D83"/>
    <w:rPr>
      <w:rFonts w:eastAsia="Times New Roman" w:cs="Times New Roman"/>
      <w:i/>
      <w:iCs/>
      <w:sz w:val="22"/>
      <w:szCs w:val="24"/>
      <w:lang w:eastAsia="en-AU"/>
    </w:rPr>
  </w:style>
  <w:style w:type="paragraph" w:styleId="HTMLPreformatted">
    <w:name w:val="HTML Preformatted"/>
    <w:link w:val="HTMLPreformattedChar"/>
    <w:rsid w:val="00013D83"/>
    <w:rPr>
      <w:rFonts w:ascii="Courier New" w:eastAsia="Times New Roman" w:hAnsi="Courier New" w:cs="Courier New"/>
      <w:lang w:eastAsia="en-AU"/>
    </w:rPr>
  </w:style>
  <w:style w:type="character" w:customStyle="1" w:styleId="HTMLPreformattedChar">
    <w:name w:val="HTML Preformatted Char"/>
    <w:basedOn w:val="DefaultParagraphFont"/>
    <w:link w:val="HTMLPreformatted"/>
    <w:rsid w:val="00013D83"/>
    <w:rPr>
      <w:rFonts w:ascii="Courier New" w:eastAsia="Times New Roman" w:hAnsi="Courier New" w:cs="Courier New"/>
      <w:lang w:eastAsia="en-AU"/>
    </w:rPr>
  </w:style>
  <w:style w:type="paragraph" w:styleId="Index1">
    <w:name w:val="index 1"/>
    <w:next w:val="Normal"/>
    <w:semiHidden/>
    <w:rsid w:val="00013D83"/>
    <w:pPr>
      <w:ind w:left="220" w:hanging="220"/>
    </w:pPr>
    <w:rPr>
      <w:rFonts w:eastAsia="Times New Roman" w:cs="Times New Roman"/>
      <w:sz w:val="22"/>
      <w:szCs w:val="24"/>
      <w:lang w:eastAsia="en-AU"/>
    </w:rPr>
  </w:style>
  <w:style w:type="paragraph" w:styleId="Index2">
    <w:name w:val="index 2"/>
    <w:next w:val="Normal"/>
    <w:semiHidden/>
    <w:rsid w:val="00013D83"/>
    <w:pPr>
      <w:ind w:left="440" w:hanging="220"/>
    </w:pPr>
    <w:rPr>
      <w:rFonts w:eastAsia="Times New Roman" w:cs="Times New Roman"/>
      <w:sz w:val="22"/>
      <w:szCs w:val="24"/>
      <w:lang w:eastAsia="en-AU"/>
    </w:rPr>
  </w:style>
  <w:style w:type="paragraph" w:styleId="Index3">
    <w:name w:val="index 3"/>
    <w:next w:val="Normal"/>
    <w:semiHidden/>
    <w:rsid w:val="00013D83"/>
    <w:pPr>
      <w:ind w:left="660" w:hanging="220"/>
    </w:pPr>
    <w:rPr>
      <w:rFonts w:eastAsia="Times New Roman" w:cs="Times New Roman"/>
      <w:sz w:val="22"/>
      <w:szCs w:val="24"/>
      <w:lang w:eastAsia="en-AU"/>
    </w:rPr>
  </w:style>
  <w:style w:type="paragraph" w:styleId="Index4">
    <w:name w:val="index 4"/>
    <w:next w:val="Normal"/>
    <w:semiHidden/>
    <w:rsid w:val="00013D83"/>
    <w:pPr>
      <w:ind w:left="880" w:hanging="220"/>
    </w:pPr>
    <w:rPr>
      <w:rFonts w:eastAsia="Times New Roman" w:cs="Times New Roman"/>
      <w:sz w:val="22"/>
      <w:szCs w:val="24"/>
      <w:lang w:eastAsia="en-AU"/>
    </w:rPr>
  </w:style>
  <w:style w:type="paragraph" w:styleId="Index5">
    <w:name w:val="index 5"/>
    <w:next w:val="Normal"/>
    <w:semiHidden/>
    <w:rsid w:val="00013D83"/>
    <w:pPr>
      <w:ind w:left="1100" w:hanging="220"/>
    </w:pPr>
    <w:rPr>
      <w:rFonts w:eastAsia="Times New Roman" w:cs="Times New Roman"/>
      <w:sz w:val="22"/>
      <w:szCs w:val="24"/>
      <w:lang w:eastAsia="en-AU"/>
    </w:rPr>
  </w:style>
  <w:style w:type="paragraph" w:styleId="Index6">
    <w:name w:val="index 6"/>
    <w:next w:val="Normal"/>
    <w:semiHidden/>
    <w:rsid w:val="00013D83"/>
    <w:pPr>
      <w:ind w:left="1320" w:hanging="220"/>
    </w:pPr>
    <w:rPr>
      <w:rFonts w:eastAsia="Times New Roman" w:cs="Times New Roman"/>
      <w:sz w:val="22"/>
      <w:szCs w:val="24"/>
      <w:lang w:eastAsia="en-AU"/>
    </w:rPr>
  </w:style>
  <w:style w:type="paragraph" w:styleId="Index7">
    <w:name w:val="index 7"/>
    <w:next w:val="Normal"/>
    <w:semiHidden/>
    <w:rsid w:val="00013D83"/>
    <w:pPr>
      <w:ind w:left="1540" w:hanging="220"/>
    </w:pPr>
    <w:rPr>
      <w:rFonts w:eastAsia="Times New Roman" w:cs="Times New Roman"/>
      <w:sz w:val="22"/>
      <w:szCs w:val="24"/>
      <w:lang w:eastAsia="en-AU"/>
    </w:rPr>
  </w:style>
  <w:style w:type="paragraph" w:styleId="Index8">
    <w:name w:val="index 8"/>
    <w:next w:val="Normal"/>
    <w:semiHidden/>
    <w:rsid w:val="00013D83"/>
    <w:pPr>
      <w:ind w:left="1760" w:hanging="220"/>
    </w:pPr>
    <w:rPr>
      <w:rFonts w:eastAsia="Times New Roman" w:cs="Times New Roman"/>
      <w:sz w:val="22"/>
      <w:szCs w:val="24"/>
      <w:lang w:eastAsia="en-AU"/>
    </w:rPr>
  </w:style>
  <w:style w:type="paragraph" w:styleId="Index9">
    <w:name w:val="index 9"/>
    <w:next w:val="Normal"/>
    <w:semiHidden/>
    <w:rsid w:val="00013D83"/>
    <w:pPr>
      <w:ind w:left="1980" w:hanging="220"/>
    </w:pPr>
    <w:rPr>
      <w:rFonts w:eastAsia="Times New Roman" w:cs="Times New Roman"/>
      <w:sz w:val="22"/>
      <w:szCs w:val="24"/>
      <w:lang w:eastAsia="en-AU"/>
    </w:rPr>
  </w:style>
  <w:style w:type="paragraph" w:styleId="IndexHeading">
    <w:name w:val="index heading"/>
    <w:next w:val="Index1"/>
    <w:semiHidden/>
    <w:rsid w:val="00013D83"/>
    <w:rPr>
      <w:rFonts w:ascii="Arial" w:eastAsia="Times New Roman" w:hAnsi="Arial" w:cs="Arial"/>
      <w:b/>
      <w:bCs/>
      <w:sz w:val="22"/>
      <w:szCs w:val="24"/>
      <w:lang w:eastAsia="en-AU"/>
    </w:rPr>
  </w:style>
  <w:style w:type="paragraph" w:styleId="List">
    <w:name w:val="List"/>
    <w:rsid w:val="00013D83"/>
    <w:pPr>
      <w:ind w:left="283" w:hanging="283"/>
    </w:pPr>
    <w:rPr>
      <w:rFonts w:eastAsia="Times New Roman" w:cs="Times New Roman"/>
      <w:sz w:val="22"/>
      <w:szCs w:val="24"/>
      <w:lang w:eastAsia="en-AU"/>
    </w:rPr>
  </w:style>
  <w:style w:type="paragraph" w:styleId="List2">
    <w:name w:val="List 2"/>
    <w:rsid w:val="00013D83"/>
    <w:pPr>
      <w:ind w:left="566" w:hanging="283"/>
    </w:pPr>
    <w:rPr>
      <w:rFonts w:eastAsia="Times New Roman" w:cs="Times New Roman"/>
      <w:sz w:val="22"/>
      <w:szCs w:val="24"/>
      <w:lang w:eastAsia="en-AU"/>
    </w:rPr>
  </w:style>
  <w:style w:type="paragraph" w:styleId="List3">
    <w:name w:val="List 3"/>
    <w:rsid w:val="00013D83"/>
    <w:pPr>
      <w:ind w:left="849" w:hanging="283"/>
    </w:pPr>
    <w:rPr>
      <w:rFonts w:eastAsia="Times New Roman" w:cs="Times New Roman"/>
      <w:sz w:val="22"/>
      <w:szCs w:val="24"/>
      <w:lang w:eastAsia="en-AU"/>
    </w:rPr>
  </w:style>
  <w:style w:type="paragraph" w:styleId="List4">
    <w:name w:val="List 4"/>
    <w:rsid w:val="00013D83"/>
    <w:pPr>
      <w:ind w:left="1132" w:hanging="283"/>
    </w:pPr>
    <w:rPr>
      <w:rFonts w:eastAsia="Times New Roman" w:cs="Times New Roman"/>
      <w:sz w:val="22"/>
      <w:szCs w:val="24"/>
      <w:lang w:eastAsia="en-AU"/>
    </w:rPr>
  </w:style>
  <w:style w:type="paragraph" w:styleId="List5">
    <w:name w:val="List 5"/>
    <w:rsid w:val="00013D83"/>
    <w:pPr>
      <w:ind w:left="1415" w:hanging="283"/>
    </w:pPr>
    <w:rPr>
      <w:rFonts w:eastAsia="Times New Roman" w:cs="Times New Roman"/>
      <w:sz w:val="22"/>
      <w:szCs w:val="24"/>
      <w:lang w:eastAsia="en-AU"/>
    </w:rPr>
  </w:style>
  <w:style w:type="paragraph" w:styleId="ListBullet">
    <w:name w:val="List Bullet"/>
    <w:rsid w:val="00013D83"/>
    <w:pPr>
      <w:tabs>
        <w:tab w:val="num" w:pos="360"/>
      </w:tabs>
    </w:pPr>
    <w:rPr>
      <w:rFonts w:eastAsia="Times New Roman" w:cs="Times New Roman"/>
      <w:sz w:val="22"/>
      <w:szCs w:val="24"/>
      <w:lang w:eastAsia="en-AU"/>
    </w:rPr>
  </w:style>
  <w:style w:type="paragraph" w:styleId="ListBullet2">
    <w:name w:val="List Bullet 2"/>
    <w:rsid w:val="00013D83"/>
    <w:pPr>
      <w:tabs>
        <w:tab w:val="num" w:pos="360"/>
      </w:tabs>
    </w:pPr>
    <w:rPr>
      <w:rFonts w:eastAsia="Times New Roman" w:cs="Times New Roman"/>
      <w:sz w:val="22"/>
      <w:szCs w:val="24"/>
      <w:lang w:eastAsia="en-AU"/>
    </w:rPr>
  </w:style>
  <w:style w:type="paragraph" w:styleId="ListBullet3">
    <w:name w:val="List Bullet 3"/>
    <w:rsid w:val="00013D83"/>
    <w:pPr>
      <w:tabs>
        <w:tab w:val="num" w:pos="360"/>
      </w:tabs>
    </w:pPr>
    <w:rPr>
      <w:rFonts w:eastAsia="Times New Roman" w:cs="Times New Roman"/>
      <w:sz w:val="22"/>
      <w:szCs w:val="24"/>
      <w:lang w:eastAsia="en-AU"/>
    </w:rPr>
  </w:style>
  <w:style w:type="paragraph" w:styleId="ListBullet4">
    <w:name w:val="List Bullet 4"/>
    <w:rsid w:val="00013D83"/>
    <w:pPr>
      <w:tabs>
        <w:tab w:val="num" w:pos="360"/>
      </w:tabs>
    </w:pPr>
    <w:rPr>
      <w:rFonts w:eastAsia="Times New Roman" w:cs="Times New Roman"/>
      <w:sz w:val="22"/>
      <w:szCs w:val="24"/>
      <w:lang w:eastAsia="en-AU"/>
    </w:rPr>
  </w:style>
  <w:style w:type="paragraph" w:styleId="ListBullet5">
    <w:name w:val="List Bullet 5"/>
    <w:rsid w:val="00013D83"/>
    <w:pPr>
      <w:tabs>
        <w:tab w:val="num" w:pos="360"/>
      </w:tabs>
    </w:pPr>
    <w:rPr>
      <w:rFonts w:eastAsia="Times New Roman" w:cs="Times New Roman"/>
      <w:sz w:val="22"/>
      <w:szCs w:val="24"/>
      <w:lang w:eastAsia="en-AU"/>
    </w:rPr>
  </w:style>
  <w:style w:type="paragraph" w:styleId="ListContinue">
    <w:name w:val="List Continue"/>
    <w:rsid w:val="00013D83"/>
    <w:pPr>
      <w:spacing w:after="120"/>
      <w:ind w:left="283"/>
    </w:pPr>
    <w:rPr>
      <w:rFonts w:eastAsia="Times New Roman" w:cs="Times New Roman"/>
      <w:sz w:val="22"/>
      <w:szCs w:val="24"/>
      <w:lang w:eastAsia="en-AU"/>
    </w:rPr>
  </w:style>
  <w:style w:type="paragraph" w:styleId="ListContinue2">
    <w:name w:val="List Continue 2"/>
    <w:rsid w:val="00013D83"/>
    <w:pPr>
      <w:spacing w:after="120"/>
      <w:ind w:left="566"/>
    </w:pPr>
    <w:rPr>
      <w:rFonts w:eastAsia="Times New Roman" w:cs="Times New Roman"/>
      <w:sz w:val="22"/>
      <w:szCs w:val="24"/>
      <w:lang w:eastAsia="en-AU"/>
    </w:rPr>
  </w:style>
  <w:style w:type="paragraph" w:styleId="ListContinue3">
    <w:name w:val="List Continue 3"/>
    <w:rsid w:val="00013D83"/>
    <w:pPr>
      <w:spacing w:after="120"/>
      <w:ind w:left="849"/>
    </w:pPr>
    <w:rPr>
      <w:rFonts w:eastAsia="Times New Roman" w:cs="Times New Roman"/>
      <w:sz w:val="22"/>
      <w:szCs w:val="24"/>
      <w:lang w:eastAsia="en-AU"/>
    </w:rPr>
  </w:style>
  <w:style w:type="paragraph" w:styleId="ListContinue4">
    <w:name w:val="List Continue 4"/>
    <w:rsid w:val="00013D83"/>
    <w:pPr>
      <w:spacing w:after="120"/>
      <w:ind w:left="1132"/>
    </w:pPr>
    <w:rPr>
      <w:rFonts w:eastAsia="Times New Roman" w:cs="Times New Roman"/>
      <w:sz w:val="22"/>
      <w:szCs w:val="24"/>
      <w:lang w:eastAsia="en-AU"/>
    </w:rPr>
  </w:style>
  <w:style w:type="paragraph" w:styleId="ListContinue5">
    <w:name w:val="List Continue 5"/>
    <w:rsid w:val="00013D83"/>
    <w:pPr>
      <w:spacing w:after="120"/>
      <w:ind w:left="1415"/>
    </w:pPr>
    <w:rPr>
      <w:rFonts w:eastAsia="Times New Roman" w:cs="Times New Roman"/>
      <w:sz w:val="22"/>
      <w:szCs w:val="24"/>
      <w:lang w:eastAsia="en-AU"/>
    </w:rPr>
  </w:style>
  <w:style w:type="paragraph" w:styleId="ListNumber">
    <w:name w:val="List Number"/>
    <w:rsid w:val="00013D83"/>
    <w:pPr>
      <w:tabs>
        <w:tab w:val="num" w:pos="360"/>
      </w:tabs>
    </w:pPr>
    <w:rPr>
      <w:rFonts w:eastAsia="Times New Roman" w:cs="Times New Roman"/>
      <w:sz w:val="22"/>
      <w:szCs w:val="24"/>
      <w:lang w:eastAsia="en-AU"/>
    </w:rPr>
  </w:style>
  <w:style w:type="paragraph" w:styleId="ListNumber2">
    <w:name w:val="List Number 2"/>
    <w:rsid w:val="00013D83"/>
    <w:pPr>
      <w:tabs>
        <w:tab w:val="num" w:pos="360"/>
      </w:tabs>
    </w:pPr>
    <w:rPr>
      <w:rFonts w:eastAsia="Times New Roman" w:cs="Times New Roman"/>
      <w:sz w:val="22"/>
      <w:szCs w:val="24"/>
      <w:lang w:eastAsia="en-AU"/>
    </w:rPr>
  </w:style>
  <w:style w:type="paragraph" w:styleId="ListNumber3">
    <w:name w:val="List Number 3"/>
    <w:rsid w:val="00013D83"/>
    <w:pPr>
      <w:tabs>
        <w:tab w:val="num" w:pos="360"/>
      </w:tabs>
    </w:pPr>
    <w:rPr>
      <w:rFonts w:eastAsia="Times New Roman" w:cs="Times New Roman"/>
      <w:sz w:val="22"/>
      <w:szCs w:val="24"/>
      <w:lang w:eastAsia="en-AU"/>
    </w:rPr>
  </w:style>
  <w:style w:type="paragraph" w:styleId="ListNumber4">
    <w:name w:val="List Number 4"/>
    <w:rsid w:val="00013D83"/>
    <w:pPr>
      <w:tabs>
        <w:tab w:val="num" w:pos="360"/>
      </w:tabs>
    </w:pPr>
    <w:rPr>
      <w:rFonts w:eastAsia="Times New Roman" w:cs="Times New Roman"/>
      <w:sz w:val="22"/>
      <w:szCs w:val="24"/>
      <w:lang w:eastAsia="en-AU"/>
    </w:rPr>
  </w:style>
  <w:style w:type="paragraph" w:styleId="ListNumber5">
    <w:name w:val="List Number 5"/>
    <w:rsid w:val="00013D83"/>
    <w:pPr>
      <w:tabs>
        <w:tab w:val="num" w:pos="360"/>
      </w:tabs>
    </w:pPr>
    <w:rPr>
      <w:rFonts w:eastAsia="Times New Roman" w:cs="Times New Roman"/>
      <w:sz w:val="22"/>
      <w:szCs w:val="24"/>
      <w:lang w:eastAsia="en-AU"/>
    </w:rPr>
  </w:style>
  <w:style w:type="paragraph" w:styleId="MessageHeader">
    <w:name w:val="Message Header"/>
    <w:link w:val="MessageHeaderChar"/>
    <w:rsid w:val="00013D8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Times New Roman" w:hAnsi="Arial" w:cs="Arial"/>
      <w:sz w:val="24"/>
      <w:szCs w:val="24"/>
      <w:lang w:eastAsia="en-AU"/>
    </w:rPr>
  </w:style>
  <w:style w:type="character" w:customStyle="1" w:styleId="MessageHeaderChar">
    <w:name w:val="Message Header Char"/>
    <w:basedOn w:val="DefaultParagraphFont"/>
    <w:link w:val="MessageHeader"/>
    <w:rsid w:val="00013D83"/>
    <w:rPr>
      <w:rFonts w:ascii="Arial" w:eastAsia="Times New Roman" w:hAnsi="Arial" w:cs="Arial"/>
      <w:sz w:val="24"/>
      <w:szCs w:val="24"/>
      <w:shd w:val="pct20" w:color="auto" w:fill="auto"/>
      <w:lang w:eastAsia="en-AU"/>
    </w:rPr>
  </w:style>
  <w:style w:type="paragraph" w:styleId="NormalWeb">
    <w:name w:val="Normal (Web)"/>
    <w:rsid w:val="00013D83"/>
    <w:rPr>
      <w:rFonts w:eastAsia="Times New Roman" w:cs="Times New Roman"/>
      <w:sz w:val="24"/>
      <w:szCs w:val="24"/>
      <w:lang w:eastAsia="en-AU"/>
    </w:rPr>
  </w:style>
  <w:style w:type="paragraph" w:styleId="NormalIndent">
    <w:name w:val="Normal Indent"/>
    <w:rsid w:val="00013D83"/>
    <w:pPr>
      <w:ind w:left="720"/>
    </w:pPr>
    <w:rPr>
      <w:rFonts w:eastAsia="Times New Roman" w:cs="Times New Roman"/>
      <w:sz w:val="22"/>
      <w:szCs w:val="24"/>
      <w:lang w:eastAsia="en-AU"/>
    </w:rPr>
  </w:style>
  <w:style w:type="paragraph" w:styleId="NoteHeading">
    <w:name w:val="Note Heading"/>
    <w:next w:val="Normal"/>
    <w:link w:val="NoteHeadingChar"/>
    <w:rsid w:val="00013D83"/>
    <w:rPr>
      <w:rFonts w:eastAsia="Times New Roman" w:cs="Times New Roman"/>
      <w:sz w:val="22"/>
      <w:szCs w:val="24"/>
      <w:lang w:eastAsia="en-AU"/>
    </w:rPr>
  </w:style>
  <w:style w:type="character" w:customStyle="1" w:styleId="NoteHeadingChar">
    <w:name w:val="Note Heading Char"/>
    <w:basedOn w:val="DefaultParagraphFont"/>
    <w:link w:val="NoteHeading"/>
    <w:rsid w:val="00013D83"/>
    <w:rPr>
      <w:rFonts w:eastAsia="Times New Roman" w:cs="Times New Roman"/>
      <w:sz w:val="22"/>
      <w:szCs w:val="24"/>
      <w:lang w:eastAsia="en-AU"/>
    </w:rPr>
  </w:style>
  <w:style w:type="paragraph" w:styleId="PlainText">
    <w:name w:val="Plain Text"/>
    <w:link w:val="PlainTextChar"/>
    <w:rsid w:val="00013D83"/>
    <w:rPr>
      <w:rFonts w:ascii="Courier New" w:eastAsia="Times New Roman" w:hAnsi="Courier New" w:cs="Courier New"/>
      <w:sz w:val="22"/>
      <w:lang w:eastAsia="en-AU"/>
    </w:rPr>
  </w:style>
  <w:style w:type="character" w:customStyle="1" w:styleId="PlainTextChar">
    <w:name w:val="Plain Text Char"/>
    <w:basedOn w:val="DefaultParagraphFont"/>
    <w:link w:val="PlainText"/>
    <w:rsid w:val="00013D83"/>
    <w:rPr>
      <w:rFonts w:ascii="Courier New" w:eastAsia="Times New Roman" w:hAnsi="Courier New" w:cs="Courier New"/>
      <w:sz w:val="22"/>
      <w:lang w:eastAsia="en-AU"/>
    </w:rPr>
  </w:style>
  <w:style w:type="paragraph" w:styleId="Salutation">
    <w:name w:val="Salutation"/>
    <w:next w:val="Normal"/>
    <w:link w:val="SalutationChar"/>
    <w:rsid w:val="00013D83"/>
    <w:rPr>
      <w:rFonts w:eastAsia="Times New Roman" w:cs="Times New Roman"/>
      <w:sz w:val="22"/>
      <w:szCs w:val="24"/>
      <w:lang w:eastAsia="en-AU"/>
    </w:rPr>
  </w:style>
  <w:style w:type="character" w:customStyle="1" w:styleId="SalutationChar">
    <w:name w:val="Salutation Char"/>
    <w:basedOn w:val="DefaultParagraphFont"/>
    <w:link w:val="Salutation"/>
    <w:rsid w:val="00013D83"/>
    <w:rPr>
      <w:rFonts w:eastAsia="Times New Roman" w:cs="Times New Roman"/>
      <w:sz w:val="22"/>
      <w:szCs w:val="24"/>
      <w:lang w:eastAsia="en-AU"/>
    </w:rPr>
  </w:style>
  <w:style w:type="paragraph" w:styleId="Signature">
    <w:name w:val="Signature"/>
    <w:link w:val="SignatureChar"/>
    <w:rsid w:val="00013D83"/>
    <w:pPr>
      <w:ind w:left="4252"/>
    </w:pPr>
    <w:rPr>
      <w:rFonts w:eastAsia="Times New Roman" w:cs="Times New Roman"/>
      <w:sz w:val="22"/>
      <w:szCs w:val="24"/>
      <w:lang w:eastAsia="en-AU"/>
    </w:rPr>
  </w:style>
  <w:style w:type="character" w:customStyle="1" w:styleId="SignatureChar">
    <w:name w:val="Signature Char"/>
    <w:basedOn w:val="DefaultParagraphFont"/>
    <w:link w:val="Signature"/>
    <w:rsid w:val="00013D83"/>
    <w:rPr>
      <w:rFonts w:eastAsia="Times New Roman" w:cs="Times New Roman"/>
      <w:sz w:val="22"/>
      <w:szCs w:val="24"/>
      <w:lang w:eastAsia="en-AU"/>
    </w:rPr>
  </w:style>
  <w:style w:type="paragraph" w:styleId="Subtitle">
    <w:name w:val="Subtitle"/>
    <w:link w:val="SubtitleChar"/>
    <w:qFormat/>
    <w:rsid w:val="00013D83"/>
    <w:pPr>
      <w:spacing w:after="60"/>
      <w:jc w:val="center"/>
    </w:pPr>
    <w:rPr>
      <w:rFonts w:ascii="Arial" w:eastAsia="Times New Roman" w:hAnsi="Arial" w:cs="Arial"/>
      <w:sz w:val="24"/>
      <w:szCs w:val="24"/>
      <w:lang w:eastAsia="en-AU"/>
    </w:rPr>
  </w:style>
  <w:style w:type="character" w:customStyle="1" w:styleId="SubtitleChar">
    <w:name w:val="Subtitle Char"/>
    <w:basedOn w:val="DefaultParagraphFont"/>
    <w:link w:val="Subtitle"/>
    <w:rsid w:val="00013D83"/>
    <w:rPr>
      <w:rFonts w:ascii="Arial" w:eastAsia="Times New Roman" w:hAnsi="Arial" w:cs="Arial"/>
      <w:sz w:val="24"/>
      <w:szCs w:val="24"/>
      <w:lang w:eastAsia="en-AU"/>
    </w:rPr>
  </w:style>
  <w:style w:type="paragraph" w:styleId="TableofAuthorities">
    <w:name w:val="table of authorities"/>
    <w:next w:val="Normal"/>
    <w:semiHidden/>
    <w:rsid w:val="00013D83"/>
    <w:pPr>
      <w:ind w:left="220" w:hanging="220"/>
    </w:pPr>
    <w:rPr>
      <w:rFonts w:eastAsia="Times New Roman" w:cs="Times New Roman"/>
      <w:sz w:val="22"/>
      <w:szCs w:val="24"/>
      <w:lang w:eastAsia="en-AU"/>
    </w:rPr>
  </w:style>
  <w:style w:type="paragraph" w:styleId="TableofFigures">
    <w:name w:val="table of figures"/>
    <w:next w:val="Normal"/>
    <w:semiHidden/>
    <w:rsid w:val="00013D83"/>
    <w:pPr>
      <w:ind w:left="440" w:hanging="440"/>
    </w:pPr>
    <w:rPr>
      <w:rFonts w:eastAsia="Times New Roman" w:cs="Times New Roman"/>
      <w:sz w:val="22"/>
      <w:szCs w:val="24"/>
      <w:lang w:eastAsia="en-AU"/>
    </w:rPr>
  </w:style>
  <w:style w:type="paragraph" w:styleId="Title">
    <w:name w:val="Title"/>
    <w:link w:val="TitleChar"/>
    <w:qFormat/>
    <w:rsid w:val="00013D83"/>
    <w:pPr>
      <w:spacing w:before="240" w:after="60"/>
      <w:jc w:val="center"/>
    </w:pPr>
    <w:rPr>
      <w:rFonts w:ascii="Arial" w:eastAsia="Times New Roman" w:hAnsi="Arial" w:cs="Arial"/>
      <w:b/>
      <w:bCs/>
      <w:kern w:val="28"/>
      <w:sz w:val="32"/>
      <w:szCs w:val="32"/>
      <w:lang w:eastAsia="en-AU"/>
    </w:rPr>
  </w:style>
  <w:style w:type="character" w:customStyle="1" w:styleId="TitleChar">
    <w:name w:val="Title Char"/>
    <w:basedOn w:val="DefaultParagraphFont"/>
    <w:link w:val="Title"/>
    <w:rsid w:val="00013D83"/>
    <w:rPr>
      <w:rFonts w:ascii="Arial" w:eastAsia="Times New Roman" w:hAnsi="Arial" w:cs="Arial"/>
      <w:b/>
      <w:bCs/>
      <w:kern w:val="28"/>
      <w:sz w:val="32"/>
      <w:szCs w:val="32"/>
      <w:lang w:eastAsia="en-AU"/>
    </w:rPr>
  </w:style>
  <w:style w:type="paragraph" w:styleId="TOAHeading">
    <w:name w:val="toa heading"/>
    <w:next w:val="Normal"/>
    <w:semiHidden/>
    <w:rsid w:val="00013D83"/>
    <w:pPr>
      <w:spacing w:before="120"/>
    </w:pPr>
    <w:rPr>
      <w:rFonts w:ascii="Arial" w:eastAsia="Times New Roman" w:hAnsi="Arial" w:cs="Arial"/>
      <w:b/>
      <w:bCs/>
      <w:sz w:val="24"/>
      <w:szCs w:val="24"/>
      <w:lang w:eastAsia="en-AU"/>
    </w:rPr>
  </w:style>
  <w:style w:type="character" w:styleId="CommentReference">
    <w:name w:val="annotation reference"/>
    <w:basedOn w:val="DefaultParagraphFont"/>
    <w:semiHidden/>
    <w:rsid w:val="00013D83"/>
    <w:rPr>
      <w:sz w:val="16"/>
      <w:szCs w:val="16"/>
    </w:rPr>
  </w:style>
  <w:style w:type="paragraph" w:styleId="CommentSubject">
    <w:name w:val="annotation subject"/>
    <w:next w:val="CommentText"/>
    <w:link w:val="CommentSubjectChar"/>
    <w:semiHidden/>
    <w:rsid w:val="00013D83"/>
    <w:rPr>
      <w:rFonts w:eastAsia="Times New Roman" w:cs="Times New Roman"/>
      <w:b/>
      <w:bCs/>
      <w:szCs w:val="24"/>
      <w:lang w:eastAsia="en-AU"/>
    </w:rPr>
  </w:style>
  <w:style w:type="character" w:customStyle="1" w:styleId="CommentSubjectChar">
    <w:name w:val="Comment Subject Char"/>
    <w:basedOn w:val="CommentTextChar"/>
    <w:link w:val="CommentSubject"/>
    <w:semiHidden/>
    <w:rsid w:val="00013D83"/>
    <w:rPr>
      <w:rFonts w:eastAsia="Times New Roman" w:cs="Times New Roman"/>
      <w:b/>
      <w:bCs/>
      <w:szCs w:val="24"/>
      <w:lang w:eastAsia="en-AU"/>
    </w:rPr>
  </w:style>
  <w:style w:type="character" w:styleId="Emphasis">
    <w:name w:val="Emphasis"/>
    <w:basedOn w:val="DefaultParagraphFont"/>
    <w:qFormat/>
    <w:rsid w:val="00013D83"/>
    <w:rPr>
      <w:i/>
      <w:iCs/>
    </w:rPr>
  </w:style>
  <w:style w:type="character" w:styleId="EndnoteReference">
    <w:name w:val="endnote reference"/>
    <w:basedOn w:val="DefaultParagraphFont"/>
    <w:semiHidden/>
    <w:rsid w:val="00013D83"/>
    <w:rPr>
      <w:vertAlign w:val="superscript"/>
    </w:rPr>
  </w:style>
  <w:style w:type="character" w:styleId="FollowedHyperlink">
    <w:name w:val="FollowedHyperlink"/>
    <w:basedOn w:val="DefaultParagraphFont"/>
    <w:rsid w:val="00013D83"/>
    <w:rPr>
      <w:color w:val="800080"/>
      <w:u w:val="single"/>
    </w:rPr>
  </w:style>
  <w:style w:type="character" w:styleId="FootnoteReference">
    <w:name w:val="footnote reference"/>
    <w:basedOn w:val="DefaultParagraphFont"/>
    <w:semiHidden/>
    <w:rsid w:val="00013D83"/>
    <w:rPr>
      <w:vertAlign w:val="superscript"/>
    </w:rPr>
  </w:style>
  <w:style w:type="character" w:styleId="HTMLAcronym">
    <w:name w:val="HTML Acronym"/>
    <w:basedOn w:val="DefaultParagraphFont"/>
    <w:rsid w:val="00013D83"/>
  </w:style>
  <w:style w:type="character" w:styleId="HTMLCite">
    <w:name w:val="HTML Cite"/>
    <w:basedOn w:val="DefaultParagraphFont"/>
    <w:rsid w:val="00013D83"/>
    <w:rPr>
      <w:i/>
      <w:iCs/>
    </w:rPr>
  </w:style>
  <w:style w:type="character" w:styleId="HTMLCode">
    <w:name w:val="HTML Code"/>
    <w:basedOn w:val="DefaultParagraphFont"/>
    <w:rsid w:val="00013D83"/>
    <w:rPr>
      <w:rFonts w:ascii="Courier New" w:hAnsi="Courier New" w:cs="Courier New"/>
      <w:sz w:val="20"/>
      <w:szCs w:val="20"/>
    </w:rPr>
  </w:style>
  <w:style w:type="character" w:styleId="HTMLDefinition">
    <w:name w:val="HTML Definition"/>
    <w:basedOn w:val="DefaultParagraphFont"/>
    <w:rsid w:val="00013D83"/>
    <w:rPr>
      <w:i/>
      <w:iCs/>
    </w:rPr>
  </w:style>
  <w:style w:type="character" w:styleId="HTMLKeyboard">
    <w:name w:val="HTML Keyboard"/>
    <w:basedOn w:val="DefaultParagraphFont"/>
    <w:rsid w:val="00013D83"/>
    <w:rPr>
      <w:rFonts w:ascii="Courier New" w:hAnsi="Courier New" w:cs="Courier New"/>
      <w:sz w:val="20"/>
      <w:szCs w:val="20"/>
    </w:rPr>
  </w:style>
  <w:style w:type="character" w:styleId="HTMLSample">
    <w:name w:val="HTML Sample"/>
    <w:basedOn w:val="DefaultParagraphFont"/>
    <w:rsid w:val="00013D83"/>
    <w:rPr>
      <w:rFonts w:ascii="Courier New" w:hAnsi="Courier New" w:cs="Courier New"/>
    </w:rPr>
  </w:style>
  <w:style w:type="character" w:styleId="HTMLTypewriter">
    <w:name w:val="HTML Typewriter"/>
    <w:basedOn w:val="DefaultParagraphFont"/>
    <w:rsid w:val="00013D83"/>
    <w:rPr>
      <w:rFonts w:ascii="Courier New" w:hAnsi="Courier New" w:cs="Courier New"/>
      <w:sz w:val="20"/>
      <w:szCs w:val="20"/>
    </w:rPr>
  </w:style>
  <w:style w:type="character" w:styleId="HTMLVariable">
    <w:name w:val="HTML Variable"/>
    <w:basedOn w:val="DefaultParagraphFont"/>
    <w:rsid w:val="00013D83"/>
    <w:rPr>
      <w:i/>
      <w:iCs/>
    </w:rPr>
  </w:style>
  <w:style w:type="character" w:styleId="Hyperlink">
    <w:name w:val="Hyperlink"/>
    <w:basedOn w:val="DefaultParagraphFont"/>
    <w:rsid w:val="00013D83"/>
    <w:rPr>
      <w:color w:val="0000FF"/>
      <w:u w:val="single"/>
    </w:rPr>
  </w:style>
  <w:style w:type="character" w:styleId="LineNumber">
    <w:name w:val="line number"/>
    <w:basedOn w:val="DefaultParagraphFont"/>
    <w:rsid w:val="00013D83"/>
    <w:rPr>
      <w:sz w:val="16"/>
    </w:rPr>
  </w:style>
  <w:style w:type="paragraph" w:styleId="MacroText">
    <w:name w:val="macro"/>
    <w:link w:val="MacroTextChar"/>
    <w:semiHidden/>
    <w:rsid w:val="00013D83"/>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eastAsia="Times New Roman" w:hAnsi="Courier New" w:cs="Courier New"/>
      <w:lang w:eastAsia="en-AU"/>
    </w:rPr>
  </w:style>
  <w:style w:type="character" w:customStyle="1" w:styleId="MacroTextChar">
    <w:name w:val="Macro Text Char"/>
    <w:basedOn w:val="DefaultParagraphFont"/>
    <w:link w:val="MacroText"/>
    <w:semiHidden/>
    <w:rsid w:val="00013D83"/>
    <w:rPr>
      <w:rFonts w:ascii="Courier New" w:eastAsia="Times New Roman" w:hAnsi="Courier New" w:cs="Courier New"/>
      <w:lang w:eastAsia="en-AU"/>
    </w:rPr>
  </w:style>
  <w:style w:type="character" w:styleId="Strong">
    <w:name w:val="Strong"/>
    <w:basedOn w:val="DefaultParagraphFont"/>
    <w:qFormat/>
    <w:rsid w:val="00013D83"/>
    <w:rPr>
      <w:b/>
      <w:bCs/>
    </w:rPr>
  </w:style>
  <w:style w:type="paragraph" w:customStyle="1" w:styleId="Special3">
    <w:name w:val="Special 3"/>
    <w:basedOn w:val="Head3"/>
    <w:rsid w:val="00013D83"/>
    <w:pPr>
      <w:outlineLvl w:val="9"/>
    </w:pPr>
    <w:rPr>
      <w:rFonts w:cs="Arial"/>
      <w:szCs w:val="24"/>
    </w:rPr>
  </w:style>
  <w:style w:type="paragraph" w:customStyle="1" w:styleId="Special2">
    <w:name w:val="Special 2"/>
    <w:basedOn w:val="Head2"/>
    <w:rsid w:val="00013D83"/>
    <w:pPr>
      <w:outlineLvl w:val="9"/>
    </w:pPr>
    <w:rPr>
      <w:rFonts w:cs="Arial"/>
      <w:szCs w:val="24"/>
    </w:rPr>
  </w:style>
  <w:style w:type="paragraph" w:customStyle="1" w:styleId="TLPboxbullet">
    <w:name w:val="TLPboxbullet"/>
    <w:basedOn w:val="Normal"/>
    <w:rsid w:val="00013D83"/>
    <w:pPr>
      <w:pBdr>
        <w:top w:val="single" w:sz="6" w:space="5" w:color="auto"/>
        <w:left w:val="single" w:sz="6" w:space="5" w:color="auto"/>
        <w:bottom w:val="single" w:sz="6" w:space="5" w:color="auto"/>
        <w:right w:val="single" w:sz="6" w:space="5" w:color="auto"/>
      </w:pBdr>
      <w:tabs>
        <w:tab w:val="right" w:pos="1531"/>
      </w:tabs>
      <w:spacing w:before="120" w:line="240" w:lineRule="atLeast"/>
      <w:ind w:left="1673" w:hanging="539"/>
    </w:pPr>
    <w:rPr>
      <w:rFonts w:eastAsia="Times New Roman" w:cs="Times New Roman"/>
      <w:lang w:eastAsia="en-AU"/>
    </w:rPr>
  </w:style>
  <w:style w:type="paragraph" w:customStyle="1" w:styleId="Note">
    <w:name w:val="Note"/>
    <w:basedOn w:val="Normal"/>
    <w:rsid w:val="00013D83"/>
    <w:pPr>
      <w:keepLines/>
      <w:spacing w:before="120"/>
      <w:ind w:left="1814" w:hanging="680"/>
    </w:pPr>
    <w:rPr>
      <w:rFonts w:eastAsia="Times New Roman" w:cs="Times New Roman"/>
      <w:sz w:val="18"/>
      <w:lang w:eastAsia="en-AU"/>
    </w:rPr>
  </w:style>
  <w:style w:type="paragraph" w:customStyle="1" w:styleId="ItalHead">
    <w:name w:val="ItalHead"/>
    <w:basedOn w:val="Normal"/>
    <w:rsid w:val="00013D83"/>
    <w:pPr>
      <w:spacing w:before="240"/>
    </w:pPr>
    <w:rPr>
      <w:rFonts w:eastAsia="Times New Roman" w:cs="Times New Roman"/>
      <w:i/>
      <w:lang w:eastAsia="en-AU"/>
    </w:rPr>
  </w:style>
  <w:style w:type="paragraph" w:customStyle="1" w:styleId="Blocksdot">
    <w:name w:val="Blocksdot"/>
    <w:aliases w:val="bbd"/>
    <w:basedOn w:val="Blocks"/>
    <w:rsid w:val="00013D83"/>
    <w:pPr>
      <w:ind w:left="1003" w:hanging="283"/>
    </w:pPr>
  </w:style>
  <w:style w:type="paragraph" w:customStyle="1" w:styleId="NoteDraftingDirection">
    <w:name w:val="Note Drafting Direction"/>
    <w:basedOn w:val="OPCParaBase"/>
    <w:rsid w:val="002860B3"/>
    <w:pPr>
      <w:spacing w:before="120"/>
      <w:ind w:left="1134" w:hanging="1134"/>
    </w:pPr>
    <w:rPr>
      <w:sz w:val="18"/>
    </w:rPr>
  </w:style>
  <w:style w:type="paragraph" w:customStyle="1" w:styleId="FreeForm">
    <w:name w:val="FreeForm"/>
    <w:rsid w:val="002860B3"/>
    <w:rPr>
      <w:rFonts w:ascii="Arial" w:hAnsi="Arial"/>
      <w:sz w:val="22"/>
    </w:rPr>
  </w:style>
  <w:style w:type="paragraph" w:customStyle="1" w:styleId="Issued">
    <w:name w:val="Issued"/>
    <w:basedOn w:val="Body"/>
    <w:rsid w:val="002860B3"/>
    <w:pPr>
      <w:spacing w:before="120"/>
    </w:pPr>
    <w:rPr>
      <w:b/>
      <w:sz w:val="28"/>
    </w:rPr>
  </w:style>
  <w:style w:type="paragraph" w:customStyle="1" w:styleId="Release">
    <w:name w:val="Release"/>
    <w:basedOn w:val="Body"/>
    <w:rsid w:val="002860B3"/>
    <w:rPr>
      <w:b/>
    </w:rPr>
  </w:style>
  <w:style w:type="paragraph" w:customStyle="1" w:styleId="Speciald">
    <w:name w:val="Special d"/>
    <w:basedOn w:val="ActHead3"/>
    <w:link w:val="SpecialdChar"/>
    <w:rsid w:val="000C12AB"/>
    <w:pPr>
      <w:outlineLvl w:val="9"/>
    </w:pPr>
  </w:style>
  <w:style w:type="character" w:customStyle="1" w:styleId="OPCParaBaseChar">
    <w:name w:val="OPCParaBase Char"/>
    <w:basedOn w:val="DefaultParagraphFont"/>
    <w:link w:val="OPCParaBase"/>
    <w:rsid w:val="000C12AB"/>
    <w:rPr>
      <w:rFonts w:eastAsia="Times New Roman" w:cs="Times New Roman"/>
      <w:sz w:val="22"/>
      <w:lang w:eastAsia="en-AU"/>
    </w:rPr>
  </w:style>
  <w:style w:type="character" w:customStyle="1" w:styleId="ActHead3Char">
    <w:name w:val="ActHead 3 Char"/>
    <w:aliases w:val="d Char"/>
    <w:basedOn w:val="OPCParaBaseChar"/>
    <w:link w:val="ActHead3"/>
    <w:rsid w:val="000C12AB"/>
    <w:rPr>
      <w:rFonts w:eastAsia="Times New Roman" w:cs="Times New Roman"/>
      <w:b/>
      <w:kern w:val="28"/>
      <w:sz w:val="28"/>
      <w:lang w:eastAsia="en-AU"/>
    </w:rPr>
  </w:style>
  <w:style w:type="character" w:customStyle="1" w:styleId="SpecialdChar">
    <w:name w:val="Special d Char"/>
    <w:basedOn w:val="ActHead3Char"/>
    <w:link w:val="Speciald"/>
    <w:rsid w:val="000C12AB"/>
    <w:rPr>
      <w:rFonts w:eastAsia="Times New Roman" w:cs="Times New Roman"/>
      <w:b/>
      <w:kern w:val="28"/>
      <w:sz w:val="28"/>
      <w:lang w:eastAsia="en-AU"/>
    </w:rPr>
  </w:style>
  <w:style w:type="paragraph" w:customStyle="1" w:styleId="Specialsd">
    <w:name w:val="Special sd"/>
    <w:basedOn w:val="ActHead4"/>
    <w:link w:val="SpecialsdChar"/>
    <w:rsid w:val="000C12AB"/>
    <w:pPr>
      <w:outlineLvl w:val="9"/>
    </w:pPr>
  </w:style>
  <w:style w:type="character" w:customStyle="1" w:styleId="ActHead4Char">
    <w:name w:val="ActHead 4 Char"/>
    <w:aliases w:val="sd Char"/>
    <w:basedOn w:val="OPCParaBaseChar"/>
    <w:link w:val="ActHead4"/>
    <w:rsid w:val="000C12AB"/>
    <w:rPr>
      <w:rFonts w:eastAsia="Times New Roman" w:cs="Times New Roman"/>
      <w:b/>
      <w:kern w:val="28"/>
      <w:sz w:val="26"/>
      <w:lang w:eastAsia="en-AU"/>
    </w:rPr>
  </w:style>
  <w:style w:type="character" w:customStyle="1" w:styleId="SpecialsdChar">
    <w:name w:val="Special sd Char"/>
    <w:basedOn w:val="ActHead4Char"/>
    <w:link w:val="Specialsd"/>
    <w:rsid w:val="000C12AB"/>
    <w:rPr>
      <w:rFonts w:eastAsia="Times New Roman" w:cs="Times New Roman"/>
      <w:b/>
      <w:kern w:val="28"/>
      <w:sz w:val="26"/>
      <w:lang w:eastAsia="en-AU"/>
    </w:rPr>
  </w:style>
  <w:style w:type="paragraph" w:customStyle="1" w:styleId="Specials">
    <w:name w:val="Special s"/>
    <w:basedOn w:val="ActHead5"/>
    <w:link w:val="SpecialsChar"/>
    <w:rsid w:val="000C12AB"/>
    <w:pPr>
      <w:outlineLvl w:val="9"/>
    </w:pPr>
  </w:style>
  <w:style w:type="character" w:customStyle="1" w:styleId="ActHead5Char">
    <w:name w:val="ActHead 5 Char"/>
    <w:aliases w:val="s Char"/>
    <w:basedOn w:val="OPCParaBaseChar"/>
    <w:link w:val="ActHead5"/>
    <w:rsid w:val="000C12AB"/>
    <w:rPr>
      <w:rFonts w:eastAsia="Times New Roman" w:cs="Times New Roman"/>
      <w:b/>
      <w:kern w:val="28"/>
      <w:sz w:val="24"/>
      <w:lang w:eastAsia="en-AU"/>
    </w:rPr>
  </w:style>
  <w:style w:type="character" w:customStyle="1" w:styleId="SpecialsChar">
    <w:name w:val="Special s Char"/>
    <w:basedOn w:val="ActHead5Char"/>
    <w:link w:val="Specials"/>
    <w:rsid w:val="000C12AB"/>
    <w:rPr>
      <w:rFonts w:eastAsia="Times New Roman" w:cs="Times New Roman"/>
      <w:b/>
      <w:kern w:val="28"/>
      <w:sz w:val="24"/>
      <w:lang w:eastAsia="en-AU"/>
    </w:rPr>
  </w:style>
  <w:style w:type="paragraph" w:customStyle="1" w:styleId="SOText">
    <w:name w:val="SO Text"/>
    <w:aliases w:val="sot"/>
    <w:link w:val="SOTextChar"/>
    <w:rsid w:val="002860B3"/>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2860B3"/>
    <w:rPr>
      <w:sz w:val="22"/>
    </w:rPr>
  </w:style>
  <w:style w:type="paragraph" w:customStyle="1" w:styleId="SOTextNote">
    <w:name w:val="SO TextNote"/>
    <w:aliases w:val="sont"/>
    <w:basedOn w:val="SOText"/>
    <w:qFormat/>
    <w:rsid w:val="002860B3"/>
    <w:pPr>
      <w:spacing w:before="122" w:line="198" w:lineRule="exact"/>
      <w:ind w:left="1843" w:hanging="709"/>
    </w:pPr>
    <w:rPr>
      <w:sz w:val="18"/>
    </w:rPr>
  </w:style>
  <w:style w:type="paragraph" w:customStyle="1" w:styleId="SOPara">
    <w:name w:val="SO Para"/>
    <w:aliases w:val="soa"/>
    <w:basedOn w:val="SOText"/>
    <w:link w:val="SOParaChar"/>
    <w:qFormat/>
    <w:rsid w:val="002860B3"/>
    <w:pPr>
      <w:tabs>
        <w:tab w:val="right" w:pos="1786"/>
      </w:tabs>
      <w:spacing w:before="40"/>
      <w:ind w:left="2070" w:hanging="936"/>
    </w:pPr>
  </w:style>
  <w:style w:type="character" w:customStyle="1" w:styleId="SOParaChar">
    <w:name w:val="SO Para Char"/>
    <w:aliases w:val="soa Char"/>
    <w:basedOn w:val="DefaultParagraphFont"/>
    <w:link w:val="SOPara"/>
    <w:rsid w:val="002860B3"/>
    <w:rPr>
      <w:sz w:val="22"/>
    </w:rPr>
  </w:style>
  <w:style w:type="paragraph" w:customStyle="1" w:styleId="FileName">
    <w:name w:val="FileName"/>
    <w:basedOn w:val="Normal"/>
    <w:rsid w:val="002860B3"/>
  </w:style>
  <w:style w:type="paragraph" w:customStyle="1" w:styleId="TableHeading">
    <w:name w:val="TableHeading"/>
    <w:aliases w:val="th"/>
    <w:basedOn w:val="OPCParaBase"/>
    <w:next w:val="Tabletext"/>
    <w:rsid w:val="002860B3"/>
    <w:pPr>
      <w:keepNext/>
      <w:spacing w:before="60" w:line="240" w:lineRule="atLeast"/>
    </w:pPr>
    <w:rPr>
      <w:b/>
      <w:sz w:val="20"/>
    </w:rPr>
  </w:style>
  <w:style w:type="paragraph" w:customStyle="1" w:styleId="SOHeadBold">
    <w:name w:val="SO HeadBold"/>
    <w:aliases w:val="sohb"/>
    <w:basedOn w:val="SOText"/>
    <w:next w:val="SOText"/>
    <w:link w:val="SOHeadBoldChar"/>
    <w:qFormat/>
    <w:rsid w:val="002860B3"/>
    <w:rPr>
      <w:b/>
    </w:rPr>
  </w:style>
  <w:style w:type="character" w:customStyle="1" w:styleId="SOHeadBoldChar">
    <w:name w:val="SO HeadBold Char"/>
    <w:aliases w:val="sohb Char"/>
    <w:basedOn w:val="DefaultParagraphFont"/>
    <w:link w:val="SOHeadBold"/>
    <w:rsid w:val="002860B3"/>
    <w:rPr>
      <w:b/>
      <w:sz w:val="22"/>
    </w:rPr>
  </w:style>
  <w:style w:type="paragraph" w:customStyle="1" w:styleId="SOHeadItalic">
    <w:name w:val="SO HeadItalic"/>
    <w:aliases w:val="sohi"/>
    <w:basedOn w:val="SOText"/>
    <w:next w:val="SOText"/>
    <w:link w:val="SOHeadItalicChar"/>
    <w:qFormat/>
    <w:rsid w:val="002860B3"/>
    <w:rPr>
      <w:i/>
    </w:rPr>
  </w:style>
  <w:style w:type="character" w:customStyle="1" w:styleId="SOHeadItalicChar">
    <w:name w:val="SO HeadItalic Char"/>
    <w:aliases w:val="sohi Char"/>
    <w:basedOn w:val="DefaultParagraphFont"/>
    <w:link w:val="SOHeadItalic"/>
    <w:rsid w:val="002860B3"/>
    <w:rPr>
      <w:i/>
      <w:sz w:val="22"/>
    </w:rPr>
  </w:style>
  <w:style w:type="paragraph" w:customStyle="1" w:styleId="SOBullet">
    <w:name w:val="SO Bullet"/>
    <w:aliases w:val="sotb"/>
    <w:basedOn w:val="SOText"/>
    <w:link w:val="SOBulletChar"/>
    <w:qFormat/>
    <w:rsid w:val="002860B3"/>
    <w:pPr>
      <w:ind w:left="1559" w:hanging="425"/>
    </w:pPr>
  </w:style>
  <w:style w:type="character" w:customStyle="1" w:styleId="SOBulletChar">
    <w:name w:val="SO Bullet Char"/>
    <w:aliases w:val="sotb Char"/>
    <w:basedOn w:val="DefaultParagraphFont"/>
    <w:link w:val="SOBullet"/>
    <w:rsid w:val="002860B3"/>
    <w:rPr>
      <w:sz w:val="22"/>
    </w:rPr>
  </w:style>
  <w:style w:type="paragraph" w:customStyle="1" w:styleId="SOBulletNote">
    <w:name w:val="SO BulletNote"/>
    <w:aliases w:val="sonb"/>
    <w:basedOn w:val="SOTextNote"/>
    <w:link w:val="SOBulletNoteChar"/>
    <w:qFormat/>
    <w:rsid w:val="002860B3"/>
    <w:pPr>
      <w:tabs>
        <w:tab w:val="left" w:pos="1560"/>
      </w:tabs>
      <w:ind w:left="2268" w:hanging="1134"/>
    </w:pPr>
  </w:style>
  <w:style w:type="character" w:customStyle="1" w:styleId="SOBulletNoteChar">
    <w:name w:val="SO BulletNote Char"/>
    <w:aliases w:val="sonb Char"/>
    <w:basedOn w:val="DefaultParagraphFont"/>
    <w:link w:val="SOBulletNote"/>
    <w:rsid w:val="002860B3"/>
    <w:rPr>
      <w:sz w:val="18"/>
    </w:rPr>
  </w:style>
  <w:style w:type="paragraph" w:customStyle="1" w:styleId="SubPartCASA">
    <w:name w:val="SubPart(CASA)"/>
    <w:aliases w:val="csp"/>
    <w:basedOn w:val="OPCParaBase"/>
    <w:next w:val="ActHead3"/>
    <w:rsid w:val="002860B3"/>
    <w:pPr>
      <w:keepNext/>
      <w:keepLines/>
      <w:spacing w:before="280"/>
      <w:ind w:left="1134" w:hanging="1134"/>
      <w:outlineLvl w:val="1"/>
    </w:pPr>
    <w:rPr>
      <w:b/>
      <w:kern w:val="28"/>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Office%20Documents\Drafting%20Direc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CEBF06-8098-4390-AD61-AA09E9F82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Drafting Directions.dotx</Template>
  <TotalTime>0</TotalTime>
  <Pages>38</Pages>
  <Words>10701</Words>
  <Characters>51581</Characters>
  <Application>Microsoft Office Word</Application>
  <DocSecurity>12</DocSecurity>
  <Lines>1289</Lines>
  <Paragraphs>929</Paragraphs>
  <ScaleCrop>false</ScaleCrop>
  <HeadingPairs>
    <vt:vector size="2" baseType="variant">
      <vt:variant>
        <vt:lpstr>Title</vt:lpstr>
      </vt:variant>
      <vt:variant>
        <vt:i4>1</vt:i4>
      </vt:variant>
    </vt:vector>
  </HeadingPairs>
  <TitlesOfParts>
    <vt:vector size="1" baseType="lpstr">
      <vt:lpstr>Drafting Direction No. 1.8 Special rules for Tax Code drafting</vt:lpstr>
    </vt:vector>
  </TitlesOfParts>
  <Company>Office of Parliamentary Counsel</Company>
  <LinksUpToDate>false</LinksUpToDate>
  <CharactersWithSpaces>61353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Drafting Direction No. 1.8 Special rules for Tax Code drafting</dc:title>
  <dc:subject/>
  <dc:creator>Bevan Hewitt Murray</dc:creator>
  <cp:keywords/>
  <dc:description/>
  <cp:lastModifiedBy>Daluwatta, Yathasha</cp:lastModifiedBy>
  <cp:revision>2</cp:revision>
  <cp:lastPrinted>2023-08-16T04:56:00Z</cp:lastPrinted>
  <dcterms:created xsi:type="dcterms:W3CDTF">2023-10-12T00:05:00Z</dcterms:created>
  <dcterms:modified xsi:type="dcterms:W3CDTF">2023-10-12T00:05:00Z</dcterms:modified>
  <cp:category>Other - Reissued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OFFICIAL</vt:lpwstr>
  </property>
  <property fmtid="{D5CDD505-2E9C-101B-9397-08002B2CF9AE}" pid="3" name="DLM">
    <vt:lpwstr> </vt:lpwstr>
  </property>
  <property fmtid="{D5CDD505-2E9C-101B-9397-08002B2CF9AE}" pid="4" name="DoNotAsk">
    <vt:lpwstr>0</vt:lpwstr>
  </property>
  <property fmtid="{D5CDD505-2E9C-101B-9397-08002B2CF9AE}" pid="5" name="ChangedTitle">
    <vt:lpwstr/>
  </property>
  <property fmtid="{D5CDD505-2E9C-101B-9397-08002B2CF9AE}" pid="6" name="ShortT">
    <vt:lpwstr/>
  </property>
</Properties>
</file>