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02" w:rsidRPr="00F64043" w:rsidRDefault="00095602" w:rsidP="00095602">
      <w:pPr>
        <w:pStyle w:val="Head1"/>
      </w:pPr>
      <w:bookmarkStart w:id="0" w:name="_Hlk110593326"/>
      <w:r w:rsidRPr="00F64043">
        <w:rPr>
          <w:noProof/>
          <w:sz w:val="20"/>
        </w:rPr>
        <w:drawing>
          <wp:inline distT="0" distB="0" distL="0" distR="0">
            <wp:extent cx="3390900" cy="1009650"/>
            <wp:effectExtent l="0" t="0" r="0" b="0"/>
            <wp:docPr id="3" name="Picture 3" descr="OPC/Commonwealth logo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OPC/Commonwealth logo" title="Logo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80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602" w:rsidRPr="00F64043" w:rsidRDefault="00095602" w:rsidP="00924E37">
      <w:pPr>
        <w:pStyle w:val="Head1"/>
      </w:pPr>
      <w:bookmarkStart w:id="1" w:name="_GoBack"/>
      <w:r w:rsidRPr="00F64043">
        <w:t>Instrument Drafting Guidance Note No. 1.2</w:t>
      </w:r>
    </w:p>
    <w:p w:rsidR="00095602" w:rsidRPr="00F64043" w:rsidRDefault="00095602" w:rsidP="00924E37">
      <w:pPr>
        <w:pStyle w:val="Head1"/>
      </w:pPr>
      <w:r w:rsidRPr="00F64043">
        <w:t>Sunsetting checklist</w:t>
      </w:r>
    </w:p>
    <w:bookmarkEnd w:id="1"/>
    <w:p w:rsidR="00095602" w:rsidRPr="00F64043" w:rsidRDefault="00095602" w:rsidP="002C2EB6">
      <w:pPr>
        <w:pStyle w:val="Release"/>
      </w:pPr>
      <w:r w:rsidRPr="00F64043">
        <w:t>Document release 1.0</w:t>
      </w:r>
    </w:p>
    <w:p w:rsidR="00095602" w:rsidRPr="00F64043" w:rsidRDefault="00095602" w:rsidP="00095602">
      <w:pPr>
        <w:pStyle w:val="Release"/>
        <w:spacing w:before="0"/>
      </w:pPr>
      <w:r w:rsidRPr="00F64043">
        <w:t>Issued January 20</w:t>
      </w:r>
      <w:bookmarkEnd w:id="0"/>
      <w:r w:rsidRPr="00F64043">
        <w:t>18</w:t>
      </w:r>
    </w:p>
    <w:p w:rsidR="00F316B0" w:rsidRPr="00F64043" w:rsidRDefault="00F316B0" w:rsidP="002C2EB6">
      <w:pPr>
        <w:pStyle w:val="Body"/>
      </w:pPr>
      <w:r w:rsidRPr="00F64043">
        <w:t>The following is a checklist of issues to consider when conducting a review of a legislative instrument that is to sunset.</w:t>
      </w:r>
    </w:p>
    <w:p w:rsidR="00BF6B1D" w:rsidRPr="00F64043" w:rsidRDefault="00BF6B1D" w:rsidP="00BF6B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Does the instrument pass the fit</w:t>
      </w:r>
      <w:r w:rsidR="00F64043">
        <w:rPr>
          <w:szCs w:val="24"/>
        </w:rPr>
        <w:noBreakHyphen/>
      </w:r>
      <w:r w:rsidRPr="00F64043">
        <w:rPr>
          <w:szCs w:val="24"/>
        </w:rPr>
        <w:t>for</w:t>
      </w:r>
      <w:r w:rsidR="00F64043">
        <w:rPr>
          <w:szCs w:val="24"/>
        </w:rPr>
        <w:noBreakHyphen/>
      </w:r>
      <w:r w:rsidRPr="00F64043">
        <w:rPr>
          <w:szCs w:val="24"/>
        </w:rPr>
        <w:t>purpose test (see paragraph 5.2 of the AGD Guide to Managing Sunsetting of Legislative Instruments)?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Is the policy of each provision still necessary and appropriate?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 w:val="20"/>
        </w:rPr>
      </w:pPr>
      <w:r w:rsidRPr="00F64043">
        <w:rPr>
          <w:szCs w:val="24"/>
        </w:rPr>
        <w:t>Is each provision of the instrument supported by an appropriate head of power in the enabling legislation?</w:t>
      </w:r>
      <w:r w:rsidRPr="00F64043">
        <w:rPr>
          <w:szCs w:val="24"/>
        </w:rPr>
        <w:br/>
      </w:r>
      <w:r w:rsidRPr="00F64043">
        <w:rPr>
          <w:sz w:val="20"/>
        </w:rPr>
        <w:t>The instrument might not explicitly refer to the head of power under which the provision is made. If so, you might need to speak to a drafter in OPC or seek legal advice.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Are all references in the instrument to the following still appropriate and correct:</w:t>
      </w:r>
    </w:p>
    <w:p w:rsidR="00BF6B1D" w:rsidRPr="00F64043" w:rsidRDefault="00BF6B1D" w:rsidP="00BF6B1D">
      <w:pPr>
        <w:pStyle w:val="BodyNum"/>
        <w:numPr>
          <w:ilvl w:val="1"/>
          <w:numId w:val="14"/>
        </w:numPr>
        <w:spacing w:before="120"/>
        <w:rPr>
          <w:szCs w:val="24"/>
        </w:rPr>
      </w:pPr>
      <w:r w:rsidRPr="00F64043">
        <w:rPr>
          <w:szCs w:val="24"/>
        </w:rPr>
        <w:t>references to laws or other instruments;</w:t>
      </w:r>
    </w:p>
    <w:p w:rsidR="00BF6B1D" w:rsidRPr="00F64043" w:rsidRDefault="00BF6B1D" w:rsidP="00BF6B1D">
      <w:pPr>
        <w:pStyle w:val="BodyNum"/>
        <w:numPr>
          <w:ilvl w:val="1"/>
          <w:numId w:val="14"/>
        </w:numPr>
        <w:spacing w:before="120"/>
        <w:rPr>
          <w:szCs w:val="24"/>
        </w:rPr>
      </w:pPr>
      <w:r w:rsidRPr="00F64043">
        <w:rPr>
          <w:szCs w:val="24"/>
        </w:rPr>
        <w:t>references to persons, organisations or bodies.</w:t>
      </w:r>
    </w:p>
    <w:p w:rsidR="00BF6B1D" w:rsidRPr="00F64043" w:rsidRDefault="00BF6B1D" w:rsidP="00BF6B1D">
      <w:pPr>
        <w:pStyle w:val="Body"/>
        <w:spacing w:before="120"/>
        <w:ind w:left="709"/>
        <w:rPr>
          <w:sz w:val="20"/>
        </w:rPr>
      </w:pPr>
      <w:r w:rsidRPr="00F64043">
        <w:rPr>
          <w:sz w:val="20"/>
        </w:rPr>
        <w:t>This might require checking those references in the laws of the Commonwealth, a State or a Territory, or in instruments made by another person, organisation or body.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Does each provision of the instrument meet OPC drafting and publishing standards?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Are any application, transitional or savings issues raised by repealing the instrument?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If the instrument is not to be remade, has the instrument been repealed?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If the instrument is to be remade, have all prerequisites required by the enabling legislation before making the new instrument been complied with?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If the instrument is to be remade, does the new instrument have a unique name, and a commencement provision?</w:t>
      </w:r>
    </w:p>
    <w:p w:rsidR="00BF6B1D" w:rsidRPr="00F64043" w:rsidRDefault="00BF6B1D" w:rsidP="00304C1D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Have you considered the power to make any instruments that are made under the legislative instrument, and the character of those instruments?</w:t>
      </w:r>
    </w:p>
    <w:p w:rsidR="00BF6B1D" w:rsidRPr="00F64043" w:rsidRDefault="00BF6B1D" w:rsidP="006E43CE">
      <w:pPr>
        <w:pStyle w:val="BodyNum"/>
        <w:numPr>
          <w:ilvl w:val="0"/>
          <w:numId w:val="15"/>
        </w:numPr>
        <w:ind w:left="709" w:hanging="709"/>
        <w:rPr>
          <w:szCs w:val="24"/>
        </w:rPr>
      </w:pPr>
      <w:r w:rsidRPr="00F64043">
        <w:rPr>
          <w:szCs w:val="24"/>
        </w:rPr>
        <w:t>Are any consequential amendments required to any other instruments because the instrument is to sunset or be remade?</w:t>
      </w:r>
    </w:p>
    <w:sectPr w:rsidR="00BF6B1D" w:rsidRPr="00F64043" w:rsidSect="00536EDD">
      <w:footerReference w:type="even" r:id="rId8"/>
      <w:footerReference w:type="default" r:id="rId9"/>
      <w:pgSz w:w="11907" w:h="16839"/>
      <w:pgMar w:top="56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220" w:rsidRDefault="00FD5220" w:rsidP="008E17F3">
      <w:pPr>
        <w:spacing w:line="240" w:lineRule="auto"/>
      </w:pPr>
      <w:r>
        <w:separator/>
      </w:r>
    </w:p>
  </w:endnote>
  <w:endnote w:type="continuationSeparator" w:id="0">
    <w:p w:rsidR="00FD5220" w:rsidRDefault="00FD5220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EDD">
      <w:rPr>
        <w:rStyle w:val="PageNumber"/>
        <w:noProof/>
      </w:rPr>
      <w:t>1</w:t>
    </w:r>
    <w:r>
      <w:rPr>
        <w:rStyle w:val="PageNumber"/>
      </w:rPr>
      <w:fldChar w:fldCharType="end"/>
    </w:r>
  </w:p>
  <w:p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>[</w:t>
    </w:r>
    <w:r w:rsidR="00D122E1">
      <w:rPr>
        <w:noProof/>
        <w:sz w:val="16"/>
        <w:szCs w:val="16"/>
      </w:rPr>
      <w:t>S23UH103.v01.docx</w:t>
    </w:r>
    <w:r w:rsidRPr="00766393">
      <w:rPr>
        <w:sz w:val="16"/>
        <w:szCs w:val="16"/>
      </w:rPr>
      <w:t>]</w:t>
    </w: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174846">
      <w:rPr>
        <w:noProof/>
      </w:rPr>
      <w:t>1</w:t>
    </w:r>
    <w:r w:rsidR="005327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220" w:rsidRDefault="00FD5220" w:rsidP="008E17F3">
      <w:pPr>
        <w:spacing w:line="240" w:lineRule="auto"/>
      </w:pPr>
      <w:r>
        <w:separator/>
      </w:r>
    </w:p>
  </w:footnote>
  <w:footnote w:type="continuationSeparator" w:id="0">
    <w:p w:rsidR="00FD5220" w:rsidRDefault="00FD5220" w:rsidP="008E1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8886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DAB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D6E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66F9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7A32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6A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6AC7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6F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08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DA5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59130171"/>
    <w:multiLevelType w:val="multilevel"/>
    <w:tmpl w:val="A71A2C3A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E83187E"/>
    <w:multiLevelType w:val="hybridMultilevel"/>
    <w:tmpl w:val="F90E31C8"/>
    <w:lvl w:ilvl="0" w:tplc="F5984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02"/>
    <w:rsid w:val="000136AF"/>
    <w:rsid w:val="00022B7E"/>
    <w:rsid w:val="000352D1"/>
    <w:rsid w:val="00036B0B"/>
    <w:rsid w:val="00056743"/>
    <w:rsid w:val="000614BF"/>
    <w:rsid w:val="00095602"/>
    <w:rsid w:val="000C604C"/>
    <w:rsid w:val="000D05EF"/>
    <w:rsid w:val="0010745C"/>
    <w:rsid w:val="00166C2F"/>
    <w:rsid w:val="00174846"/>
    <w:rsid w:val="001939E1"/>
    <w:rsid w:val="00195382"/>
    <w:rsid w:val="001C69C4"/>
    <w:rsid w:val="001E3590"/>
    <w:rsid w:val="001E7407"/>
    <w:rsid w:val="00217E9A"/>
    <w:rsid w:val="00253D1B"/>
    <w:rsid w:val="00295FBA"/>
    <w:rsid w:val="002970D7"/>
    <w:rsid w:val="00297ECB"/>
    <w:rsid w:val="002C2EB6"/>
    <w:rsid w:val="002D043A"/>
    <w:rsid w:val="002D6A8E"/>
    <w:rsid w:val="00304C1D"/>
    <w:rsid w:val="00311448"/>
    <w:rsid w:val="00322C61"/>
    <w:rsid w:val="00352B0F"/>
    <w:rsid w:val="00360FB0"/>
    <w:rsid w:val="003B5735"/>
    <w:rsid w:val="003D0BFE"/>
    <w:rsid w:val="003D5700"/>
    <w:rsid w:val="003D6F8A"/>
    <w:rsid w:val="003E4160"/>
    <w:rsid w:val="004116CD"/>
    <w:rsid w:val="00424CA9"/>
    <w:rsid w:val="0044291A"/>
    <w:rsid w:val="00450A86"/>
    <w:rsid w:val="004560FB"/>
    <w:rsid w:val="004653F8"/>
    <w:rsid w:val="004721FC"/>
    <w:rsid w:val="00496F97"/>
    <w:rsid w:val="00516B8D"/>
    <w:rsid w:val="005327A0"/>
    <w:rsid w:val="00536EDD"/>
    <w:rsid w:val="00537FBC"/>
    <w:rsid w:val="00584811"/>
    <w:rsid w:val="00594161"/>
    <w:rsid w:val="00594749"/>
    <w:rsid w:val="00600219"/>
    <w:rsid w:val="006207A3"/>
    <w:rsid w:val="006279B8"/>
    <w:rsid w:val="00677CC2"/>
    <w:rsid w:val="00680F77"/>
    <w:rsid w:val="0069207B"/>
    <w:rsid w:val="006C7F8C"/>
    <w:rsid w:val="006D77BA"/>
    <w:rsid w:val="006E2E9F"/>
    <w:rsid w:val="006E43CE"/>
    <w:rsid w:val="00704A73"/>
    <w:rsid w:val="007276BC"/>
    <w:rsid w:val="00731E00"/>
    <w:rsid w:val="00733990"/>
    <w:rsid w:val="00766393"/>
    <w:rsid w:val="007715C9"/>
    <w:rsid w:val="00774EDD"/>
    <w:rsid w:val="00775577"/>
    <w:rsid w:val="007757EC"/>
    <w:rsid w:val="007D4816"/>
    <w:rsid w:val="008006B2"/>
    <w:rsid w:val="00810B33"/>
    <w:rsid w:val="00856A31"/>
    <w:rsid w:val="008754D0"/>
    <w:rsid w:val="008E17F3"/>
    <w:rsid w:val="008E3B8C"/>
    <w:rsid w:val="00924E37"/>
    <w:rsid w:val="0094622F"/>
    <w:rsid w:val="0098638B"/>
    <w:rsid w:val="00A231E2"/>
    <w:rsid w:val="00A64912"/>
    <w:rsid w:val="00A70A74"/>
    <w:rsid w:val="00A91B5C"/>
    <w:rsid w:val="00AD5641"/>
    <w:rsid w:val="00B33B3C"/>
    <w:rsid w:val="00BE719A"/>
    <w:rsid w:val="00BE720A"/>
    <w:rsid w:val="00BF6B1D"/>
    <w:rsid w:val="00C42BF8"/>
    <w:rsid w:val="00C50043"/>
    <w:rsid w:val="00C61CDD"/>
    <w:rsid w:val="00C66598"/>
    <w:rsid w:val="00C7573B"/>
    <w:rsid w:val="00C83868"/>
    <w:rsid w:val="00C84110"/>
    <w:rsid w:val="00CB3D6B"/>
    <w:rsid w:val="00CB48D8"/>
    <w:rsid w:val="00CF0BB2"/>
    <w:rsid w:val="00CF5207"/>
    <w:rsid w:val="00D00FFA"/>
    <w:rsid w:val="00D122E1"/>
    <w:rsid w:val="00D13441"/>
    <w:rsid w:val="00D70DFB"/>
    <w:rsid w:val="00D766DF"/>
    <w:rsid w:val="00DB3CFE"/>
    <w:rsid w:val="00DE7073"/>
    <w:rsid w:val="00E32F97"/>
    <w:rsid w:val="00E74DC7"/>
    <w:rsid w:val="00E959C5"/>
    <w:rsid w:val="00EB2D41"/>
    <w:rsid w:val="00ED0C49"/>
    <w:rsid w:val="00EF2E3A"/>
    <w:rsid w:val="00F04811"/>
    <w:rsid w:val="00F078DC"/>
    <w:rsid w:val="00F23E5F"/>
    <w:rsid w:val="00F316B0"/>
    <w:rsid w:val="00F51269"/>
    <w:rsid w:val="00F64043"/>
    <w:rsid w:val="00FC3F77"/>
    <w:rsid w:val="00FC785B"/>
    <w:rsid w:val="00FD456C"/>
    <w:rsid w:val="00FD5220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B4AE9-2875-4BEB-9969-373286E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9C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Release">
    <w:name w:val="Release"/>
    <w:basedOn w:val="Normal"/>
    <w:rsid w:val="00095602"/>
    <w:pPr>
      <w:spacing w:before="240" w:line="240" w:lineRule="auto"/>
    </w:pPr>
    <w:rPr>
      <w:rFonts w:eastAsia="Times New Roman" w:cs="Times New Roman"/>
      <w:b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12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Sunsetting checklist</vt:lpstr>
    </vt:vector>
  </TitlesOfParts>
  <Company>Office of Parliamentary Counsel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Sunsetting checklist</dc:title>
  <dc:subject/>
  <dc:creator>ganterf</dc:creator>
  <cp:keywords/>
  <dc:description/>
  <cp:lastModifiedBy>Daluwatta, Yathasha</cp:lastModifiedBy>
  <cp:revision>2</cp:revision>
  <cp:lastPrinted>2023-09-05T03:13:00Z</cp:lastPrinted>
  <dcterms:created xsi:type="dcterms:W3CDTF">2023-09-07T01:12:00Z</dcterms:created>
  <dcterms:modified xsi:type="dcterms:W3CDTF">2023-09-07T01:12:00Z</dcterms:modified>
  <cp:category>Other - For OPC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UNOFFICIAL</vt:lpwstr>
  </property>
  <property fmtid="{D5CDD505-2E9C-101B-9397-08002B2CF9AE}" pid="3" name="DLM">
    <vt:lpwstr> </vt:lpwstr>
  </property>
  <property fmtid="{D5CDD505-2E9C-101B-9397-08002B2CF9AE}" pid="4" name="ChangedTitle">
    <vt:lpwstr>/</vt:lpwstr>
  </property>
  <property fmtid="{D5CDD505-2E9C-101B-9397-08002B2CF9AE}" pid="5" name="DoNotAsk">
    <vt:lpwstr>0</vt:lpwstr>
  </property>
</Properties>
</file>