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58DA9" w14:textId="77777777" w:rsidR="00663082" w:rsidRPr="00622DDB" w:rsidRDefault="00663082" w:rsidP="00663082">
      <w:pPr>
        <w:pStyle w:val="Head1"/>
        <w:spacing w:after="0"/>
      </w:pPr>
      <w:r w:rsidRPr="00622DDB">
        <w:t xml:space="preserve">Audit </w:t>
      </w:r>
      <w:r>
        <w:t xml:space="preserve">and Risk </w:t>
      </w:r>
      <w:r w:rsidRPr="00622DDB">
        <w:t>Committee</w:t>
      </w:r>
      <w:r>
        <w:t xml:space="preserve"> Charter</w:t>
      </w:r>
    </w:p>
    <w:p w14:paraId="2B588E66" w14:textId="77777777" w:rsidR="00663082" w:rsidRPr="004E18B8" w:rsidRDefault="00663082" w:rsidP="00663082">
      <w:pPr>
        <w:spacing w:before="240"/>
        <w:rPr>
          <w:sz w:val="28"/>
        </w:rPr>
      </w:pPr>
    </w:p>
    <w:p w14:paraId="7F5B9839" w14:textId="77777777" w:rsidR="00663082" w:rsidRPr="00622DDB" w:rsidRDefault="00663082" w:rsidP="00663082">
      <w:pPr>
        <w:spacing w:before="240"/>
        <w:rPr>
          <w:b/>
          <w:sz w:val="28"/>
        </w:rPr>
      </w:pPr>
      <w:r w:rsidRPr="00622DDB">
        <w:rPr>
          <w:b/>
          <w:sz w:val="28"/>
        </w:rPr>
        <w:t>Contents</w:t>
      </w:r>
    </w:p>
    <w:p w14:paraId="77EBB33F" w14:textId="77777777" w:rsidR="00663082" w:rsidRDefault="00663082" w:rsidP="00663082">
      <w:pPr>
        <w:pStyle w:val="TOC2"/>
        <w:tabs>
          <w:tab w:val="right" w:leader="dot" w:pos="9017"/>
        </w:tabs>
        <w:rPr>
          <w:rFonts w:asciiTheme="minorHAnsi" w:eastAsiaTheme="minorEastAsia" w:hAnsiTheme="minorHAnsi" w:cstheme="minorBidi"/>
          <w:b w:val="0"/>
          <w:noProof/>
          <w:sz w:val="22"/>
          <w:szCs w:val="22"/>
        </w:rPr>
      </w:pPr>
      <w:r w:rsidRPr="00323B9D">
        <w:fldChar w:fldCharType="begin"/>
      </w:r>
      <w:r w:rsidRPr="00622DDB">
        <w:instrText xml:space="preserve"> TOC \o "2-9" </w:instrText>
      </w:r>
      <w:r w:rsidRPr="00323B9D">
        <w:fldChar w:fldCharType="separate"/>
      </w:r>
      <w:r>
        <w:rPr>
          <w:noProof/>
        </w:rPr>
        <w:t>Part 1—Introduction</w:t>
      </w:r>
      <w:r>
        <w:rPr>
          <w:noProof/>
        </w:rPr>
        <w:tab/>
      </w:r>
      <w:r>
        <w:rPr>
          <w:noProof/>
        </w:rPr>
        <w:fldChar w:fldCharType="begin"/>
      </w:r>
      <w:r>
        <w:rPr>
          <w:noProof/>
        </w:rPr>
        <w:instrText xml:space="preserve"> PAGEREF _Toc144384457 \h </w:instrText>
      </w:r>
      <w:r>
        <w:rPr>
          <w:noProof/>
        </w:rPr>
      </w:r>
      <w:r>
        <w:rPr>
          <w:noProof/>
        </w:rPr>
        <w:fldChar w:fldCharType="separate"/>
      </w:r>
      <w:r>
        <w:rPr>
          <w:noProof/>
        </w:rPr>
        <w:t>2</w:t>
      </w:r>
      <w:r>
        <w:rPr>
          <w:noProof/>
        </w:rPr>
        <w:fldChar w:fldCharType="end"/>
      </w:r>
    </w:p>
    <w:p w14:paraId="2848717F" w14:textId="77777777" w:rsidR="00663082" w:rsidRDefault="00663082" w:rsidP="00663082">
      <w:pPr>
        <w:pStyle w:val="TOC3"/>
        <w:tabs>
          <w:tab w:val="right" w:leader="dot" w:pos="9017"/>
        </w:tabs>
        <w:rPr>
          <w:rFonts w:asciiTheme="minorHAnsi" w:eastAsiaTheme="minorEastAsia" w:hAnsiTheme="minorHAnsi" w:cstheme="minorBidi"/>
          <w:noProof/>
          <w:sz w:val="22"/>
          <w:szCs w:val="22"/>
        </w:rPr>
      </w:pPr>
      <w:r>
        <w:rPr>
          <w:noProof/>
        </w:rPr>
        <w:t>Background</w:t>
      </w:r>
      <w:r>
        <w:rPr>
          <w:noProof/>
        </w:rPr>
        <w:tab/>
      </w:r>
      <w:r>
        <w:rPr>
          <w:noProof/>
        </w:rPr>
        <w:fldChar w:fldCharType="begin"/>
      </w:r>
      <w:r>
        <w:rPr>
          <w:noProof/>
        </w:rPr>
        <w:instrText xml:space="preserve"> PAGEREF _Toc144384458 \h </w:instrText>
      </w:r>
      <w:r>
        <w:rPr>
          <w:noProof/>
        </w:rPr>
      </w:r>
      <w:r>
        <w:rPr>
          <w:noProof/>
        </w:rPr>
        <w:fldChar w:fldCharType="separate"/>
      </w:r>
      <w:r>
        <w:rPr>
          <w:noProof/>
        </w:rPr>
        <w:t>2</w:t>
      </w:r>
      <w:r>
        <w:rPr>
          <w:noProof/>
        </w:rPr>
        <w:fldChar w:fldCharType="end"/>
      </w:r>
    </w:p>
    <w:p w14:paraId="7E36E77B" w14:textId="77777777" w:rsidR="00663082" w:rsidRDefault="00663082" w:rsidP="00663082">
      <w:pPr>
        <w:pStyle w:val="TOC3"/>
        <w:tabs>
          <w:tab w:val="right" w:leader="dot" w:pos="9017"/>
        </w:tabs>
        <w:rPr>
          <w:rFonts w:asciiTheme="minorHAnsi" w:eastAsiaTheme="minorEastAsia" w:hAnsiTheme="minorHAnsi" w:cstheme="minorBidi"/>
          <w:noProof/>
          <w:sz w:val="22"/>
          <w:szCs w:val="22"/>
        </w:rPr>
      </w:pPr>
      <w:r>
        <w:rPr>
          <w:noProof/>
        </w:rPr>
        <w:t>Membership of the Committee</w:t>
      </w:r>
      <w:r>
        <w:rPr>
          <w:noProof/>
        </w:rPr>
        <w:tab/>
      </w:r>
      <w:r>
        <w:rPr>
          <w:noProof/>
        </w:rPr>
        <w:fldChar w:fldCharType="begin"/>
      </w:r>
      <w:r>
        <w:rPr>
          <w:noProof/>
        </w:rPr>
        <w:instrText xml:space="preserve"> PAGEREF _Toc144384459 \h </w:instrText>
      </w:r>
      <w:r>
        <w:rPr>
          <w:noProof/>
        </w:rPr>
      </w:r>
      <w:r>
        <w:rPr>
          <w:noProof/>
        </w:rPr>
        <w:fldChar w:fldCharType="separate"/>
      </w:r>
      <w:r>
        <w:rPr>
          <w:noProof/>
        </w:rPr>
        <w:t>2</w:t>
      </w:r>
      <w:r>
        <w:rPr>
          <w:noProof/>
        </w:rPr>
        <w:fldChar w:fldCharType="end"/>
      </w:r>
    </w:p>
    <w:p w14:paraId="1B5B4B6D" w14:textId="77777777" w:rsidR="00663082" w:rsidRDefault="00663082" w:rsidP="00663082">
      <w:pPr>
        <w:pStyle w:val="TOC3"/>
        <w:tabs>
          <w:tab w:val="right" w:leader="dot" w:pos="9017"/>
        </w:tabs>
        <w:rPr>
          <w:rFonts w:asciiTheme="minorHAnsi" w:eastAsiaTheme="minorEastAsia" w:hAnsiTheme="minorHAnsi" w:cstheme="minorBidi"/>
          <w:noProof/>
          <w:sz w:val="22"/>
          <w:szCs w:val="22"/>
        </w:rPr>
      </w:pPr>
      <w:r>
        <w:rPr>
          <w:noProof/>
        </w:rPr>
        <w:t>Observers and advisors</w:t>
      </w:r>
      <w:r>
        <w:rPr>
          <w:noProof/>
        </w:rPr>
        <w:tab/>
      </w:r>
      <w:r>
        <w:rPr>
          <w:noProof/>
        </w:rPr>
        <w:fldChar w:fldCharType="begin"/>
      </w:r>
      <w:r>
        <w:rPr>
          <w:noProof/>
        </w:rPr>
        <w:instrText xml:space="preserve"> PAGEREF _Toc144384460 \h </w:instrText>
      </w:r>
      <w:r>
        <w:rPr>
          <w:noProof/>
        </w:rPr>
      </w:r>
      <w:r>
        <w:rPr>
          <w:noProof/>
        </w:rPr>
        <w:fldChar w:fldCharType="separate"/>
      </w:r>
      <w:r>
        <w:rPr>
          <w:noProof/>
        </w:rPr>
        <w:t>2</w:t>
      </w:r>
      <w:r>
        <w:rPr>
          <w:noProof/>
        </w:rPr>
        <w:fldChar w:fldCharType="end"/>
      </w:r>
    </w:p>
    <w:p w14:paraId="18696440" w14:textId="77777777" w:rsidR="00663082" w:rsidRDefault="00663082" w:rsidP="00663082">
      <w:pPr>
        <w:pStyle w:val="TOC3"/>
        <w:tabs>
          <w:tab w:val="right" w:leader="dot" w:pos="9017"/>
        </w:tabs>
        <w:rPr>
          <w:rFonts w:asciiTheme="minorHAnsi" w:eastAsiaTheme="minorEastAsia" w:hAnsiTheme="minorHAnsi" w:cstheme="minorBidi"/>
          <w:noProof/>
          <w:sz w:val="22"/>
          <w:szCs w:val="22"/>
        </w:rPr>
      </w:pPr>
      <w:r>
        <w:rPr>
          <w:noProof/>
        </w:rPr>
        <w:t>Conflicts of interest</w:t>
      </w:r>
      <w:r>
        <w:rPr>
          <w:noProof/>
        </w:rPr>
        <w:tab/>
      </w:r>
      <w:r>
        <w:rPr>
          <w:noProof/>
        </w:rPr>
        <w:fldChar w:fldCharType="begin"/>
      </w:r>
      <w:r>
        <w:rPr>
          <w:noProof/>
        </w:rPr>
        <w:instrText xml:space="preserve"> PAGEREF _Toc144384461 \h </w:instrText>
      </w:r>
      <w:r>
        <w:rPr>
          <w:noProof/>
        </w:rPr>
      </w:r>
      <w:r>
        <w:rPr>
          <w:noProof/>
        </w:rPr>
        <w:fldChar w:fldCharType="separate"/>
      </w:r>
      <w:r>
        <w:rPr>
          <w:noProof/>
        </w:rPr>
        <w:t>3</w:t>
      </w:r>
      <w:r>
        <w:rPr>
          <w:noProof/>
        </w:rPr>
        <w:fldChar w:fldCharType="end"/>
      </w:r>
    </w:p>
    <w:p w14:paraId="1E37A1F3" w14:textId="77777777" w:rsidR="00663082" w:rsidRDefault="00663082" w:rsidP="00663082">
      <w:pPr>
        <w:pStyle w:val="TOC2"/>
        <w:tabs>
          <w:tab w:val="right" w:leader="dot" w:pos="9017"/>
        </w:tabs>
        <w:rPr>
          <w:rFonts w:asciiTheme="minorHAnsi" w:eastAsiaTheme="minorEastAsia" w:hAnsiTheme="minorHAnsi" w:cstheme="minorBidi"/>
          <w:b w:val="0"/>
          <w:noProof/>
          <w:sz w:val="22"/>
          <w:szCs w:val="22"/>
        </w:rPr>
      </w:pPr>
      <w:r>
        <w:rPr>
          <w:noProof/>
        </w:rPr>
        <w:t>Part 2— Role, responsibilities and objectives of the Committee</w:t>
      </w:r>
      <w:r>
        <w:rPr>
          <w:noProof/>
        </w:rPr>
        <w:tab/>
      </w:r>
      <w:r>
        <w:rPr>
          <w:noProof/>
        </w:rPr>
        <w:fldChar w:fldCharType="begin"/>
      </w:r>
      <w:r>
        <w:rPr>
          <w:noProof/>
        </w:rPr>
        <w:instrText xml:space="preserve"> PAGEREF _Toc144384462 \h </w:instrText>
      </w:r>
      <w:r>
        <w:rPr>
          <w:noProof/>
        </w:rPr>
      </w:r>
      <w:r>
        <w:rPr>
          <w:noProof/>
        </w:rPr>
        <w:fldChar w:fldCharType="separate"/>
      </w:r>
      <w:r>
        <w:rPr>
          <w:noProof/>
        </w:rPr>
        <w:t>3</w:t>
      </w:r>
      <w:r>
        <w:rPr>
          <w:noProof/>
        </w:rPr>
        <w:fldChar w:fldCharType="end"/>
      </w:r>
    </w:p>
    <w:p w14:paraId="574CB1AE" w14:textId="77777777" w:rsidR="00663082" w:rsidRDefault="00663082" w:rsidP="00663082">
      <w:pPr>
        <w:pStyle w:val="TOC3"/>
        <w:tabs>
          <w:tab w:val="right" w:leader="dot" w:pos="9017"/>
        </w:tabs>
        <w:rPr>
          <w:rFonts w:asciiTheme="minorHAnsi" w:eastAsiaTheme="minorEastAsia" w:hAnsiTheme="minorHAnsi" w:cstheme="minorBidi"/>
          <w:noProof/>
          <w:sz w:val="22"/>
          <w:szCs w:val="22"/>
        </w:rPr>
      </w:pPr>
      <w:r>
        <w:rPr>
          <w:noProof/>
        </w:rPr>
        <w:t>Responsibilities</w:t>
      </w:r>
      <w:r>
        <w:rPr>
          <w:noProof/>
        </w:rPr>
        <w:tab/>
      </w:r>
      <w:r>
        <w:rPr>
          <w:noProof/>
        </w:rPr>
        <w:fldChar w:fldCharType="begin"/>
      </w:r>
      <w:r>
        <w:rPr>
          <w:noProof/>
        </w:rPr>
        <w:instrText xml:space="preserve"> PAGEREF _Toc144384463 \h </w:instrText>
      </w:r>
      <w:r>
        <w:rPr>
          <w:noProof/>
        </w:rPr>
      </w:r>
      <w:r>
        <w:rPr>
          <w:noProof/>
        </w:rPr>
        <w:fldChar w:fldCharType="separate"/>
      </w:r>
      <w:r>
        <w:rPr>
          <w:noProof/>
        </w:rPr>
        <w:t>3</w:t>
      </w:r>
      <w:r>
        <w:rPr>
          <w:noProof/>
        </w:rPr>
        <w:fldChar w:fldCharType="end"/>
      </w:r>
    </w:p>
    <w:p w14:paraId="34494836" w14:textId="77777777" w:rsidR="00663082" w:rsidRDefault="00663082" w:rsidP="00663082">
      <w:pPr>
        <w:pStyle w:val="TOC3"/>
        <w:tabs>
          <w:tab w:val="right" w:leader="dot" w:pos="9017"/>
        </w:tabs>
        <w:rPr>
          <w:rFonts w:asciiTheme="minorHAnsi" w:eastAsiaTheme="minorEastAsia" w:hAnsiTheme="minorHAnsi" w:cstheme="minorBidi"/>
          <w:noProof/>
          <w:sz w:val="22"/>
          <w:szCs w:val="22"/>
        </w:rPr>
      </w:pPr>
      <w:r>
        <w:rPr>
          <w:noProof/>
        </w:rPr>
        <w:t>Deliverables</w:t>
      </w:r>
      <w:r>
        <w:rPr>
          <w:noProof/>
        </w:rPr>
        <w:tab/>
      </w:r>
      <w:r>
        <w:rPr>
          <w:noProof/>
        </w:rPr>
        <w:fldChar w:fldCharType="begin"/>
      </w:r>
      <w:r>
        <w:rPr>
          <w:noProof/>
        </w:rPr>
        <w:instrText xml:space="preserve"> PAGEREF _Toc144384464 \h </w:instrText>
      </w:r>
      <w:r>
        <w:rPr>
          <w:noProof/>
        </w:rPr>
      </w:r>
      <w:r>
        <w:rPr>
          <w:noProof/>
        </w:rPr>
        <w:fldChar w:fldCharType="separate"/>
      </w:r>
      <w:r>
        <w:rPr>
          <w:noProof/>
        </w:rPr>
        <w:t>6</w:t>
      </w:r>
      <w:r>
        <w:rPr>
          <w:noProof/>
        </w:rPr>
        <w:fldChar w:fldCharType="end"/>
      </w:r>
    </w:p>
    <w:p w14:paraId="7A641DF3" w14:textId="77777777" w:rsidR="00663082" w:rsidRDefault="00663082" w:rsidP="00663082">
      <w:pPr>
        <w:pStyle w:val="TOC3"/>
        <w:tabs>
          <w:tab w:val="right" w:leader="dot" w:pos="9017"/>
        </w:tabs>
        <w:rPr>
          <w:rFonts w:asciiTheme="minorHAnsi" w:eastAsiaTheme="minorEastAsia" w:hAnsiTheme="minorHAnsi" w:cstheme="minorBidi"/>
          <w:noProof/>
          <w:sz w:val="22"/>
          <w:szCs w:val="22"/>
        </w:rPr>
      </w:pPr>
      <w:r>
        <w:rPr>
          <w:noProof/>
        </w:rPr>
        <w:t>Core Principles and Expectations of Members</w:t>
      </w:r>
      <w:r>
        <w:rPr>
          <w:noProof/>
        </w:rPr>
        <w:tab/>
      </w:r>
      <w:r>
        <w:rPr>
          <w:noProof/>
        </w:rPr>
        <w:fldChar w:fldCharType="begin"/>
      </w:r>
      <w:r>
        <w:rPr>
          <w:noProof/>
        </w:rPr>
        <w:instrText xml:space="preserve"> PAGEREF _Toc144384465 \h </w:instrText>
      </w:r>
      <w:r>
        <w:rPr>
          <w:noProof/>
        </w:rPr>
      </w:r>
      <w:r>
        <w:rPr>
          <w:noProof/>
        </w:rPr>
        <w:fldChar w:fldCharType="separate"/>
      </w:r>
      <w:r>
        <w:rPr>
          <w:noProof/>
        </w:rPr>
        <w:t>6</w:t>
      </w:r>
      <w:r>
        <w:rPr>
          <w:noProof/>
        </w:rPr>
        <w:fldChar w:fldCharType="end"/>
      </w:r>
    </w:p>
    <w:p w14:paraId="6DDDE76A" w14:textId="77777777" w:rsidR="00663082" w:rsidRDefault="00663082" w:rsidP="00663082">
      <w:pPr>
        <w:pStyle w:val="TOC2"/>
        <w:tabs>
          <w:tab w:val="right" w:leader="dot" w:pos="9017"/>
        </w:tabs>
        <w:rPr>
          <w:rFonts w:asciiTheme="minorHAnsi" w:eastAsiaTheme="minorEastAsia" w:hAnsiTheme="minorHAnsi" w:cstheme="minorBidi"/>
          <w:b w:val="0"/>
          <w:noProof/>
          <w:sz w:val="22"/>
          <w:szCs w:val="22"/>
        </w:rPr>
      </w:pPr>
      <w:r>
        <w:rPr>
          <w:noProof/>
        </w:rPr>
        <w:t>Part 3—Administrative arrangements</w:t>
      </w:r>
      <w:r>
        <w:rPr>
          <w:noProof/>
        </w:rPr>
        <w:tab/>
      </w:r>
      <w:r>
        <w:rPr>
          <w:noProof/>
        </w:rPr>
        <w:fldChar w:fldCharType="begin"/>
      </w:r>
      <w:r>
        <w:rPr>
          <w:noProof/>
        </w:rPr>
        <w:instrText xml:space="preserve"> PAGEREF _Toc144384466 \h </w:instrText>
      </w:r>
      <w:r>
        <w:rPr>
          <w:noProof/>
        </w:rPr>
      </w:r>
      <w:r>
        <w:rPr>
          <w:noProof/>
        </w:rPr>
        <w:fldChar w:fldCharType="separate"/>
      </w:r>
      <w:r>
        <w:rPr>
          <w:noProof/>
        </w:rPr>
        <w:t>7</w:t>
      </w:r>
      <w:r>
        <w:rPr>
          <w:noProof/>
        </w:rPr>
        <w:fldChar w:fldCharType="end"/>
      </w:r>
    </w:p>
    <w:p w14:paraId="7503BC53" w14:textId="77777777" w:rsidR="00663082" w:rsidRDefault="00663082" w:rsidP="00663082">
      <w:pPr>
        <w:pStyle w:val="TOC3"/>
        <w:tabs>
          <w:tab w:val="right" w:leader="dot" w:pos="9017"/>
        </w:tabs>
        <w:rPr>
          <w:rFonts w:asciiTheme="minorHAnsi" w:eastAsiaTheme="minorEastAsia" w:hAnsiTheme="minorHAnsi" w:cstheme="minorBidi"/>
          <w:noProof/>
          <w:sz w:val="22"/>
          <w:szCs w:val="22"/>
        </w:rPr>
      </w:pPr>
      <w:r>
        <w:rPr>
          <w:noProof/>
        </w:rPr>
        <w:t>Annual work plan</w:t>
      </w:r>
      <w:r>
        <w:rPr>
          <w:noProof/>
        </w:rPr>
        <w:tab/>
      </w:r>
      <w:r>
        <w:rPr>
          <w:noProof/>
        </w:rPr>
        <w:fldChar w:fldCharType="begin"/>
      </w:r>
      <w:r>
        <w:rPr>
          <w:noProof/>
        </w:rPr>
        <w:instrText xml:space="preserve"> PAGEREF _Toc144384467 \h </w:instrText>
      </w:r>
      <w:r>
        <w:rPr>
          <w:noProof/>
        </w:rPr>
      </w:r>
      <w:r>
        <w:rPr>
          <w:noProof/>
        </w:rPr>
        <w:fldChar w:fldCharType="separate"/>
      </w:r>
      <w:r>
        <w:rPr>
          <w:noProof/>
        </w:rPr>
        <w:t>7</w:t>
      </w:r>
      <w:r>
        <w:rPr>
          <w:noProof/>
        </w:rPr>
        <w:fldChar w:fldCharType="end"/>
      </w:r>
    </w:p>
    <w:p w14:paraId="2B5CAEDF" w14:textId="77777777" w:rsidR="00663082" w:rsidRDefault="00663082" w:rsidP="00663082">
      <w:pPr>
        <w:pStyle w:val="TOC3"/>
        <w:tabs>
          <w:tab w:val="right" w:leader="dot" w:pos="9017"/>
        </w:tabs>
        <w:rPr>
          <w:rFonts w:asciiTheme="minorHAnsi" w:eastAsiaTheme="minorEastAsia" w:hAnsiTheme="minorHAnsi" w:cstheme="minorBidi"/>
          <w:noProof/>
          <w:sz w:val="22"/>
          <w:szCs w:val="22"/>
        </w:rPr>
      </w:pPr>
      <w:r>
        <w:rPr>
          <w:noProof/>
        </w:rPr>
        <w:t>Induction for new members</w:t>
      </w:r>
      <w:r>
        <w:rPr>
          <w:noProof/>
        </w:rPr>
        <w:tab/>
      </w:r>
      <w:r>
        <w:rPr>
          <w:noProof/>
        </w:rPr>
        <w:fldChar w:fldCharType="begin"/>
      </w:r>
      <w:r>
        <w:rPr>
          <w:noProof/>
        </w:rPr>
        <w:instrText xml:space="preserve"> PAGEREF _Toc144384468 \h </w:instrText>
      </w:r>
      <w:r>
        <w:rPr>
          <w:noProof/>
        </w:rPr>
      </w:r>
      <w:r>
        <w:rPr>
          <w:noProof/>
        </w:rPr>
        <w:fldChar w:fldCharType="separate"/>
      </w:r>
      <w:r>
        <w:rPr>
          <w:noProof/>
        </w:rPr>
        <w:t>7</w:t>
      </w:r>
      <w:r>
        <w:rPr>
          <w:noProof/>
        </w:rPr>
        <w:fldChar w:fldCharType="end"/>
      </w:r>
    </w:p>
    <w:p w14:paraId="1DAD5816" w14:textId="77777777" w:rsidR="00663082" w:rsidRDefault="00663082" w:rsidP="00663082">
      <w:pPr>
        <w:pStyle w:val="TOC3"/>
        <w:tabs>
          <w:tab w:val="right" w:leader="dot" w:pos="9017"/>
        </w:tabs>
        <w:rPr>
          <w:rFonts w:asciiTheme="minorHAnsi" w:eastAsiaTheme="minorEastAsia" w:hAnsiTheme="minorHAnsi" w:cstheme="minorBidi"/>
          <w:noProof/>
          <w:sz w:val="22"/>
          <w:szCs w:val="22"/>
        </w:rPr>
      </w:pPr>
      <w:r>
        <w:rPr>
          <w:noProof/>
        </w:rPr>
        <w:t>Meetings</w:t>
      </w:r>
      <w:r>
        <w:rPr>
          <w:noProof/>
        </w:rPr>
        <w:tab/>
      </w:r>
      <w:r>
        <w:rPr>
          <w:noProof/>
        </w:rPr>
        <w:fldChar w:fldCharType="begin"/>
      </w:r>
      <w:r>
        <w:rPr>
          <w:noProof/>
        </w:rPr>
        <w:instrText xml:space="preserve"> PAGEREF _Toc144384469 \h </w:instrText>
      </w:r>
      <w:r>
        <w:rPr>
          <w:noProof/>
        </w:rPr>
      </w:r>
      <w:r>
        <w:rPr>
          <w:noProof/>
        </w:rPr>
        <w:fldChar w:fldCharType="separate"/>
      </w:r>
      <w:r>
        <w:rPr>
          <w:noProof/>
        </w:rPr>
        <w:t>7</w:t>
      </w:r>
      <w:r>
        <w:rPr>
          <w:noProof/>
        </w:rPr>
        <w:fldChar w:fldCharType="end"/>
      </w:r>
    </w:p>
    <w:p w14:paraId="1E190AE0" w14:textId="77777777" w:rsidR="00663082" w:rsidRDefault="00663082" w:rsidP="00663082">
      <w:pPr>
        <w:pStyle w:val="TOC3"/>
        <w:tabs>
          <w:tab w:val="right" w:leader="dot" w:pos="9017"/>
        </w:tabs>
        <w:rPr>
          <w:rFonts w:asciiTheme="minorHAnsi" w:eastAsiaTheme="minorEastAsia" w:hAnsiTheme="minorHAnsi" w:cstheme="minorBidi"/>
          <w:noProof/>
          <w:sz w:val="22"/>
          <w:szCs w:val="22"/>
        </w:rPr>
      </w:pPr>
      <w:r>
        <w:rPr>
          <w:noProof/>
        </w:rPr>
        <w:t>Secretariat</w:t>
      </w:r>
      <w:r>
        <w:rPr>
          <w:noProof/>
        </w:rPr>
        <w:tab/>
      </w:r>
      <w:r>
        <w:rPr>
          <w:noProof/>
        </w:rPr>
        <w:fldChar w:fldCharType="begin"/>
      </w:r>
      <w:r>
        <w:rPr>
          <w:noProof/>
        </w:rPr>
        <w:instrText xml:space="preserve"> PAGEREF _Toc144384470 \h </w:instrText>
      </w:r>
      <w:r>
        <w:rPr>
          <w:noProof/>
        </w:rPr>
      </w:r>
      <w:r>
        <w:rPr>
          <w:noProof/>
        </w:rPr>
        <w:fldChar w:fldCharType="separate"/>
      </w:r>
      <w:r>
        <w:rPr>
          <w:noProof/>
        </w:rPr>
        <w:t>7</w:t>
      </w:r>
      <w:r>
        <w:rPr>
          <w:noProof/>
        </w:rPr>
        <w:fldChar w:fldCharType="end"/>
      </w:r>
    </w:p>
    <w:p w14:paraId="41C306C5" w14:textId="77777777" w:rsidR="00663082" w:rsidRDefault="00663082" w:rsidP="00663082">
      <w:pPr>
        <w:pStyle w:val="TOC3"/>
        <w:tabs>
          <w:tab w:val="right" w:leader="dot" w:pos="9017"/>
        </w:tabs>
        <w:rPr>
          <w:rFonts w:asciiTheme="minorHAnsi" w:eastAsiaTheme="minorEastAsia" w:hAnsiTheme="minorHAnsi" w:cstheme="minorBidi"/>
          <w:noProof/>
          <w:sz w:val="22"/>
          <w:szCs w:val="22"/>
        </w:rPr>
      </w:pPr>
      <w:r>
        <w:rPr>
          <w:noProof/>
        </w:rPr>
        <w:t>Assessing committee performance</w:t>
      </w:r>
      <w:r>
        <w:rPr>
          <w:noProof/>
        </w:rPr>
        <w:tab/>
      </w:r>
      <w:r>
        <w:rPr>
          <w:noProof/>
        </w:rPr>
        <w:fldChar w:fldCharType="begin"/>
      </w:r>
      <w:r>
        <w:rPr>
          <w:noProof/>
        </w:rPr>
        <w:instrText xml:space="preserve"> PAGEREF _Toc144384471 \h </w:instrText>
      </w:r>
      <w:r>
        <w:rPr>
          <w:noProof/>
        </w:rPr>
      </w:r>
      <w:r>
        <w:rPr>
          <w:noProof/>
        </w:rPr>
        <w:fldChar w:fldCharType="separate"/>
      </w:r>
      <w:r>
        <w:rPr>
          <w:noProof/>
        </w:rPr>
        <w:t>8</w:t>
      </w:r>
      <w:r>
        <w:rPr>
          <w:noProof/>
        </w:rPr>
        <w:fldChar w:fldCharType="end"/>
      </w:r>
    </w:p>
    <w:p w14:paraId="71E793C6" w14:textId="77777777" w:rsidR="00663082" w:rsidRDefault="00663082" w:rsidP="00663082">
      <w:pPr>
        <w:pStyle w:val="TOC3"/>
        <w:tabs>
          <w:tab w:val="right" w:leader="dot" w:pos="9017"/>
        </w:tabs>
        <w:rPr>
          <w:rFonts w:asciiTheme="minorHAnsi" w:eastAsiaTheme="minorEastAsia" w:hAnsiTheme="minorHAnsi" w:cstheme="minorBidi"/>
          <w:noProof/>
          <w:sz w:val="22"/>
          <w:szCs w:val="22"/>
        </w:rPr>
      </w:pPr>
      <w:r>
        <w:rPr>
          <w:noProof/>
        </w:rPr>
        <w:t>Review of Charter</w:t>
      </w:r>
      <w:r>
        <w:rPr>
          <w:noProof/>
        </w:rPr>
        <w:tab/>
      </w:r>
      <w:r>
        <w:rPr>
          <w:noProof/>
        </w:rPr>
        <w:fldChar w:fldCharType="begin"/>
      </w:r>
      <w:r>
        <w:rPr>
          <w:noProof/>
        </w:rPr>
        <w:instrText xml:space="preserve"> PAGEREF _Toc144384472 \h </w:instrText>
      </w:r>
      <w:r>
        <w:rPr>
          <w:noProof/>
        </w:rPr>
      </w:r>
      <w:r>
        <w:rPr>
          <w:noProof/>
        </w:rPr>
        <w:fldChar w:fldCharType="separate"/>
      </w:r>
      <w:r>
        <w:rPr>
          <w:noProof/>
        </w:rPr>
        <w:t>8</w:t>
      </w:r>
      <w:r>
        <w:rPr>
          <w:noProof/>
        </w:rPr>
        <w:fldChar w:fldCharType="end"/>
      </w:r>
    </w:p>
    <w:p w14:paraId="5C1CF576" w14:textId="77777777" w:rsidR="00663082" w:rsidRPr="00622DDB" w:rsidRDefault="00663082" w:rsidP="00663082">
      <w:pPr>
        <w:pStyle w:val="TOC2"/>
      </w:pPr>
      <w:r w:rsidRPr="00323B9D">
        <w:rPr>
          <w:b w:val="0"/>
          <w:sz w:val="20"/>
        </w:rPr>
        <w:fldChar w:fldCharType="end"/>
      </w:r>
    </w:p>
    <w:p w14:paraId="5E01844F" w14:textId="77777777" w:rsidR="00663082" w:rsidRDefault="00663082" w:rsidP="00663082">
      <w:pPr>
        <w:spacing w:line="240" w:lineRule="auto"/>
        <w:rPr>
          <w:rFonts w:ascii="Arial" w:eastAsia="Times New Roman" w:hAnsi="Arial" w:cs="Times New Roman"/>
          <w:b/>
          <w:kern w:val="28"/>
          <w:sz w:val="28"/>
          <w:lang w:eastAsia="en-AU"/>
        </w:rPr>
      </w:pPr>
      <w:r>
        <w:br w:type="page"/>
      </w:r>
    </w:p>
    <w:p w14:paraId="7B3DBFBC" w14:textId="77777777" w:rsidR="00663082" w:rsidRPr="00622DDB" w:rsidRDefault="00663082" w:rsidP="00663082">
      <w:pPr>
        <w:pStyle w:val="Head2"/>
        <w:spacing w:after="0"/>
      </w:pPr>
      <w:bookmarkStart w:id="0" w:name="_Toc144384457"/>
      <w:r w:rsidRPr="00622DDB">
        <w:lastRenderedPageBreak/>
        <w:t>Part 1—Introduction</w:t>
      </w:r>
      <w:bookmarkEnd w:id="0"/>
    </w:p>
    <w:p w14:paraId="0AF184DD" w14:textId="77777777" w:rsidR="00663082" w:rsidRPr="00622DDB" w:rsidRDefault="00663082" w:rsidP="00663082">
      <w:pPr>
        <w:pStyle w:val="Head3"/>
        <w:keepNext w:val="0"/>
        <w:spacing w:after="0"/>
      </w:pPr>
      <w:bookmarkStart w:id="1" w:name="_Toc144384458"/>
      <w:r w:rsidRPr="00622DDB">
        <w:t>Background</w:t>
      </w:r>
      <w:bookmarkEnd w:id="1"/>
    </w:p>
    <w:p w14:paraId="6E82C59C" w14:textId="77777777" w:rsidR="00663082" w:rsidRDefault="00663082" w:rsidP="00663082">
      <w:pPr>
        <w:pStyle w:val="BodyNum"/>
      </w:pPr>
      <w:r w:rsidRPr="00622DDB">
        <w:t>First Parliamentary Counsel (</w:t>
      </w:r>
      <w:r w:rsidRPr="00622DDB">
        <w:rPr>
          <w:b/>
          <w:i/>
        </w:rPr>
        <w:t>FPC</w:t>
      </w:r>
      <w:r>
        <w:t>) has established the Audit and Risk C</w:t>
      </w:r>
      <w:r w:rsidRPr="00622DDB">
        <w:t>ommitt</w:t>
      </w:r>
      <w:r>
        <w:t>ee (</w:t>
      </w:r>
      <w:r w:rsidRPr="002C37C5">
        <w:rPr>
          <w:b/>
          <w:i/>
        </w:rPr>
        <w:t>the Committee</w:t>
      </w:r>
      <w:r>
        <w:t>) in accordance with section 45</w:t>
      </w:r>
      <w:r w:rsidRPr="00622DDB">
        <w:t xml:space="preserve"> of the </w:t>
      </w:r>
      <w:r>
        <w:rPr>
          <w:i/>
        </w:rPr>
        <w:t>Public Governance, Performance and Accountability Act 2013</w:t>
      </w:r>
      <w:r w:rsidRPr="00622DDB">
        <w:t xml:space="preserve"> (</w:t>
      </w:r>
      <w:proofErr w:type="spellStart"/>
      <w:r>
        <w:rPr>
          <w:b/>
          <w:i/>
        </w:rPr>
        <w:t>PGPA</w:t>
      </w:r>
      <w:proofErr w:type="spellEnd"/>
      <w:r w:rsidRPr="00622DDB">
        <w:rPr>
          <w:b/>
          <w:i/>
        </w:rPr>
        <w:t xml:space="preserve"> Act</w:t>
      </w:r>
      <w:r w:rsidRPr="00622DDB">
        <w:t xml:space="preserve">) and </w:t>
      </w:r>
      <w:r>
        <w:t xml:space="preserve">section 17 </w:t>
      </w:r>
      <w:r w:rsidRPr="00622DDB">
        <w:t xml:space="preserve">of the </w:t>
      </w:r>
      <w:r>
        <w:rPr>
          <w:i/>
        </w:rPr>
        <w:t>Public Governance, Performance and Accountability Rule 2014</w:t>
      </w:r>
      <w:r w:rsidRPr="00622DDB">
        <w:t xml:space="preserve"> (</w:t>
      </w:r>
      <w:proofErr w:type="spellStart"/>
      <w:r>
        <w:rPr>
          <w:b/>
          <w:i/>
        </w:rPr>
        <w:t>PGPA</w:t>
      </w:r>
      <w:proofErr w:type="spellEnd"/>
      <w:r w:rsidRPr="00622DDB">
        <w:rPr>
          <w:b/>
          <w:i/>
        </w:rPr>
        <w:t xml:space="preserve"> </w:t>
      </w:r>
      <w:r>
        <w:rPr>
          <w:b/>
          <w:i/>
        </w:rPr>
        <w:t>rule</w:t>
      </w:r>
      <w:r w:rsidRPr="00622DDB">
        <w:t>).</w:t>
      </w:r>
      <w:r>
        <w:t xml:space="preserve"> </w:t>
      </w:r>
      <w:r>
        <w:rPr>
          <w:lang w:eastAsia="en-US"/>
        </w:rPr>
        <w:t xml:space="preserve">FPC is the accountable authority of </w:t>
      </w:r>
      <w:proofErr w:type="spellStart"/>
      <w:r>
        <w:rPr>
          <w:lang w:eastAsia="en-US"/>
        </w:rPr>
        <w:t>OPC</w:t>
      </w:r>
      <w:proofErr w:type="spellEnd"/>
      <w:r>
        <w:rPr>
          <w:lang w:eastAsia="en-US"/>
        </w:rPr>
        <w:t xml:space="preserve"> under paragraph 2(5)(b) of the </w:t>
      </w:r>
      <w:r>
        <w:rPr>
          <w:i/>
          <w:iCs/>
          <w:lang w:eastAsia="en-US"/>
        </w:rPr>
        <w:t>Parliamentary Counsel Act 1970.</w:t>
      </w:r>
      <w:r>
        <w:t xml:space="preserve">  </w:t>
      </w:r>
    </w:p>
    <w:p w14:paraId="29E3DBC6" w14:textId="77777777" w:rsidR="00663082" w:rsidRPr="00622DDB" w:rsidRDefault="00663082" w:rsidP="00663082">
      <w:pPr>
        <w:pStyle w:val="BodyNum"/>
      </w:pPr>
      <w:r w:rsidRPr="00072F39">
        <w:t>This Charter sets out the role and responsibilities of the Committee, including its objective, authority, membership, functions, reporting and administrative arrangements.</w:t>
      </w:r>
    </w:p>
    <w:p w14:paraId="2572F633" w14:textId="77777777" w:rsidR="00663082" w:rsidRPr="00622DDB" w:rsidRDefault="00663082" w:rsidP="00663082">
      <w:pPr>
        <w:pStyle w:val="Head3"/>
        <w:keepNext w:val="0"/>
        <w:spacing w:after="0"/>
      </w:pPr>
      <w:bookmarkStart w:id="2" w:name="_Toc144384459"/>
      <w:r>
        <w:t>Membership of the C</w:t>
      </w:r>
      <w:r w:rsidRPr="00622DDB">
        <w:t>ommittee</w:t>
      </w:r>
      <w:bookmarkEnd w:id="2"/>
    </w:p>
    <w:p w14:paraId="465BD001" w14:textId="77777777" w:rsidR="00663082" w:rsidRDefault="00663082" w:rsidP="00663082">
      <w:pPr>
        <w:pStyle w:val="BodyNum"/>
      </w:pPr>
      <w:r>
        <w:t xml:space="preserve">The Committee consists of three independent (external) members appointed by FPC. </w:t>
      </w:r>
    </w:p>
    <w:p w14:paraId="4B478929" w14:textId="77777777" w:rsidR="00663082" w:rsidRDefault="00663082" w:rsidP="00663082">
      <w:pPr>
        <w:pStyle w:val="notetext"/>
      </w:pPr>
      <w:r>
        <w:t>Note:</w:t>
      </w:r>
      <w:r>
        <w:tab/>
        <w:t xml:space="preserve">Subsection 17(4) of the </w:t>
      </w:r>
      <w:proofErr w:type="spellStart"/>
      <w:r>
        <w:t>PGPA</w:t>
      </w:r>
      <w:proofErr w:type="spellEnd"/>
      <w:r>
        <w:t xml:space="preserve"> Rule requires all Audit and Risk Committee members to be persons who are not officials of </w:t>
      </w:r>
      <w:proofErr w:type="spellStart"/>
      <w:r>
        <w:t>OPC</w:t>
      </w:r>
      <w:proofErr w:type="spellEnd"/>
      <w:r>
        <w:t xml:space="preserve">, and a majority of members must be persons who are not officials of any Commonwealth entity. </w:t>
      </w:r>
    </w:p>
    <w:p w14:paraId="1265B8B9" w14:textId="77777777" w:rsidR="00663082" w:rsidRPr="00DE6DE9" w:rsidRDefault="00663082" w:rsidP="00663082">
      <w:pPr>
        <w:pStyle w:val="BodyNum"/>
      </w:pPr>
      <w:r w:rsidRPr="00DE6DE9">
        <w:t>FPC will appoint the Chair of the Committee. If the Chair is to be precluded from participating in an agenda item due to a conflict of interest, the Chair may appoint another member of the Committee to Chair that agenda item.</w:t>
      </w:r>
    </w:p>
    <w:p w14:paraId="636C47FA" w14:textId="77777777" w:rsidR="00663082" w:rsidRDefault="00663082" w:rsidP="00663082">
      <w:pPr>
        <w:pStyle w:val="BodyNum"/>
      </w:pPr>
      <w:r>
        <w:t>I</w:t>
      </w:r>
      <w:r w:rsidRPr="00622DDB">
        <w:t>ndependent</w:t>
      </w:r>
      <w:r>
        <w:t xml:space="preserve"> (external) </w:t>
      </w:r>
      <w:r w:rsidRPr="00E46269">
        <w:t xml:space="preserve">members are appointed for a minimum three year term. Membership should be reviewed after this to ensure ongoing independence (maximum term is 10 years). </w:t>
      </w:r>
    </w:p>
    <w:p w14:paraId="4C12398E" w14:textId="77777777" w:rsidR="00663082" w:rsidRPr="00E46269" w:rsidRDefault="00663082" w:rsidP="00663082">
      <w:pPr>
        <w:pStyle w:val="BodyNum"/>
      </w:pPr>
      <w:r>
        <w:t>The Independent Chair and any other external members may be remunerated.</w:t>
      </w:r>
    </w:p>
    <w:p w14:paraId="7236E076" w14:textId="77777777" w:rsidR="00663082" w:rsidRDefault="00663082" w:rsidP="00663082">
      <w:pPr>
        <w:pStyle w:val="BodyNum"/>
      </w:pPr>
      <w:r w:rsidRPr="00CF22AD">
        <w:t>Any member of the Committee can approach FPC on any ma</w:t>
      </w:r>
      <w:r w:rsidRPr="00622DDB">
        <w:t xml:space="preserve">tter </w:t>
      </w:r>
      <w:r>
        <w:t>relevant to the functions of the C</w:t>
      </w:r>
      <w:r w:rsidRPr="00622DDB">
        <w:t>ommittee.</w:t>
      </w:r>
    </w:p>
    <w:p w14:paraId="3E4E13F1" w14:textId="77777777" w:rsidR="00663082" w:rsidRDefault="00663082" w:rsidP="00663082">
      <w:pPr>
        <w:pStyle w:val="BodyNum"/>
      </w:pPr>
      <w:r>
        <w:t xml:space="preserve">Audit committee members must have appropriate qualifications, knowledge, skills or experience to assist the committee to perform its functions. </w:t>
      </w:r>
      <w:r w:rsidRPr="00622DDB">
        <w:t xml:space="preserve">All members, taken collectively, will have a broad range of skills and experience relevant to the operations of </w:t>
      </w:r>
      <w:proofErr w:type="spellStart"/>
      <w:r w:rsidRPr="00622DDB">
        <w:t>OPC</w:t>
      </w:r>
      <w:proofErr w:type="spellEnd"/>
      <w:r w:rsidRPr="00622DDB">
        <w:t>. At least one member of the Committee should have accounting or related financial management experience with an understanding of accounting and auditing standards in a public sector environment.</w:t>
      </w:r>
    </w:p>
    <w:p w14:paraId="545FCECE" w14:textId="77777777" w:rsidR="00663082" w:rsidRPr="00E82D04" w:rsidRDefault="00663082" w:rsidP="00663082">
      <w:pPr>
        <w:pStyle w:val="notetext"/>
      </w:pPr>
      <w:r>
        <w:t>Note:</w:t>
      </w:r>
      <w:r>
        <w:tab/>
        <w:t xml:space="preserve">See subsection 17(3) of the </w:t>
      </w:r>
      <w:proofErr w:type="spellStart"/>
      <w:r>
        <w:t>PGPA</w:t>
      </w:r>
      <w:proofErr w:type="spellEnd"/>
      <w:r>
        <w:t xml:space="preserve"> rule. </w:t>
      </w:r>
    </w:p>
    <w:p w14:paraId="7A8D8EE6" w14:textId="77777777" w:rsidR="00663082" w:rsidRPr="005C0B6F" w:rsidRDefault="00663082" w:rsidP="00663082">
      <w:pPr>
        <w:pStyle w:val="Head3"/>
        <w:keepNext w:val="0"/>
        <w:spacing w:after="0"/>
      </w:pPr>
      <w:bookmarkStart w:id="3" w:name="_Toc144384460"/>
      <w:r w:rsidRPr="005C0B6F">
        <w:t>Observers</w:t>
      </w:r>
      <w:r>
        <w:t xml:space="preserve"> and advisors</w:t>
      </w:r>
      <w:bookmarkEnd w:id="3"/>
    </w:p>
    <w:p w14:paraId="23AFF422" w14:textId="77777777" w:rsidR="00663082" w:rsidRDefault="00663082" w:rsidP="00663082">
      <w:pPr>
        <w:pStyle w:val="BodyNum"/>
      </w:pPr>
      <w:r>
        <w:t xml:space="preserve">The Chair may approve any </w:t>
      </w:r>
      <w:proofErr w:type="spellStart"/>
      <w:r>
        <w:t>OPC</w:t>
      </w:r>
      <w:proofErr w:type="spellEnd"/>
      <w:r>
        <w:t xml:space="preserve"> officer attending a Committee meeting or meetings as an observer or participant. </w:t>
      </w:r>
    </w:p>
    <w:p w14:paraId="30358974" w14:textId="77777777" w:rsidR="00663082" w:rsidRDefault="00663082" w:rsidP="00663082">
      <w:pPr>
        <w:pStyle w:val="BodyNum"/>
      </w:pPr>
      <w:r>
        <w:t xml:space="preserve">There are two permanent observers on the Committee: General Manager, Corporate Services, and a Senior Executive Service (SES) or statutory officer (generally, this is Second Parliamentary Counsel).  </w:t>
      </w:r>
    </w:p>
    <w:p w14:paraId="10E6FD76" w14:textId="77777777" w:rsidR="00663082" w:rsidRDefault="00663082" w:rsidP="00663082">
      <w:pPr>
        <w:pStyle w:val="BodyNum"/>
      </w:pPr>
      <w:r w:rsidRPr="00591B09">
        <w:lastRenderedPageBreak/>
        <w:t xml:space="preserve">The </w:t>
      </w:r>
      <w:r>
        <w:t>FPC</w:t>
      </w:r>
      <w:r w:rsidRPr="00591B09">
        <w:t xml:space="preserve"> and the Chief Financ</w:t>
      </w:r>
      <w:r>
        <w:t>ial</w:t>
      </w:r>
      <w:r w:rsidRPr="00591B09">
        <w:t xml:space="preserve"> Officer</w:t>
      </w:r>
      <w:r>
        <w:t xml:space="preserve"> (CFO)</w:t>
      </w:r>
      <w:r w:rsidRPr="00591B09">
        <w:t xml:space="preserve"> may attend meetings as observers, or be invited by the Chair to participate in specific discussions or </w:t>
      </w:r>
      <w:r>
        <w:t xml:space="preserve">to </w:t>
      </w:r>
      <w:r w:rsidRPr="00591B09">
        <w:t xml:space="preserve">provide strategic briefings to the Committee. The Committee may also request other employees, </w:t>
      </w:r>
      <w:r>
        <w:t>Australian National Audit Office (</w:t>
      </w:r>
      <w:proofErr w:type="spellStart"/>
      <w:r w:rsidRPr="002C37C5">
        <w:rPr>
          <w:b/>
          <w:i/>
        </w:rPr>
        <w:t>ANAO</w:t>
      </w:r>
      <w:proofErr w:type="spellEnd"/>
      <w:r>
        <w:t>)</w:t>
      </w:r>
      <w:r w:rsidRPr="00591B09">
        <w:t xml:space="preserve"> auditors and any internal auditors to attend Committee meetings to participate for certain agenda items.</w:t>
      </w:r>
    </w:p>
    <w:p w14:paraId="089654F0" w14:textId="77777777" w:rsidR="00663082" w:rsidRDefault="00663082" w:rsidP="00663082">
      <w:pPr>
        <w:pStyle w:val="BodyNum"/>
      </w:pPr>
      <w:proofErr w:type="spellStart"/>
      <w:r w:rsidRPr="00622DDB">
        <w:t>OPC’s</w:t>
      </w:r>
      <w:proofErr w:type="spellEnd"/>
      <w:r w:rsidRPr="00622DDB">
        <w:t xml:space="preserve"> </w:t>
      </w:r>
      <w:proofErr w:type="spellStart"/>
      <w:r w:rsidRPr="00622DDB">
        <w:t>ANAO</w:t>
      </w:r>
      <w:proofErr w:type="spellEnd"/>
      <w:r w:rsidRPr="00622DDB">
        <w:t xml:space="preserve"> </w:t>
      </w:r>
      <w:r>
        <w:t>a</w:t>
      </w:r>
      <w:r w:rsidRPr="00622DDB">
        <w:t xml:space="preserve">udit </w:t>
      </w:r>
      <w:r>
        <w:t xml:space="preserve">representative </w:t>
      </w:r>
      <w:r w:rsidRPr="00622DDB">
        <w:t>will be invited to attend each meeting. Others, for example the internal auditor, may attend Committee meetings by invitation.</w:t>
      </w:r>
    </w:p>
    <w:p w14:paraId="0A453017" w14:textId="77777777" w:rsidR="00663082" w:rsidRPr="001E2DE8" w:rsidRDefault="00663082" w:rsidP="00663082">
      <w:pPr>
        <w:pStyle w:val="Head3"/>
        <w:keepNext w:val="0"/>
        <w:spacing w:after="0"/>
      </w:pPr>
      <w:bookmarkStart w:id="4" w:name="_Toc144384461"/>
      <w:r w:rsidRPr="001E2DE8">
        <w:t>Conflicts of interest</w:t>
      </w:r>
      <w:bookmarkEnd w:id="4"/>
    </w:p>
    <w:p w14:paraId="1B529EFA" w14:textId="77777777" w:rsidR="00663082" w:rsidRPr="00674EDA" w:rsidRDefault="00663082" w:rsidP="00663082">
      <w:pPr>
        <w:pStyle w:val="BodyNum"/>
      </w:pPr>
      <w:r w:rsidRPr="00C12F3F">
        <w:t xml:space="preserve">On appointment, and once each year, Committee members will provide written declarations to the Secretariat </w:t>
      </w:r>
      <w:r>
        <w:t xml:space="preserve">who will provide them </w:t>
      </w:r>
      <w:r w:rsidRPr="00C12F3F">
        <w:t xml:space="preserve">to the </w:t>
      </w:r>
      <w:r>
        <w:t>FPC</w:t>
      </w:r>
      <w:r w:rsidRPr="00C12F3F">
        <w:t xml:space="preserve"> declaring any material personal interests or relationships they may have in relation to their responsibilities. </w:t>
      </w:r>
      <w:r w:rsidRPr="00C12F3F" w:rsidDel="008F49AB">
        <w:t>Committee</w:t>
      </w:r>
      <w:r w:rsidRPr="00C12F3F">
        <w:t xml:space="preserve"> members should consider past employment, consultancy arrangements and related party issues in making these declarations. The </w:t>
      </w:r>
      <w:r>
        <w:t>FPC</w:t>
      </w:r>
      <w:r w:rsidRPr="00C12F3F">
        <w:t xml:space="preserve">, in consultation with the Chair, should be satisfied that there are sufficient processes in place to manage any real or perceived conflict. </w:t>
      </w:r>
    </w:p>
    <w:p w14:paraId="4BA98E46" w14:textId="77777777" w:rsidR="00663082" w:rsidRPr="00674EDA" w:rsidRDefault="00663082" w:rsidP="00663082">
      <w:pPr>
        <w:pStyle w:val="BodyNum"/>
      </w:pPr>
      <w:r w:rsidRPr="00C12F3F">
        <w:t xml:space="preserve">At the beginning of each Committee meeting, members are required to declare any material personal interests or relationship which may apply to specific items on the meeting agenda. If required by the Chair, the member will be excused from the meeting or the relevant agenda item(s). The Chair is also responsible for deciding, in consultation with the </w:t>
      </w:r>
      <w:r>
        <w:t>FPC</w:t>
      </w:r>
      <w:r w:rsidRPr="00C12F3F">
        <w:t xml:space="preserve"> where appropriate, if they should excuse themselves from the meeting or the relevant agenda item(s) because they have a real or perceived conflict of interest.</w:t>
      </w:r>
    </w:p>
    <w:p w14:paraId="42C3E8C6" w14:textId="77777777" w:rsidR="00663082" w:rsidRPr="00C12F3F" w:rsidRDefault="00663082" w:rsidP="00663082">
      <w:pPr>
        <w:pStyle w:val="BodyNum"/>
      </w:pPr>
      <w:r w:rsidRPr="00C12F3F">
        <w:t>The Secretariat will record any declarations of Committee members and resulting actions in the meeting minutes.</w:t>
      </w:r>
    </w:p>
    <w:p w14:paraId="70C5C97F" w14:textId="77777777" w:rsidR="00663082" w:rsidRDefault="00663082" w:rsidP="00663082">
      <w:pPr>
        <w:pStyle w:val="Head2"/>
        <w:spacing w:after="0"/>
      </w:pPr>
      <w:bookmarkStart w:id="5" w:name="_Toc144384462"/>
      <w:r w:rsidRPr="00622DDB">
        <w:t>Part 2—</w:t>
      </w:r>
      <w:r>
        <w:t xml:space="preserve"> Role, responsibilities and objectives of the C</w:t>
      </w:r>
      <w:r w:rsidRPr="00622DDB">
        <w:t>ommittee</w:t>
      </w:r>
      <w:bookmarkEnd w:id="5"/>
    </w:p>
    <w:p w14:paraId="6ECFF79B" w14:textId="77777777" w:rsidR="00663082" w:rsidRDefault="00663082" w:rsidP="00663082">
      <w:pPr>
        <w:pStyle w:val="BodyNum"/>
      </w:pPr>
      <w:r w:rsidRPr="00072F39">
        <w:t xml:space="preserve">The Committee is directly accountable to </w:t>
      </w:r>
      <w:r>
        <w:t>FPC</w:t>
      </w:r>
      <w:r w:rsidRPr="00072F39">
        <w:t xml:space="preserve">. </w:t>
      </w:r>
    </w:p>
    <w:p w14:paraId="3B5AF9DB" w14:textId="77777777" w:rsidR="00663082" w:rsidRDefault="00663082" w:rsidP="00663082">
      <w:pPr>
        <w:pStyle w:val="BodyNum"/>
      </w:pPr>
      <w:r w:rsidRPr="00072F39">
        <w:t xml:space="preserve">The </w:t>
      </w:r>
      <w:r>
        <w:t xml:space="preserve">functions </w:t>
      </w:r>
      <w:r w:rsidRPr="00072F39">
        <w:t xml:space="preserve">of the Committee </w:t>
      </w:r>
      <w:r>
        <w:t>are</w:t>
      </w:r>
      <w:r w:rsidRPr="00072F39">
        <w:t xml:space="preserve"> to provide independent assurance and advice to the </w:t>
      </w:r>
      <w:r>
        <w:t>FPC</w:t>
      </w:r>
      <w:r w:rsidRPr="00072F39">
        <w:t xml:space="preserve"> on the </w:t>
      </w:r>
      <w:proofErr w:type="spellStart"/>
      <w:r>
        <w:t>OPC</w:t>
      </w:r>
      <w:r w:rsidRPr="00072F39">
        <w:t>’s</w:t>
      </w:r>
      <w:proofErr w:type="spellEnd"/>
      <w:r w:rsidRPr="00072F39">
        <w:t xml:space="preserve"> systems of </w:t>
      </w:r>
      <w:r>
        <w:t xml:space="preserve">financial and performance reporting, </w:t>
      </w:r>
      <w:r w:rsidRPr="00072F39">
        <w:t>risk oversight and management</w:t>
      </w:r>
      <w:r>
        <w:t>,</w:t>
      </w:r>
      <w:r w:rsidRPr="00072F39">
        <w:t xml:space="preserve"> </w:t>
      </w:r>
      <w:r>
        <w:t>internal control</w:t>
      </w:r>
      <w:r w:rsidRPr="00072F39">
        <w:t>, and its external accountability responsibilities.</w:t>
      </w:r>
    </w:p>
    <w:p w14:paraId="2C302CD6" w14:textId="77777777" w:rsidR="00663082" w:rsidRPr="00E82D04" w:rsidRDefault="00663082" w:rsidP="00663082">
      <w:pPr>
        <w:pStyle w:val="notetext"/>
      </w:pPr>
      <w:r>
        <w:t>Note:</w:t>
      </w:r>
      <w:r>
        <w:tab/>
        <w:t xml:space="preserve">See subsection 45(2) of the </w:t>
      </w:r>
      <w:proofErr w:type="spellStart"/>
      <w:r>
        <w:t>PGPA</w:t>
      </w:r>
      <w:proofErr w:type="spellEnd"/>
      <w:r>
        <w:t xml:space="preserve"> Act and section 17 of the </w:t>
      </w:r>
      <w:proofErr w:type="spellStart"/>
      <w:r>
        <w:t>PGPA</w:t>
      </w:r>
      <w:proofErr w:type="spellEnd"/>
      <w:r>
        <w:t xml:space="preserve"> Rule.</w:t>
      </w:r>
    </w:p>
    <w:p w14:paraId="4F34E542" w14:textId="77777777" w:rsidR="00663082" w:rsidRPr="001E2DE8" w:rsidRDefault="00663082" w:rsidP="00663082">
      <w:pPr>
        <w:pStyle w:val="Head3"/>
        <w:keepNext w:val="0"/>
        <w:spacing w:after="0"/>
      </w:pPr>
      <w:bookmarkStart w:id="6" w:name="_Toc144384463"/>
      <w:r w:rsidRPr="001E2DE8">
        <w:t>Responsibilities</w:t>
      </w:r>
      <w:bookmarkEnd w:id="6"/>
      <w:r w:rsidRPr="001E2DE8">
        <w:t xml:space="preserve"> </w:t>
      </w:r>
    </w:p>
    <w:p w14:paraId="3B4BF4CF" w14:textId="77777777" w:rsidR="00663082" w:rsidRDefault="00663082" w:rsidP="00663082">
      <w:pPr>
        <w:pStyle w:val="BodyNum"/>
      </w:pPr>
      <w:r w:rsidRPr="00072F39">
        <w:t xml:space="preserve">The Committee will review and provide advice to </w:t>
      </w:r>
      <w:r>
        <w:t>FPC</w:t>
      </w:r>
      <w:r w:rsidRPr="00072F39">
        <w:t xml:space="preserve"> on the </w:t>
      </w:r>
      <w:proofErr w:type="spellStart"/>
      <w:r>
        <w:t>OPC</w:t>
      </w:r>
      <w:r w:rsidRPr="00072F39">
        <w:t>’s</w:t>
      </w:r>
      <w:proofErr w:type="spellEnd"/>
      <w:r w:rsidRPr="00072F39">
        <w:t xml:space="preserve"> performance in carrying out the responsibilities below.</w:t>
      </w:r>
    </w:p>
    <w:p w14:paraId="6BFB8F40" w14:textId="77777777" w:rsidR="00663082" w:rsidRPr="00466BC3" w:rsidRDefault="00663082" w:rsidP="00663082">
      <w:pPr>
        <w:pStyle w:val="BodyNum"/>
        <w:numPr>
          <w:ilvl w:val="0"/>
          <w:numId w:val="0"/>
        </w:numPr>
        <w:rPr>
          <w:u w:val="single"/>
        </w:rPr>
      </w:pPr>
      <w:r w:rsidRPr="00466BC3">
        <w:rPr>
          <w:u w:val="single"/>
        </w:rPr>
        <w:t>Financial Reporting</w:t>
      </w:r>
    </w:p>
    <w:p w14:paraId="2CB3733A" w14:textId="77777777" w:rsidR="00663082" w:rsidRPr="00AB5605" w:rsidRDefault="00663082" w:rsidP="00663082">
      <w:pPr>
        <w:pStyle w:val="BodyNum"/>
        <w:spacing w:before="120"/>
      </w:pPr>
      <w:r w:rsidRPr="00AB5605">
        <w:t xml:space="preserve">The Committee is to review and provide advice on the appropriateness of the </w:t>
      </w:r>
      <w:proofErr w:type="spellStart"/>
      <w:r>
        <w:t>O</w:t>
      </w:r>
      <w:r w:rsidRPr="00AB5605">
        <w:t>PC’s</w:t>
      </w:r>
      <w:proofErr w:type="spellEnd"/>
      <w:r w:rsidRPr="00AB5605">
        <w:t>:</w:t>
      </w:r>
    </w:p>
    <w:p w14:paraId="7B583DFA" w14:textId="77777777" w:rsidR="00663082" w:rsidRPr="00CE6A8F" w:rsidRDefault="00663082" w:rsidP="00663082">
      <w:pPr>
        <w:pStyle w:val="ListParagraph"/>
        <w:numPr>
          <w:ilvl w:val="2"/>
          <w:numId w:val="14"/>
        </w:numPr>
        <w:spacing w:before="120" w:after="0" w:line="240" w:lineRule="auto"/>
        <w:rPr>
          <w:rFonts w:ascii="Times New Roman" w:hAnsi="Times New Roman" w:cs="Times New Roman"/>
          <w:sz w:val="24"/>
        </w:rPr>
      </w:pPr>
      <w:r w:rsidRPr="00CE6A8F">
        <w:rPr>
          <w:rFonts w:ascii="Times New Roman" w:hAnsi="Times New Roman" w:cs="Times New Roman"/>
          <w:sz w:val="24"/>
        </w:rPr>
        <w:t>annual financial statements;</w:t>
      </w:r>
    </w:p>
    <w:p w14:paraId="034E8BB9" w14:textId="77777777" w:rsidR="00663082" w:rsidRPr="00CE6A8F" w:rsidRDefault="00663082" w:rsidP="00663082">
      <w:pPr>
        <w:pStyle w:val="ListParagraph"/>
        <w:numPr>
          <w:ilvl w:val="2"/>
          <w:numId w:val="14"/>
        </w:numPr>
        <w:spacing w:before="240" w:after="0" w:line="240" w:lineRule="auto"/>
        <w:rPr>
          <w:rFonts w:ascii="Times New Roman" w:hAnsi="Times New Roman" w:cs="Times New Roman"/>
          <w:sz w:val="24"/>
          <w:lang w:eastAsia="en-AU"/>
        </w:rPr>
      </w:pPr>
      <w:r w:rsidRPr="00CE6A8F">
        <w:rPr>
          <w:rFonts w:ascii="Times New Roman" w:hAnsi="Times New Roman" w:cs="Times New Roman"/>
          <w:sz w:val="24"/>
        </w:rPr>
        <w:t xml:space="preserve">information (other than annual financial statements) requested by </w:t>
      </w:r>
      <w:r w:rsidRPr="00CE6A8F">
        <w:rPr>
          <w:rFonts w:ascii="Times New Roman" w:hAnsi="Times New Roman" w:cs="Times New Roman"/>
          <w:sz w:val="24"/>
          <w:lang w:eastAsia="en-AU"/>
        </w:rPr>
        <w:t xml:space="preserve">the </w:t>
      </w:r>
      <w:r w:rsidRPr="00CE6A8F">
        <w:rPr>
          <w:rFonts w:ascii="Times New Roman" w:hAnsi="Times New Roman" w:cs="Times New Roman"/>
          <w:sz w:val="24"/>
        </w:rPr>
        <w:t>Department of Finance (</w:t>
      </w:r>
      <w:r w:rsidRPr="002C37C5">
        <w:rPr>
          <w:rFonts w:ascii="Times New Roman" w:hAnsi="Times New Roman" w:cs="Times New Roman"/>
          <w:b/>
          <w:i/>
          <w:sz w:val="24"/>
        </w:rPr>
        <w:t>Finance</w:t>
      </w:r>
      <w:r w:rsidRPr="00CE6A8F">
        <w:rPr>
          <w:rFonts w:ascii="Times New Roman" w:hAnsi="Times New Roman" w:cs="Times New Roman"/>
          <w:sz w:val="24"/>
        </w:rPr>
        <w:t>)</w:t>
      </w:r>
      <w:r w:rsidRPr="00CE6A8F">
        <w:rPr>
          <w:rFonts w:ascii="Times New Roman" w:hAnsi="Times New Roman" w:cs="Times New Roman"/>
          <w:sz w:val="24"/>
          <w:lang w:eastAsia="en-AU"/>
        </w:rPr>
        <w:t xml:space="preserve"> in </w:t>
      </w:r>
      <w:r w:rsidRPr="00CE6A8F">
        <w:rPr>
          <w:rFonts w:ascii="Times New Roman" w:hAnsi="Times New Roman" w:cs="Times New Roman"/>
          <w:sz w:val="24"/>
        </w:rPr>
        <w:t>preparing</w:t>
      </w:r>
      <w:r w:rsidRPr="00CE6A8F">
        <w:rPr>
          <w:rFonts w:ascii="Times New Roman" w:hAnsi="Times New Roman" w:cs="Times New Roman"/>
          <w:sz w:val="24"/>
          <w:lang w:eastAsia="en-AU"/>
        </w:rPr>
        <w:t xml:space="preserve"> the </w:t>
      </w:r>
      <w:r w:rsidRPr="00CE6A8F">
        <w:rPr>
          <w:rFonts w:ascii="Times New Roman" w:hAnsi="Times New Roman" w:cs="Times New Roman"/>
          <w:sz w:val="24"/>
        </w:rPr>
        <w:t>Australian Government’s consolidated</w:t>
      </w:r>
      <w:r w:rsidRPr="00CE6A8F">
        <w:rPr>
          <w:rFonts w:ascii="Times New Roman" w:hAnsi="Times New Roman" w:cs="Times New Roman"/>
          <w:sz w:val="24"/>
          <w:lang w:eastAsia="en-AU"/>
        </w:rPr>
        <w:t xml:space="preserve"> financial statements</w:t>
      </w:r>
      <w:r w:rsidRPr="00CE6A8F">
        <w:rPr>
          <w:rFonts w:ascii="Times New Roman" w:hAnsi="Times New Roman" w:cs="Times New Roman"/>
          <w:sz w:val="24"/>
        </w:rPr>
        <w:t>, including the supplementary reporting package</w:t>
      </w:r>
      <w:r w:rsidRPr="00CE6A8F">
        <w:rPr>
          <w:rFonts w:ascii="Times New Roman" w:hAnsi="Times New Roman" w:cs="Times New Roman"/>
          <w:sz w:val="24"/>
          <w:lang w:eastAsia="en-AU"/>
        </w:rPr>
        <w:t>;</w:t>
      </w:r>
    </w:p>
    <w:p w14:paraId="7752DAE5" w14:textId="77777777" w:rsidR="00663082" w:rsidRPr="00CE6A8F" w:rsidRDefault="00663082" w:rsidP="00663082">
      <w:pPr>
        <w:pStyle w:val="ListParagraph"/>
        <w:numPr>
          <w:ilvl w:val="2"/>
          <w:numId w:val="14"/>
        </w:numPr>
        <w:spacing w:before="240" w:after="0" w:line="240" w:lineRule="auto"/>
        <w:rPr>
          <w:rFonts w:ascii="Times New Roman" w:hAnsi="Times New Roman" w:cs="Times New Roman"/>
          <w:sz w:val="24"/>
        </w:rPr>
      </w:pPr>
      <w:r w:rsidRPr="00CE6A8F">
        <w:rPr>
          <w:rFonts w:ascii="Times New Roman" w:hAnsi="Times New Roman" w:cs="Times New Roman"/>
          <w:sz w:val="24"/>
        </w:rPr>
        <w:t>processes and systems for preparing financial reporting information;</w:t>
      </w:r>
    </w:p>
    <w:p w14:paraId="40A48738" w14:textId="77777777" w:rsidR="00663082" w:rsidRPr="00CE6A8F" w:rsidRDefault="00663082" w:rsidP="00663082">
      <w:pPr>
        <w:pStyle w:val="ListParagraph"/>
        <w:numPr>
          <w:ilvl w:val="2"/>
          <w:numId w:val="14"/>
        </w:numPr>
        <w:spacing w:before="240" w:after="0" w:line="240" w:lineRule="auto"/>
        <w:rPr>
          <w:rFonts w:ascii="Times New Roman" w:hAnsi="Times New Roman" w:cs="Times New Roman"/>
          <w:sz w:val="24"/>
        </w:rPr>
      </w:pPr>
      <w:r w:rsidRPr="00CE6A8F">
        <w:rPr>
          <w:rFonts w:ascii="Times New Roman" w:hAnsi="Times New Roman" w:cs="Times New Roman"/>
          <w:sz w:val="24"/>
        </w:rPr>
        <w:lastRenderedPageBreak/>
        <w:t>financial record keeping; and</w:t>
      </w:r>
    </w:p>
    <w:p w14:paraId="02E43BD9" w14:textId="77777777" w:rsidR="00663082" w:rsidRDefault="00663082" w:rsidP="00663082">
      <w:pPr>
        <w:pStyle w:val="ListParagraph"/>
        <w:numPr>
          <w:ilvl w:val="2"/>
          <w:numId w:val="14"/>
        </w:numPr>
        <w:spacing w:before="240" w:after="0" w:line="240" w:lineRule="auto"/>
        <w:rPr>
          <w:rFonts w:ascii="Times New Roman" w:hAnsi="Times New Roman" w:cs="Times New Roman"/>
          <w:sz w:val="24"/>
        </w:rPr>
      </w:pPr>
      <w:r w:rsidRPr="00CE6A8F">
        <w:rPr>
          <w:rFonts w:ascii="Times New Roman" w:hAnsi="Times New Roman" w:cs="Times New Roman"/>
          <w:sz w:val="24"/>
        </w:rPr>
        <w:t xml:space="preserve">processes in place to allow the </w:t>
      </w:r>
      <w:r>
        <w:rPr>
          <w:rFonts w:ascii="Times New Roman" w:hAnsi="Times New Roman" w:cs="Times New Roman"/>
          <w:sz w:val="24"/>
        </w:rPr>
        <w:t>FPC</w:t>
      </w:r>
      <w:r w:rsidRPr="00CE6A8F">
        <w:rPr>
          <w:rFonts w:ascii="Times New Roman" w:hAnsi="Times New Roman" w:cs="Times New Roman"/>
          <w:sz w:val="24"/>
        </w:rPr>
        <w:t xml:space="preserve"> to stay informed throughout the year of any changes or additional requirements in relation to the financial reporting.</w:t>
      </w:r>
    </w:p>
    <w:p w14:paraId="08D8B8C5" w14:textId="77777777" w:rsidR="00663082" w:rsidRPr="00AB5605" w:rsidRDefault="00663082" w:rsidP="00663082">
      <w:pPr>
        <w:pStyle w:val="BodyNum"/>
        <w:spacing w:before="120"/>
      </w:pPr>
      <w:r w:rsidRPr="00AB5605">
        <w:t xml:space="preserve">The Committee is to provide a statement to the </w:t>
      </w:r>
      <w:r>
        <w:t>FPC</w:t>
      </w:r>
      <w:r w:rsidRPr="00AB5605">
        <w:t>:</w:t>
      </w:r>
    </w:p>
    <w:p w14:paraId="7D35153D" w14:textId="77777777" w:rsidR="00663082" w:rsidRPr="00CE6A8F" w:rsidRDefault="00663082" w:rsidP="00663082">
      <w:pPr>
        <w:pStyle w:val="ListParagraph"/>
        <w:numPr>
          <w:ilvl w:val="2"/>
          <w:numId w:val="14"/>
        </w:numPr>
        <w:spacing w:before="120" w:after="0" w:line="240" w:lineRule="auto"/>
        <w:rPr>
          <w:rFonts w:ascii="Times New Roman" w:hAnsi="Times New Roman" w:cs="Times New Roman"/>
          <w:sz w:val="24"/>
          <w:lang w:eastAsia="en-AU"/>
        </w:rPr>
      </w:pPr>
      <w:r w:rsidRPr="00CE6A8F">
        <w:rPr>
          <w:rFonts w:ascii="Times New Roman" w:hAnsi="Times New Roman" w:cs="Times New Roman"/>
          <w:sz w:val="24"/>
        </w:rPr>
        <w:t>whether the annual financial statements, in the Committee’s view, comply with</w:t>
      </w:r>
      <w:r w:rsidRPr="00CE6A8F">
        <w:rPr>
          <w:rFonts w:ascii="Times New Roman" w:hAnsi="Times New Roman" w:cs="Times New Roman"/>
          <w:sz w:val="24"/>
          <w:lang w:eastAsia="en-AU"/>
        </w:rPr>
        <w:t xml:space="preserve"> the </w:t>
      </w:r>
      <w:proofErr w:type="spellStart"/>
      <w:r w:rsidRPr="00CE6A8F">
        <w:rPr>
          <w:rFonts w:ascii="Times New Roman" w:hAnsi="Times New Roman" w:cs="Times New Roman"/>
          <w:sz w:val="24"/>
          <w:lang w:eastAsia="en-AU"/>
        </w:rPr>
        <w:t>PGPA</w:t>
      </w:r>
      <w:proofErr w:type="spellEnd"/>
      <w:r w:rsidRPr="00CE6A8F">
        <w:rPr>
          <w:rFonts w:ascii="Times New Roman" w:hAnsi="Times New Roman" w:cs="Times New Roman"/>
          <w:sz w:val="24"/>
          <w:lang w:eastAsia="en-AU"/>
        </w:rPr>
        <w:t xml:space="preserve"> Act</w:t>
      </w:r>
      <w:r w:rsidRPr="00CE6A8F">
        <w:rPr>
          <w:rFonts w:ascii="Times New Roman" w:hAnsi="Times New Roman" w:cs="Times New Roman"/>
          <w:sz w:val="24"/>
        </w:rPr>
        <w:t xml:space="preserve">, the </w:t>
      </w:r>
      <w:proofErr w:type="spellStart"/>
      <w:r w:rsidRPr="00CE6A8F">
        <w:rPr>
          <w:rFonts w:ascii="Times New Roman" w:hAnsi="Times New Roman" w:cs="Times New Roman"/>
          <w:sz w:val="24"/>
        </w:rPr>
        <w:t>PGPA</w:t>
      </w:r>
      <w:proofErr w:type="spellEnd"/>
      <w:r w:rsidRPr="00CE6A8F">
        <w:rPr>
          <w:rFonts w:ascii="Times New Roman" w:hAnsi="Times New Roman" w:cs="Times New Roman"/>
          <w:sz w:val="24"/>
        </w:rPr>
        <w:t xml:space="preserve"> Rule, the Accounting Standards and supporting guidance;</w:t>
      </w:r>
    </w:p>
    <w:p w14:paraId="787CB46B" w14:textId="77777777" w:rsidR="00663082" w:rsidRPr="00CE6A8F" w:rsidRDefault="00663082" w:rsidP="00663082">
      <w:pPr>
        <w:pStyle w:val="ListParagraph"/>
        <w:numPr>
          <w:ilvl w:val="2"/>
          <w:numId w:val="14"/>
        </w:numPr>
        <w:spacing w:before="120" w:after="0" w:line="240" w:lineRule="auto"/>
        <w:rPr>
          <w:rFonts w:ascii="Times New Roman" w:hAnsi="Times New Roman" w:cs="Times New Roman"/>
          <w:sz w:val="24"/>
        </w:rPr>
      </w:pPr>
      <w:r w:rsidRPr="00CE6A8F">
        <w:rPr>
          <w:rFonts w:ascii="Times New Roman" w:hAnsi="Times New Roman" w:cs="Times New Roman"/>
          <w:sz w:val="24"/>
        </w:rPr>
        <w:t xml:space="preserve">whether additional </w:t>
      </w:r>
      <w:proofErr w:type="spellStart"/>
      <w:r>
        <w:rPr>
          <w:rFonts w:ascii="Times New Roman" w:hAnsi="Times New Roman" w:cs="Times New Roman"/>
          <w:sz w:val="24"/>
        </w:rPr>
        <w:t>OPC</w:t>
      </w:r>
      <w:proofErr w:type="spellEnd"/>
      <w:r w:rsidRPr="00CE6A8F">
        <w:rPr>
          <w:rFonts w:ascii="Times New Roman" w:hAnsi="Times New Roman" w:cs="Times New Roman"/>
          <w:sz w:val="24"/>
        </w:rPr>
        <w:t xml:space="preserve"> information (other than financial statements) required by Finance for the purpose of preparing the Australian Government consolidated financial statements (including the supplementary reporting package) comply with the </w:t>
      </w:r>
      <w:proofErr w:type="spellStart"/>
      <w:r w:rsidRPr="00CE6A8F">
        <w:rPr>
          <w:rFonts w:ascii="Times New Roman" w:hAnsi="Times New Roman" w:cs="Times New Roman"/>
          <w:sz w:val="24"/>
        </w:rPr>
        <w:t>PGPA</w:t>
      </w:r>
      <w:proofErr w:type="spellEnd"/>
      <w:r w:rsidRPr="00CE6A8F">
        <w:rPr>
          <w:rFonts w:ascii="Times New Roman" w:hAnsi="Times New Roman" w:cs="Times New Roman"/>
          <w:sz w:val="24"/>
        </w:rPr>
        <w:t xml:space="preserve"> Act, the </w:t>
      </w:r>
      <w:proofErr w:type="spellStart"/>
      <w:r w:rsidRPr="00CE6A8F">
        <w:rPr>
          <w:rFonts w:ascii="Times New Roman" w:hAnsi="Times New Roman" w:cs="Times New Roman"/>
          <w:sz w:val="24"/>
        </w:rPr>
        <w:t>PGPA</w:t>
      </w:r>
      <w:proofErr w:type="spellEnd"/>
      <w:r w:rsidRPr="00CE6A8F">
        <w:rPr>
          <w:rFonts w:ascii="Times New Roman" w:hAnsi="Times New Roman" w:cs="Times New Roman"/>
          <w:sz w:val="24"/>
        </w:rPr>
        <w:t xml:space="preserve"> Rule, the Accounting Standards and supporting guidance; and</w:t>
      </w:r>
    </w:p>
    <w:p w14:paraId="632253BF" w14:textId="77777777" w:rsidR="00663082" w:rsidRPr="00CE6A8F" w:rsidRDefault="00663082" w:rsidP="00663082">
      <w:pPr>
        <w:pStyle w:val="ListParagraph"/>
        <w:numPr>
          <w:ilvl w:val="2"/>
          <w:numId w:val="14"/>
        </w:numPr>
        <w:spacing w:before="120" w:after="0" w:line="240" w:lineRule="auto"/>
        <w:rPr>
          <w:rFonts w:ascii="Times New Roman" w:hAnsi="Times New Roman" w:cs="Times New Roman"/>
          <w:sz w:val="24"/>
        </w:rPr>
      </w:pPr>
      <w:r w:rsidRPr="00CE6A8F">
        <w:rPr>
          <w:rFonts w:ascii="Times New Roman" w:hAnsi="Times New Roman" w:cs="Times New Roman"/>
          <w:sz w:val="24"/>
        </w:rPr>
        <w:t xml:space="preserve">in respect of the appropriateness of the </w:t>
      </w:r>
      <w:proofErr w:type="spellStart"/>
      <w:r>
        <w:rPr>
          <w:rFonts w:ascii="Times New Roman" w:hAnsi="Times New Roman" w:cs="Times New Roman"/>
          <w:sz w:val="24"/>
        </w:rPr>
        <w:t>OPC</w:t>
      </w:r>
      <w:r w:rsidRPr="00CE6A8F">
        <w:rPr>
          <w:rFonts w:ascii="Times New Roman" w:hAnsi="Times New Roman" w:cs="Times New Roman"/>
          <w:sz w:val="24"/>
        </w:rPr>
        <w:t>’s</w:t>
      </w:r>
      <w:proofErr w:type="spellEnd"/>
      <w:r w:rsidRPr="00CE6A8F">
        <w:rPr>
          <w:rFonts w:ascii="Times New Roman" w:hAnsi="Times New Roman" w:cs="Times New Roman"/>
          <w:sz w:val="24"/>
        </w:rPr>
        <w:t xml:space="preserve"> financial reporting as a whole, with reference to any specific areas of concern or suggestions for improvement.</w:t>
      </w:r>
    </w:p>
    <w:p w14:paraId="36F3AF5D" w14:textId="77777777" w:rsidR="00663082" w:rsidRPr="007C46B2" w:rsidRDefault="00663082" w:rsidP="00663082">
      <w:pPr>
        <w:pStyle w:val="BodyNum"/>
        <w:numPr>
          <w:ilvl w:val="0"/>
          <w:numId w:val="0"/>
        </w:numPr>
        <w:rPr>
          <w:u w:val="single"/>
        </w:rPr>
      </w:pPr>
      <w:r w:rsidRPr="007C46B2">
        <w:rPr>
          <w:u w:val="single"/>
        </w:rPr>
        <w:t xml:space="preserve">Performance </w:t>
      </w:r>
      <w:r>
        <w:rPr>
          <w:u w:val="single"/>
        </w:rPr>
        <w:t>R</w:t>
      </w:r>
      <w:r w:rsidRPr="007C46B2">
        <w:rPr>
          <w:u w:val="single"/>
        </w:rPr>
        <w:t>eporting</w:t>
      </w:r>
    </w:p>
    <w:p w14:paraId="3D9B489E" w14:textId="77777777" w:rsidR="00663082" w:rsidRPr="00B35B13" w:rsidRDefault="00663082" w:rsidP="00663082">
      <w:pPr>
        <w:pStyle w:val="BodyNum"/>
      </w:pPr>
      <w:r w:rsidRPr="00B35B13">
        <w:t xml:space="preserve">The Committee is to review and provide advice on the appropriateness of the </w:t>
      </w:r>
      <w:proofErr w:type="spellStart"/>
      <w:r>
        <w:t>O</w:t>
      </w:r>
      <w:r w:rsidRPr="00B35B13">
        <w:t>PC’s</w:t>
      </w:r>
      <w:proofErr w:type="spellEnd"/>
      <w:r w:rsidRPr="00B35B13">
        <w:t xml:space="preserve"> systems and procedures for assessing, monitoring and reporting on achievement of the </w:t>
      </w:r>
      <w:proofErr w:type="spellStart"/>
      <w:r>
        <w:t>O</w:t>
      </w:r>
      <w:r w:rsidRPr="00B35B13">
        <w:t>PC’s</w:t>
      </w:r>
      <w:proofErr w:type="spellEnd"/>
      <w:r w:rsidRPr="00B35B13">
        <w:t xml:space="preserve"> performance. In particular, the Committee should satisfy itself that:</w:t>
      </w:r>
    </w:p>
    <w:p w14:paraId="093DBA55" w14:textId="77777777" w:rsidR="00663082" w:rsidRPr="002D6B7E" w:rsidRDefault="00663082" w:rsidP="00663082">
      <w:pPr>
        <w:pStyle w:val="ListParagraph"/>
        <w:numPr>
          <w:ilvl w:val="2"/>
          <w:numId w:val="15"/>
        </w:numPr>
        <w:spacing w:before="240" w:after="0" w:line="240" w:lineRule="auto"/>
        <w:rPr>
          <w:rFonts w:ascii="Times New Roman" w:hAnsi="Times New Roman" w:cs="Times New Roman"/>
          <w:sz w:val="24"/>
        </w:rPr>
      </w:pPr>
      <w:r w:rsidRPr="002D6B7E">
        <w:rPr>
          <w:rFonts w:ascii="Times New Roman" w:hAnsi="Times New Roman" w:cs="Times New Roman"/>
          <w:sz w:val="24"/>
        </w:rPr>
        <w:t xml:space="preserve">the </w:t>
      </w:r>
      <w:proofErr w:type="spellStart"/>
      <w:r>
        <w:rPr>
          <w:rFonts w:ascii="Times New Roman" w:hAnsi="Times New Roman" w:cs="Times New Roman"/>
          <w:sz w:val="24"/>
        </w:rPr>
        <w:t>O</w:t>
      </w:r>
      <w:r w:rsidRPr="002D6B7E">
        <w:rPr>
          <w:rFonts w:ascii="Times New Roman" w:hAnsi="Times New Roman" w:cs="Times New Roman"/>
          <w:sz w:val="24"/>
        </w:rPr>
        <w:t>PC’s</w:t>
      </w:r>
      <w:proofErr w:type="spellEnd"/>
      <w:r w:rsidRPr="002D6B7E">
        <w:rPr>
          <w:rFonts w:ascii="Times New Roman" w:hAnsi="Times New Roman" w:cs="Times New Roman"/>
          <w:sz w:val="24"/>
        </w:rPr>
        <w:t xml:space="preserve"> </w:t>
      </w:r>
      <w:r w:rsidRPr="002D6B7E">
        <w:rPr>
          <w:rFonts w:ascii="Times New Roman" w:hAnsi="Times New Roman" w:cs="Times New Roman"/>
          <w:sz w:val="24"/>
          <w:lang w:eastAsia="en-AU"/>
        </w:rPr>
        <w:t xml:space="preserve">Portfolio Budget Statements and Corporate Plan </w:t>
      </w:r>
      <w:r w:rsidRPr="002D6B7E">
        <w:rPr>
          <w:rFonts w:ascii="Times New Roman" w:hAnsi="Times New Roman" w:cs="Times New Roman"/>
          <w:sz w:val="24"/>
        </w:rPr>
        <w:t xml:space="preserve">contain appropriate </w:t>
      </w:r>
      <w:r w:rsidRPr="002D6B7E">
        <w:rPr>
          <w:rFonts w:ascii="Times New Roman" w:hAnsi="Times New Roman" w:cs="Times New Roman"/>
          <w:sz w:val="24"/>
          <w:lang w:eastAsia="en-AU"/>
        </w:rPr>
        <w:t xml:space="preserve">details of how the </w:t>
      </w:r>
      <w:proofErr w:type="spellStart"/>
      <w:r>
        <w:rPr>
          <w:rFonts w:ascii="Times New Roman" w:hAnsi="Times New Roman" w:cs="Times New Roman"/>
          <w:sz w:val="24"/>
          <w:lang w:eastAsia="en-AU"/>
        </w:rPr>
        <w:t>O</w:t>
      </w:r>
      <w:r w:rsidRPr="002D6B7E">
        <w:rPr>
          <w:rFonts w:ascii="Times New Roman" w:hAnsi="Times New Roman" w:cs="Times New Roman"/>
          <w:sz w:val="24"/>
          <w:lang w:eastAsia="en-AU"/>
        </w:rPr>
        <w:t>PC’s</w:t>
      </w:r>
      <w:proofErr w:type="spellEnd"/>
      <w:r w:rsidRPr="002D6B7E">
        <w:rPr>
          <w:rFonts w:ascii="Times New Roman" w:hAnsi="Times New Roman" w:cs="Times New Roman"/>
          <w:sz w:val="24"/>
          <w:lang w:eastAsia="en-AU"/>
        </w:rPr>
        <w:t xml:space="preserve"> performance will be measured and assessed</w:t>
      </w:r>
      <w:r w:rsidRPr="002D6B7E">
        <w:rPr>
          <w:rFonts w:ascii="Times New Roman" w:hAnsi="Times New Roman" w:cs="Times New Roman"/>
          <w:sz w:val="24"/>
        </w:rPr>
        <w:t>;</w:t>
      </w:r>
    </w:p>
    <w:p w14:paraId="2021F5B2" w14:textId="77777777" w:rsidR="00663082" w:rsidRPr="00327DE4" w:rsidRDefault="00663082" w:rsidP="00663082">
      <w:pPr>
        <w:pStyle w:val="ListParagraph"/>
        <w:numPr>
          <w:ilvl w:val="2"/>
          <w:numId w:val="15"/>
        </w:numPr>
        <w:spacing w:before="240" w:after="0" w:line="240" w:lineRule="auto"/>
        <w:rPr>
          <w:rFonts w:ascii="Times New Roman" w:hAnsi="Times New Roman" w:cs="Times New Roman"/>
          <w:sz w:val="24"/>
          <w:lang w:eastAsia="en-AU"/>
        </w:rPr>
      </w:pPr>
      <w:r w:rsidRPr="002D6B7E">
        <w:rPr>
          <w:rFonts w:ascii="Times New Roman" w:hAnsi="Times New Roman" w:cs="Times New Roman"/>
          <w:sz w:val="24"/>
          <w:lang w:eastAsia="en-AU"/>
        </w:rPr>
        <w:t xml:space="preserve">the </w:t>
      </w:r>
      <w:proofErr w:type="spellStart"/>
      <w:r>
        <w:rPr>
          <w:rFonts w:ascii="Times New Roman" w:hAnsi="Times New Roman" w:cs="Times New Roman"/>
          <w:sz w:val="24"/>
          <w:lang w:eastAsia="en-AU"/>
        </w:rPr>
        <w:t>O</w:t>
      </w:r>
      <w:r w:rsidRPr="002D6B7E">
        <w:rPr>
          <w:rFonts w:ascii="Times New Roman" w:hAnsi="Times New Roman" w:cs="Times New Roman"/>
          <w:sz w:val="24"/>
          <w:lang w:eastAsia="en-AU"/>
        </w:rPr>
        <w:t>PC’s</w:t>
      </w:r>
      <w:proofErr w:type="spellEnd"/>
      <w:r w:rsidRPr="002D6B7E">
        <w:rPr>
          <w:rFonts w:ascii="Times New Roman" w:hAnsi="Times New Roman" w:cs="Times New Roman"/>
          <w:sz w:val="24"/>
          <w:lang w:eastAsia="en-AU"/>
        </w:rPr>
        <w:t xml:space="preserve"> approach to measuring its performance </w:t>
      </w:r>
      <w:r w:rsidRPr="002D6B7E">
        <w:rPr>
          <w:rFonts w:ascii="Times New Roman" w:hAnsi="Times New Roman" w:cs="Times New Roman"/>
          <w:sz w:val="24"/>
        </w:rPr>
        <w:t xml:space="preserve">throughout the financial year </w:t>
      </w:r>
      <w:r w:rsidRPr="002D6B7E">
        <w:rPr>
          <w:rFonts w:ascii="Times New Roman" w:hAnsi="Times New Roman" w:cs="Times New Roman"/>
          <w:sz w:val="24"/>
          <w:lang w:eastAsia="en-AU"/>
        </w:rPr>
        <w:t xml:space="preserve">against the performance measures included in its Portfolio Budget Statements and </w:t>
      </w:r>
      <w:r w:rsidRPr="00327DE4">
        <w:rPr>
          <w:rFonts w:ascii="Times New Roman" w:hAnsi="Times New Roman" w:cs="Times New Roman"/>
          <w:sz w:val="24"/>
          <w:lang w:eastAsia="en-AU"/>
        </w:rPr>
        <w:t xml:space="preserve">Corporate Plan is </w:t>
      </w:r>
      <w:r w:rsidRPr="00327DE4">
        <w:rPr>
          <w:rFonts w:ascii="Times New Roman" w:hAnsi="Times New Roman" w:cs="Times New Roman"/>
          <w:sz w:val="24"/>
        </w:rPr>
        <w:t xml:space="preserve">appropriate and in accordance with the </w:t>
      </w:r>
      <w:hyperlink r:id="rId8">
        <w:r w:rsidRPr="00327DE4">
          <w:rPr>
            <w:rStyle w:val="Hyperlink"/>
            <w:rFonts w:ascii="Times New Roman" w:hAnsi="Times New Roman"/>
            <w:sz w:val="24"/>
          </w:rPr>
          <w:t>Commonwealth performance framework</w:t>
        </w:r>
      </w:hyperlink>
      <w:r w:rsidRPr="00327DE4">
        <w:rPr>
          <w:rFonts w:ascii="Times New Roman" w:hAnsi="Times New Roman" w:cs="Times New Roman"/>
          <w:sz w:val="24"/>
        </w:rPr>
        <w:t>. This may include reviewing, over time, particular elements of the performance measures; and</w:t>
      </w:r>
    </w:p>
    <w:p w14:paraId="51DB6496" w14:textId="77777777" w:rsidR="00663082" w:rsidRPr="002C37C5" w:rsidRDefault="00663082" w:rsidP="00663082">
      <w:pPr>
        <w:pStyle w:val="ListParagraph"/>
        <w:numPr>
          <w:ilvl w:val="2"/>
          <w:numId w:val="15"/>
        </w:numPr>
        <w:spacing w:before="240" w:after="0" w:line="240" w:lineRule="auto"/>
        <w:rPr>
          <w:rFonts w:ascii="Times New Roman" w:hAnsi="Times New Roman" w:cs="Times New Roman"/>
          <w:sz w:val="24"/>
        </w:rPr>
      </w:pPr>
      <w:r w:rsidRPr="00327DE4">
        <w:rPr>
          <w:rFonts w:ascii="Times New Roman" w:hAnsi="Times New Roman" w:cs="Times New Roman"/>
          <w:sz w:val="24"/>
        </w:rPr>
        <w:t xml:space="preserve">the </w:t>
      </w:r>
      <w:proofErr w:type="spellStart"/>
      <w:r>
        <w:rPr>
          <w:rFonts w:ascii="Times New Roman" w:hAnsi="Times New Roman" w:cs="Times New Roman"/>
          <w:sz w:val="24"/>
        </w:rPr>
        <w:t>O</w:t>
      </w:r>
      <w:r w:rsidRPr="00327DE4">
        <w:rPr>
          <w:rFonts w:ascii="Times New Roman" w:hAnsi="Times New Roman" w:cs="Times New Roman"/>
          <w:sz w:val="24"/>
        </w:rPr>
        <w:t>PC</w:t>
      </w:r>
      <w:proofErr w:type="spellEnd"/>
      <w:r w:rsidRPr="00327DE4">
        <w:rPr>
          <w:rFonts w:ascii="Times New Roman" w:hAnsi="Times New Roman" w:cs="Times New Roman"/>
          <w:sz w:val="24"/>
        </w:rPr>
        <w:t xml:space="preserve"> has appropriate systems</w:t>
      </w:r>
      <w:r w:rsidRPr="00327DE4">
        <w:rPr>
          <w:rFonts w:ascii="Times New Roman" w:hAnsi="Times New Roman" w:cs="Times New Roman"/>
          <w:sz w:val="24"/>
          <w:lang w:eastAsia="en-AU"/>
        </w:rPr>
        <w:t xml:space="preserve"> and processes </w:t>
      </w:r>
      <w:r w:rsidRPr="00327DE4">
        <w:rPr>
          <w:rFonts w:ascii="Times New Roman" w:hAnsi="Times New Roman" w:cs="Times New Roman"/>
          <w:sz w:val="24"/>
        </w:rPr>
        <w:t>for</w:t>
      </w:r>
      <w:r w:rsidRPr="00327DE4">
        <w:rPr>
          <w:rFonts w:ascii="Times New Roman" w:hAnsi="Times New Roman" w:cs="Times New Roman"/>
          <w:sz w:val="24"/>
          <w:lang w:eastAsia="en-AU"/>
        </w:rPr>
        <w:t xml:space="preserve"> preparation of </w:t>
      </w:r>
      <w:r w:rsidRPr="00327DE4">
        <w:rPr>
          <w:rFonts w:ascii="Times New Roman" w:hAnsi="Times New Roman" w:cs="Times New Roman"/>
          <w:sz w:val="24"/>
        </w:rPr>
        <w:t>its</w:t>
      </w:r>
      <w:r w:rsidRPr="00327DE4">
        <w:rPr>
          <w:rFonts w:ascii="Times New Roman" w:hAnsi="Times New Roman" w:cs="Times New Roman"/>
          <w:sz w:val="24"/>
          <w:lang w:eastAsia="en-AU"/>
        </w:rPr>
        <w:t xml:space="preserve"> annual performance statement and inclusion of the statement in its annual report</w:t>
      </w:r>
      <w:r w:rsidRPr="00327DE4">
        <w:rPr>
          <w:rFonts w:ascii="Times New Roman" w:hAnsi="Times New Roman" w:cs="Times New Roman"/>
          <w:sz w:val="24"/>
        </w:rPr>
        <w:t>.</w:t>
      </w:r>
    </w:p>
    <w:p w14:paraId="68AEADCC" w14:textId="77777777" w:rsidR="00663082" w:rsidRPr="00327DE4" w:rsidRDefault="00663082" w:rsidP="00663082">
      <w:pPr>
        <w:pStyle w:val="BodyNum"/>
      </w:pPr>
      <w:r w:rsidRPr="00327DE4">
        <w:t xml:space="preserve">The Committee is to review the annual performance statements and provide advice to the </w:t>
      </w:r>
      <w:r>
        <w:t>FPC</w:t>
      </w:r>
      <w:r w:rsidRPr="00327DE4">
        <w:t xml:space="preserve"> on their appropriateness.</w:t>
      </w:r>
    </w:p>
    <w:p w14:paraId="104E6D1D" w14:textId="77777777" w:rsidR="00663082" w:rsidRPr="00327DE4" w:rsidRDefault="00663082" w:rsidP="00663082">
      <w:pPr>
        <w:pStyle w:val="BodyNum"/>
      </w:pPr>
      <w:r>
        <w:t>T</w:t>
      </w:r>
      <w:r w:rsidRPr="00327DE4">
        <w:t xml:space="preserve">he Committee is to provide a statement to the </w:t>
      </w:r>
      <w:r>
        <w:t>FPC</w:t>
      </w:r>
      <w:r w:rsidRPr="00327DE4">
        <w:t xml:space="preserve"> whether, in their view, the </w:t>
      </w:r>
      <w:proofErr w:type="spellStart"/>
      <w:r>
        <w:t>O</w:t>
      </w:r>
      <w:r w:rsidRPr="00327DE4">
        <w:t>PC’s</w:t>
      </w:r>
      <w:proofErr w:type="spellEnd"/>
      <w:r w:rsidRPr="00327DE4">
        <w:t xml:space="preserve"> annual performance statements and performance reporting as a whole is appropriate, with reference to any specific areas of concern or suggestions for improvement.</w:t>
      </w:r>
    </w:p>
    <w:p w14:paraId="2BBCAAA2" w14:textId="77777777" w:rsidR="00663082" w:rsidRPr="007C46B2" w:rsidRDefault="00663082" w:rsidP="00663082">
      <w:pPr>
        <w:pStyle w:val="BodyNum"/>
        <w:numPr>
          <w:ilvl w:val="0"/>
          <w:numId w:val="0"/>
        </w:numPr>
        <w:rPr>
          <w:u w:val="single"/>
        </w:rPr>
      </w:pPr>
      <w:r>
        <w:rPr>
          <w:u w:val="single"/>
        </w:rPr>
        <w:t xml:space="preserve">System of </w:t>
      </w:r>
      <w:r w:rsidRPr="007C46B2">
        <w:rPr>
          <w:u w:val="single"/>
        </w:rPr>
        <w:t xml:space="preserve">Risk </w:t>
      </w:r>
      <w:r>
        <w:rPr>
          <w:u w:val="single"/>
        </w:rPr>
        <w:t>O</w:t>
      </w:r>
      <w:r w:rsidRPr="007C46B2">
        <w:rPr>
          <w:u w:val="single"/>
        </w:rPr>
        <w:t xml:space="preserve">versight and </w:t>
      </w:r>
      <w:r>
        <w:rPr>
          <w:u w:val="single"/>
        </w:rPr>
        <w:t>M</w:t>
      </w:r>
      <w:r w:rsidRPr="007C46B2">
        <w:rPr>
          <w:u w:val="single"/>
        </w:rPr>
        <w:t>anagement</w:t>
      </w:r>
    </w:p>
    <w:p w14:paraId="7FEACC0F" w14:textId="77777777" w:rsidR="00663082" w:rsidRPr="00327DE4" w:rsidRDefault="00663082" w:rsidP="00663082">
      <w:pPr>
        <w:pStyle w:val="BodyNum"/>
      </w:pPr>
      <w:r w:rsidRPr="00327DE4">
        <w:t xml:space="preserve">The Committee is to review and provide advice on the appropriateness of the </w:t>
      </w:r>
      <w:proofErr w:type="spellStart"/>
      <w:r>
        <w:t>O</w:t>
      </w:r>
      <w:r w:rsidRPr="00327DE4">
        <w:t>PC’s</w:t>
      </w:r>
      <w:proofErr w:type="spellEnd"/>
      <w:r w:rsidRPr="00327DE4">
        <w:t>:</w:t>
      </w:r>
    </w:p>
    <w:p w14:paraId="6DA35907" w14:textId="77777777" w:rsidR="00663082" w:rsidRPr="00327DE4" w:rsidRDefault="00663082" w:rsidP="00663082">
      <w:pPr>
        <w:pStyle w:val="ListParagraph"/>
        <w:numPr>
          <w:ilvl w:val="2"/>
          <w:numId w:val="16"/>
        </w:numPr>
        <w:tabs>
          <w:tab w:val="left" w:pos="1276"/>
        </w:tabs>
        <w:spacing w:before="120" w:after="0" w:line="240" w:lineRule="auto"/>
        <w:ind w:left="1134" w:hanging="425"/>
        <w:rPr>
          <w:rFonts w:ascii="Times New Roman" w:hAnsi="Times New Roman" w:cs="Times New Roman"/>
          <w:sz w:val="24"/>
          <w:lang w:eastAsia="en-AU"/>
        </w:rPr>
      </w:pPr>
      <w:r w:rsidRPr="00327DE4">
        <w:rPr>
          <w:rFonts w:ascii="Times New Roman" w:hAnsi="Times New Roman" w:cs="Times New Roman"/>
          <w:sz w:val="24"/>
        </w:rPr>
        <w:t>enterprise</w:t>
      </w:r>
      <w:r w:rsidRPr="00327DE4">
        <w:rPr>
          <w:rFonts w:ascii="Times New Roman" w:hAnsi="Times New Roman" w:cs="Times New Roman"/>
          <w:sz w:val="24"/>
          <w:lang w:eastAsia="en-AU"/>
        </w:rPr>
        <w:t xml:space="preserve"> risk management </w:t>
      </w:r>
      <w:r w:rsidRPr="00327DE4">
        <w:rPr>
          <w:rFonts w:ascii="Times New Roman" w:hAnsi="Times New Roman" w:cs="Times New Roman"/>
          <w:sz w:val="24"/>
        </w:rPr>
        <w:t xml:space="preserve">policy </w:t>
      </w:r>
      <w:r w:rsidRPr="00327DE4">
        <w:rPr>
          <w:rFonts w:ascii="Times New Roman" w:hAnsi="Times New Roman" w:cs="Times New Roman"/>
          <w:sz w:val="24"/>
          <w:lang w:eastAsia="en-AU"/>
        </w:rPr>
        <w:t xml:space="preserve">framework and </w:t>
      </w:r>
      <w:r w:rsidRPr="00327DE4">
        <w:rPr>
          <w:rFonts w:ascii="Times New Roman" w:hAnsi="Times New Roman" w:cs="Times New Roman"/>
          <w:sz w:val="24"/>
        </w:rPr>
        <w:t>the necessary internal controls</w:t>
      </w:r>
      <w:r w:rsidRPr="00327DE4">
        <w:rPr>
          <w:rFonts w:ascii="Times New Roman" w:hAnsi="Times New Roman" w:cs="Times New Roman"/>
          <w:sz w:val="24"/>
          <w:lang w:eastAsia="en-AU"/>
        </w:rPr>
        <w:t xml:space="preserve"> for </w:t>
      </w:r>
      <w:r w:rsidRPr="00327DE4">
        <w:rPr>
          <w:rFonts w:ascii="Times New Roman" w:hAnsi="Times New Roman" w:cs="Times New Roman"/>
          <w:sz w:val="24"/>
        </w:rPr>
        <w:t xml:space="preserve">the </w:t>
      </w:r>
      <w:r w:rsidRPr="00327DE4">
        <w:rPr>
          <w:rFonts w:ascii="Times New Roman" w:hAnsi="Times New Roman" w:cs="Times New Roman"/>
          <w:sz w:val="24"/>
          <w:lang w:eastAsia="en-AU"/>
        </w:rPr>
        <w:t xml:space="preserve">effective identification and management of the </w:t>
      </w:r>
      <w:proofErr w:type="spellStart"/>
      <w:r>
        <w:rPr>
          <w:rFonts w:ascii="Times New Roman" w:hAnsi="Times New Roman" w:cs="Times New Roman"/>
          <w:sz w:val="24"/>
          <w:lang w:eastAsia="en-AU"/>
        </w:rPr>
        <w:t>O</w:t>
      </w:r>
      <w:r w:rsidRPr="00327DE4">
        <w:rPr>
          <w:rFonts w:ascii="Times New Roman" w:hAnsi="Times New Roman" w:cs="Times New Roman"/>
          <w:sz w:val="24"/>
          <w:lang w:eastAsia="en-AU"/>
        </w:rPr>
        <w:t>PC’s</w:t>
      </w:r>
      <w:proofErr w:type="spellEnd"/>
      <w:r w:rsidRPr="00327DE4">
        <w:rPr>
          <w:rFonts w:ascii="Times New Roman" w:hAnsi="Times New Roman" w:cs="Times New Roman"/>
          <w:sz w:val="24"/>
          <w:lang w:eastAsia="en-AU"/>
        </w:rPr>
        <w:t xml:space="preserve"> risks, </w:t>
      </w:r>
      <w:r w:rsidRPr="00327DE4">
        <w:rPr>
          <w:rFonts w:ascii="Times New Roman" w:hAnsi="Times New Roman" w:cs="Times New Roman"/>
          <w:sz w:val="24"/>
        </w:rPr>
        <w:t xml:space="preserve">in keeping with the </w:t>
      </w:r>
      <w:hyperlink r:id="rId9" w:history="1">
        <w:r w:rsidRPr="00327DE4">
          <w:rPr>
            <w:rStyle w:val="Hyperlink"/>
            <w:rFonts w:ascii="Times New Roman" w:hAnsi="Times New Roman"/>
            <w:sz w:val="24"/>
          </w:rPr>
          <w:t>Commonwealth Risk Management Policy</w:t>
        </w:r>
      </w:hyperlink>
      <w:r w:rsidRPr="00327DE4">
        <w:rPr>
          <w:rFonts w:ascii="Times New Roman" w:hAnsi="Times New Roman" w:cs="Times New Roman"/>
          <w:sz w:val="24"/>
        </w:rPr>
        <w:t xml:space="preserve"> (for Non-corporate Commonwealth entities (</w:t>
      </w:r>
      <w:proofErr w:type="spellStart"/>
      <w:r w:rsidRPr="007C46B2">
        <w:rPr>
          <w:rFonts w:ascii="Times New Roman" w:hAnsi="Times New Roman" w:cs="Times New Roman"/>
          <w:b/>
          <w:i/>
          <w:sz w:val="24"/>
        </w:rPr>
        <w:t>NCEs</w:t>
      </w:r>
      <w:proofErr w:type="spellEnd"/>
      <w:r w:rsidRPr="00327DE4">
        <w:rPr>
          <w:rFonts w:ascii="Times New Roman" w:hAnsi="Times New Roman" w:cs="Times New Roman"/>
          <w:sz w:val="24"/>
        </w:rPr>
        <w:t>));</w:t>
      </w:r>
    </w:p>
    <w:p w14:paraId="2E9B4BDE" w14:textId="77777777" w:rsidR="00663082" w:rsidRPr="00327DE4" w:rsidRDefault="00663082" w:rsidP="00663082">
      <w:pPr>
        <w:pStyle w:val="ListParagraph"/>
        <w:numPr>
          <w:ilvl w:val="2"/>
          <w:numId w:val="16"/>
        </w:numPr>
        <w:tabs>
          <w:tab w:val="left" w:pos="1134"/>
        </w:tabs>
        <w:spacing w:before="240" w:after="0" w:line="240" w:lineRule="auto"/>
        <w:ind w:left="1134" w:hanging="425"/>
        <w:rPr>
          <w:rFonts w:ascii="Times New Roman" w:hAnsi="Times New Roman" w:cs="Times New Roman"/>
          <w:sz w:val="24"/>
          <w:lang w:eastAsia="en-AU"/>
        </w:rPr>
      </w:pPr>
      <w:r w:rsidRPr="00327DE4">
        <w:rPr>
          <w:rFonts w:ascii="Times New Roman" w:hAnsi="Times New Roman" w:cs="Times New Roman"/>
          <w:sz w:val="24"/>
          <w:lang w:eastAsia="en-AU"/>
        </w:rPr>
        <w:t xml:space="preserve">approach </w:t>
      </w:r>
      <w:r w:rsidRPr="00327DE4">
        <w:rPr>
          <w:rFonts w:ascii="Times New Roman" w:hAnsi="Times New Roman" w:cs="Times New Roman"/>
          <w:sz w:val="24"/>
        </w:rPr>
        <w:t>to</w:t>
      </w:r>
      <w:r w:rsidRPr="00327DE4">
        <w:rPr>
          <w:rFonts w:ascii="Times New Roman" w:hAnsi="Times New Roman" w:cs="Times New Roman"/>
          <w:sz w:val="24"/>
          <w:lang w:eastAsia="en-AU"/>
        </w:rPr>
        <w:t xml:space="preserve"> managing the </w:t>
      </w:r>
      <w:proofErr w:type="spellStart"/>
      <w:r>
        <w:rPr>
          <w:rFonts w:ascii="Times New Roman" w:hAnsi="Times New Roman" w:cs="Times New Roman"/>
          <w:sz w:val="24"/>
          <w:lang w:eastAsia="en-AU"/>
        </w:rPr>
        <w:t>O</w:t>
      </w:r>
      <w:r w:rsidRPr="00327DE4">
        <w:rPr>
          <w:rFonts w:ascii="Times New Roman" w:hAnsi="Times New Roman" w:cs="Times New Roman"/>
          <w:sz w:val="24"/>
          <w:lang w:eastAsia="en-AU"/>
        </w:rPr>
        <w:t>PC’s</w:t>
      </w:r>
      <w:proofErr w:type="spellEnd"/>
      <w:r w:rsidRPr="00327DE4">
        <w:rPr>
          <w:rFonts w:ascii="Times New Roman" w:hAnsi="Times New Roman" w:cs="Times New Roman"/>
          <w:sz w:val="24"/>
          <w:lang w:eastAsia="en-AU"/>
        </w:rPr>
        <w:t xml:space="preserve"> </w:t>
      </w:r>
      <w:r w:rsidRPr="00327DE4">
        <w:rPr>
          <w:rFonts w:ascii="Times New Roman" w:hAnsi="Times New Roman" w:cs="Times New Roman"/>
          <w:sz w:val="24"/>
        </w:rPr>
        <w:t>strategic</w:t>
      </w:r>
      <w:r w:rsidRPr="00327DE4">
        <w:rPr>
          <w:rFonts w:ascii="Times New Roman" w:hAnsi="Times New Roman" w:cs="Times New Roman"/>
          <w:sz w:val="24"/>
          <w:lang w:eastAsia="en-AU"/>
        </w:rPr>
        <w:t xml:space="preserve"> risks, </w:t>
      </w:r>
      <w:r w:rsidRPr="00327DE4">
        <w:rPr>
          <w:rFonts w:ascii="Times New Roman" w:hAnsi="Times New Roman" w:cs="Times New Roman"/>
          <w:sz w:val="24"/>
        </w:rPr>
        <w:t>and</w:t>
      </w:r>
      <w:r w:rsidRPr="00327DE4">
        <w:rPr>
          <w:rFonts w:ascii="Times New Roman" w:hAnsi="Times New Roman" w:cs="Times New Roman"/>
          <w:sz w:val="24"/>
          <w:lang w:eastAsia="en-AU"/>
        </w:rPr>
        <w:t xml:space="preserve"> those </w:t>
      </w:r>
      <w:r w:rsidRPr="00327DE4">
        <w:rPr>
          <w:rFonts w:ascii="Times New Roman" w:hAnsi="Times New Roman" w:cs="Times New Roman"/>
          <w:sz w:val="24"/>
        </w:rPr>
        <w:t xml:space="preserve">risks </w:t>
      </w:r>
      <w:r w:rsidRPr="00327DE4">
        <w:rPr>
          <w:rFonts w:ascii="Times New Roman" w:hAnsi="Times New Roman" w:cs="Times New Roman"/>
          <w:sz w:val="24"/>
          <w:lang w:eastAsia="en-AU"/>
        </w:rPr>
        <w:t>associated with individual projects</w:t>
      </w:r>
      <w:r w:rsidRPr="00327DE4">
        <w:rPr>
          <w:rFonts w:ascii="Times New Roman" w:hAnsi="Times New Roman" w:cs="Times New Roman"/>
          <w:sz w:val="24"/>
        </w:rPr>
        <w:t xml:space="preserve"> and</w:t>
      </w:r>
      <w:r w:rsidRPr="00327DE4">
        <w:rPr>
          <w:rFonts w:ascii="Times New Roman" w:hAnsi="Times New Roman" w:cs="Times New Roman"/>
          <w:sz w:val="24"/>
          <w:lang w:eastAsia="en-AU"/>
        </w:rPr>
        <w:t xml:space="preserve"> program implementation and activities; </w:t>
      </w:r>
    </w:p>
    <w:p w14:paraId="16BA53E6" w14:textId="77777777" w:rsidR="00663082" w:rsidRPr="00327DE4" w:rsidRDefault="00663082" w:rsidP="00663082">
      <w:pPr>
        <w:pStyle w:val="ListParagraph"/>
        <w:numPr>
          <w:ilvl w:val="2"/>
          <w:numId w:val="16"/>
        </w:numPr>
        <w:tabs>
          <w:tab w:val="left" w:pos="1134"/>
        </w:tabs>
        <w:spacing w:before="240" w:after="0" w:line="240" w:lineRule="auto"/>
        <w:ind w:left="1134" w:hanging="425"/>
        <w:rPr>
          <w:rFonts w:ascii="Times New Roman" w:hAnsi="Times New Roman" w:cs="Times New Roman"/>
          <w:sz w:val="24"/>
          <w:lang w:eastAsia="en-AU"/>
        </w:rPr>
      </w:pPr>
      <w:r w:rsidRPr="00327DE4">
        <w:rPr>
          <w:rFonts w:ascii="Times New Roman" w:hAnsi="Times New Roman" w:cs="Times New Roman"/>
          <w:sz w:val="24"/>
        </w:rPr>
        <w:t>process for developing and implementing</w:t>
      </w:r>
      <w:r w:rsidRPr="00327DE4">
        <w:rPr>
          <w:rFonts w:ascii="Times New Roman" w:hAnsi="Times New Roman" w:cs="Times New Roman"/>
          <w:sz w:val="24"/>
          <w:lang w:eastAsia="en-AU"/>
        </w:rPr>
        <w:t xml:space="preserve"> the </w:t>
      </w:r>
      <w:proofErr w:type="spellStart"/>
      <w:r>
        <w:rPr>
          <w:rFonts w:ascii="Times New Roman" w:hAnsi="Times New Roman" w:cs="Times New Roman"/>
          <w:sz w:val="24"/>
          <w:lang w:eastAsia="en-AU"/>
        </w:rPr>
        <w:t>O</w:t>
      </w:r>
      <w:r w:rsidRPr="00327DE4">
        <w:rPr>
          <w:rFonts w:ascii="Times New Roman" w:hAnsi="Times New Roman" w:cs="Times New Roman"/>
          <w:sz w:val="24"/>
          <w:lang w:eastAsia="en-AU"/>
        </w:rPr>
        <w:t>PC’s</w:t>
      </w:r>
      <w:proofErr w:type="spellEnd"/>
      <w:r w:rsidRPr="00327DE4">
        <w:rPr>
          <w:rFonts w:ascii="Times New Roman" w:hAnsi="Times New Roman" w:cs="Times New Roman"/>
          <w:sz w:val="24"/>
          <w:lang w:eastAsia="en-AU"/>
        </w:rPr>
        <w:t xml:space="preserve"> fraud control </w:t>
      </w:r>
      <w:r w:rsidRPr="00327DE4">
        <w:rPr>
          <w:rFonts w:ascii="Times New Roman" w:hAnsi="Times New Roman" w:cs="Times New Roman"/>
          <w:sz w:val="24"/>
        </w:rPr>
        <w:t xml:space="preserve">arrangements consistent with the </w:t>
      </w:r>
      <w:hyperlink r:id="rId10" w:history="1">
        <w:r w:rsidRPr="00327DE4">
          <w:rPr>
            <w:rStyle w:val="Hyperlink"/>
            <w:rFonts w:ascii="Times New Roman" w:hAnsi="Times New Roman"/>
            <w:sz w:val="24"/>
          </w:rPr>
          <w:t>Commonwealth Fraud Control Framework</w:t>
        </w:r>
      </w:hyperlink>
      <w:r w:rsidRPr="00327DE4">
        <w:rPr>
          <w:rFonts w:ascii="Times New Roman" w:hAnsi="Times New Roman" w:cs="Times New Roman"/>
          <w:sz w:val="24"/>
        </w:rPr>
        <w:t>,</w:t>
      </w:r>
      <w:r w:rsidRPr="00327DE4">
        <w:rPr>
          <w:rFonts w:ascii="Times New Roman" w:hAnsi="Times New Roman" w:cs="Times New Roman"/>
          <w:sz w:val="24"/>
          <w:lang w:eastAsia="en-AU"/>
        </w:rPr>
        <w:t xml:space="preserve"> and satisfy itself </w:t>
      </w:r>
      <w:r w:rsidRPr="00327DE4">
        <w:rPr>
          <w:rFonts w:ascii="Times New Roman" w:hAnsi="Times New Roman" w:cs="Times New Roman"/>
          <w:sz w:val="24"/>
          <w:lang w:eastAsia="en-AU"/>
        </w:rPr>
        <w:lastRenderedPageBreak/>
        <w:t xml:space="preserve">that the </w:t>
      </w:r>
      <w:proofErr w:type="spellStart"/>
      <w:r>
        <w:rPr>
          <w:rFonts w:ascii="Times New Roman" w:hAnsi="Times New Roman" w:cs="Times New Roman"/>
          <w:sz w:val="24"/>
          <w:lang w:eastAsia="en-AU"/>
        </w:rPr>
        <w:t>O</w:t>
      </w:r>
      <w:r w:rsidRPr="00327DE4">
        <w:rPr>
          <w:rFonts w:ascii="Times New Roman" w:hAnsi="Times New Roman" w:cs="Times New Roman"/>
          <w:sz w:val="24"/>
          <w:lang w:eastAsia="en-AU"/>
        </w:rPr>
        <w:t>PC</w:t>
      </w:r>
      <w:proofErr w:type="spellEnd"/>
      <w:r w:rsidRPr="00327DE4">
        <w:rPr>
          <w:rFonts w:ascii="Times New Roman" w:hAnsi="Times New Roman" w:cs="Times New Roman"/>
          <w:sz w:val="24"/>
          <w:lang w:eastAsia="en-AU"/>
        </w:rPr>
        <w:t xml:space="preserve"> has </w:t>
      </w:r>
      <w:r w:rsidRPr="00327DE4">
        <w:rPr>
          <w:rFonts w:ascii="Times New Roman" w:hAnsi="Times New Roman" w:cs="Times New Roman"/>
          <w:sz w:val="24"/>
        </w:rPr>
        <w:t>adequate</w:t>
      </w:r>
      <w:r w:rsidRPr="00327DE4">
        <w:rPr>
          <w:rFonts w:ascii="Times New Roman" w:hAnsi="Times New Roman" w:cs="Times New Roman"/>
          <w:sz w:val="24"/>
          <w:lang w:eastAsia="en-AU"/>
        </w:rPr>
        <w:t xml:space="preserve"> processes </w:t>
      </w:r>
      <w:r w:rsidRPr="00327DE4">
        <w:rPr>
          <w:rFonts w:ascii="Times New Roman" w:hAnsi="Times New Roman" w:cs="Times New Roman"/>
          <w:sz w:val="24"/>
        </w:rPr>
        <w:t>for detecting, capturing</w:t>
      </w:r>
      <w:r w:rsidRPr="00327DE4">
        <w:rPr>
          <w:rFonts w:ascii="Times New Roman" w:hAnsi="Times New Roman" w:cs="Times New Roman"/>
          <w:sz w:val="24"/>
          <w:lang w:eastAsia="en-AU"/>
        </w:rPr>
        <w:t xml:space="preserve"> and effectively </w:t>
      </w:r>
      <w:r w:rsidRPr="00327DE4">
        <w:rPr>
          <w:rFonts w:ascii="Times New Roman" w:hAnsi="Times New Roman" w:cs="Times New Roman"/>
          <w:sz w:val="24"/>
        </w:rPr>
        <w:t>responding</w:t>
      </w:r>
      <w:r w:rsidRPr="00327DE4">
        <w:rPr>
          <w:rFonts w:ascii="Times New Roman" w:hAnsi="Times New Roman" w:cs="Times New Roman"/>
          <w:sz w:val="24"/>
          <w:lang w:eastAsia="en-AU"/>
        </w:rPr>
        <w:t xml:space="preserve"> to fraud risks; and </w:t>
      </w:r>
    </w:p>
    <w:p w14:paraId="053166A4" w14:textId="77777777" w:rsidR="00663082" w:rsidRPr="00327DE4" w:rsidRDefault="00663082" w:rsidP="00663082">
      <w:pPr>
        <w:pStyle w:val="ListParagraph"/>
        <w:numPr>
          <w:ilvl w:val="2"/>
          <w:numId w:val="16"/>
        </w:numPr>
        <w:tabs>
          <w:tab w:val="left" w:pos="1134"/>
        </w:tabs>
        <w:spacing w:before="240" w:after="240" w:line="240" w:lineRule="auto"/>
        <w:ind w:left="1134" w:hanging="425"/>
        <w:rPr>
          <w:rFonts w:ascii="Times New Roman" w:hAnsi="Times New Roman" w:cs="Times New Roman"/>
          <w:sz w:val="24"/>
        </w:rPr>
      </w:pPr>
      <w:r w:rsidRPr="00327DE4">
        <w:rPr>
          <w:rFonts w:ascii="Times New Roman" w:hAnsi="Times New Roman" w:cs="Times New Roman"/>
          <w:sz w:val="24"/>
        </w:rPr>
        <w:t xml:space="preserve">documentation of key roles and responsibilities relating to risk management and adherence to them by officials of the </w:t>
      </w:r>
      <w:r>
        <w:rPr>
          <w:rFonts w:ascii="Times New Roman" w:hAnsi="Times New Roman" w:cs="Times New Roman"/>
          <w:sz w:val="24"/>
        </w:rPr>
        <w:t>0</w:t>
      </w:r>
      <w:r w:rsidRPr="00327DE4">
        <w:rPr>
          <w:rFonts w:ascii="Times New Roman" w:hAnsi="Times New Roman" w:cs="Times New Roman"/>
          <w:sz w:val="24"/>
        </w:rPr>
        <w:t>PC.</w:t>
      </w:r>
    </w:p>
    <w:p w14:paraId="533B4B03" w14:textId="77777777" w:rsidR="00663082" w:rsidRPr="00327DE4" w:rsidRDefault="00663082" w:rsidP="00663082">
      <w:pPr>
        <w:pStyle w:val="BodyNum"/>
      </w:pPr>
      <w:r w:rsidRPr="00327DE4">
        <w:t xml:space="preserve">The Committee is to provide a statement to the </w:t>
      </w:r>
      <w:r>
        <w:t>FPC</w:t>
      </w:r>
      <w:r w:rsidRPr="00327DE4">
        <w:t xml:space="preserve"> whether in their view, the </w:t>
      </w:r>
      <w:proofErr w:type="spellStart"/>
      <w:r>
        <w:t>O</w:t>
      </w:r>
      <w:r w:rsidRPr="00327DE4">
        <w:t>PC’s</w:t>
      </w:r>
      <w:proofErr w:type="spellEnd"/>
      <w:r w:rsidRPr="00327DE4">
        <w:t xml:space="preserve"> system of risk oversight and management as a whole is appropriate (with reference to the </w:t>
      </w:r>
      <w:hyperlink r:id="rId11">
        <w:r w:rsidRPr="00C137B5">
          <w:rPr>
            <w:rStyle w:val="Hyperlink"/>
            <w:rFonts w:ascii="Times New Roman" w:hAnsi="Times New Roman"/>
          </w:rPr>
          <w:t>Commonwealth Risk Management Policy</w:t>
        </w:r>
      </w:hyperlink>
      <w:r w:rsidRPr="002C1215">
        <w:t xml:space="preserve"> </w:t>
      </w:r>
      <w:r w:rsidRPr="00327DE4">
        <w:t>) and any specific areas of concern or suggestions for improvement.</w:t>
      </w:r>
    </w:p>
    <w:p w14:paraId="24B99D17" w14:textId="77777777" w:rsidR="00663082" w:rsidRPr="007C46B2" w:rsidRDefault="00663082" w:rsidP="00663082">
      <w:pPr>
        <w:pStyle w:val="BodyNum"/>
        <w:numPr>
          <w:ilvl w:val="0"/>
          <w:numId w:val="0"/>
        </w:numPr>
        <w:rPr>
          <w:u w:val="single"/>
        </w:rPr>
      </w:pPr>
      <w:r>
        <w:rPr>
          <w:u w:val="single"/>
        </w:rPr>
        <w:t xml:space="preserve">System of </w:t>
      </w:r>
      <w:r w:rsidRPr="007C46B2">
        <w:rPr>
          <w:u w:val="single"/>
        </w:rPr>
        <w:t xml:space="preserve">Internal </w:t>
      </w:r>
      <w:r>
        <w:rPr>
          <w:u w:val="single"/>
        </w:rPr>
        <w:t>C</w:t>
      </w:r>
      <w:r w:rsidRPr="007C46B2">
        <w:rPr>
          <w:u w:val="single"/>
        </w:rPr>
        <w:t>ontrol</w:t>
      </w:r>
    </w:p>
    <w:p w14:paraId="7FCC3D83" w14:textId="77777777" w:rsidR="00663082" w:rsidRPr="00327DE4" w:rsidRDefault="00663082" w:rsidP="00663082">
      <w:pPr>
        <w:pStyle w:val="BodyNum"/>
        <w:spacing w:after="120"/>
      </w:pPr>
      <w:r w:rsidRPr="00327DE4">
        <w:t xml:space="preserve">The Committee is to review and provide advice on the appropriateness of the </w:t>
      </w:r>
      <w:proofErr w:type="spellStart"/>
      <w:r>
        <w:t>O</w:t>
      </w:r>
      <w:r w:rsidRPr="00327DE4">
        <w:t>PC’s</w:t>
      </w:r>
      <w:proofErr w:type="spellEnd"/>
      <w:r w:rsidRPr="00327DE4">
        <w:t>:</w:t>
      </w:r>
    </w:p>
    <w:p w14:paraId="5960D9B4" w14:textId="77777777" w:rsidR="00663082" w:rsidRPr="00327DE4" w:rsidRDefault="00663082" w:rsidP="00663082">
      <w:pPr>
        <w:pStyle w:val="ListParagraph"/>
        <w:numPr>
          <w:ilvl w:val="2"/>
          <w:numId w:val="17"/>
        </w:numPr>
        <w:spacing w:after="0" w:line="240" w:lineRule="auto"/>
        <w:rPr>
          <w:rFonts w:ascii="Times New Roman" w:hAnsi="Times New Roman" w:cs="Times New Roman"/>
          <w:sz w:val="24"/>
        </w:rPr>
      </w:pPr>
      <w:r w:rsidRPr="00327DE4">
        <w:rPr>
          <w:rFonts w:ascii="Times New Roman" w:hAnsi="Times New Roman" w:cs="Times New Roman"/>
          <w:sz w:val="24"/>
        </w:rPr>
        <w:t xml:space="preserve">approach to maintaining an effective internal control framework and </w:t>
      </w:r>
      <w:r w:rsidRPr="00327DE4">
        <w:rPr>
          <w:rFonts w:ascii="Times New Roman" w:hAnsi="Times New Roman" w:cs="Times New Roman"/>
          <w:sz w:val="24"/>
          <w:lang w:eastAsia="en-AU"/>
        </w:rPr>
        <w:t xml:space="preserve">whether </w:t>
      </w:r>
      <w:r w:rsidRPr="00327DE4">
        <w:rPr>
          <w:rFonts w:ascii="Times New Roman" w:hAnsi="Times New Roman" w:cs="Times New Roman"/>
          <w:sz w:val="24"/>
        </w:rPr>
        <w:t xml:space="preserve">appropriate processes are in place for assessing whether key policies and procedures are complied with, including </w:t>
      </w:r>
      <w:r>
        <w:rPr>
          <w:rFonts w:ascii="Times New Roman" w:hAnsi="Times New Roman" w:cs="Times New Roman"/>
          <w:sz w:val="24"/>
        </w:rPr>
        <w:t>A</w:t>
      </w:r>
      <w:r w:rsidRPr="00327DE4">
        <w:rPr>
          <w:rFonts w:ascii="Times New Roman" w:hAnsi="Times New Roman" w:cs="Times New Roman"/>
          <w:sz w:val="24"/>
        </w:rPr>
        <w:t xml:space="preserve">ccountable </w:t>
      </w:r>
      <w:r>
        <w:rPr>
          <w:rFonts w:ascii="Times New Roman" w:hAnsi="Times New Roman" w:cs="Times New Roman"/>
          <w:sz w:val="24"/>
        </w:rPr>
        <w:t>A</w:t>
      </w:r>
      <w:r w:rsidRPr="00327DE4">
        <w:rPr>
          <w:rFonts w:ascii="Times New Roman" w:hAnsi="Times New Roman" w:cs="Times New Roman"/>
          <w:sz w:val="24"/>
        </w:rPr>
        <w:t xml:space="preserve">uthority </w:t>
      </w:r>
      <w:r>
        <w:rPr>
          <w:rFonts w:ascii="Times New Roman" w:hAnsi="Times New Roman" w:cs="Times New Roman"/>
          <w:sz w:val="24"/>
        </w:rPr>
        <w:t>I</w:t>
      </w:r>
      <w:r w:rsidRPr="00327DE4">
        <w:rPr>
          <w:rFonts w:ascii="Times New Roman" w:hAnsi="Times New Roman" w:cs="Times New Roman"/>
          <w:sz w:val="24"/>
        </w:rPr>
        <w:t xml:space="preserve">nstructions, delegations and business continuity management; </w:t>
      </w:r>
    </w:p>
    <w:p w14:paraId="738CA5D4" w14:textId="77777777" w:rsidR="00663082" w:rsidRPr="00327DE4" w:rsidRDefault="00663082" w:rsidP="00663082">
      <w:pPr>
        <w:pStyle w:val="ListParagraph"/>
        <w:numPr>
          <w:ilvl w:val="2"/>
          <w:numId w:val="17"/>
        </w:numPr>
        <w:spacing w:before="240" w:after="0" w:line="240" w:lineRule="auto"/>
        <w:rPr>
          <w:rFonts w:ascii="Times New Roman" w:hAnsi="Times New Roman" w:cs="Times New Roman"/>
          <w:sz w:val="24"/>
        </w:rPr>
      </w:pPr>
      <w:r w:rsidRPr="00327DE4">
        <w:rPr>
          <w:rFonts w:ascii="Times New Roman" w:hAnsi="Times New Roman" w:cs="Times New Roman"/>
          <w:sz w:val="24"/>
        </w:rPr>
        <w:t>governance arrangements</w:t>
      </w:r>
      <w:r>
        <w:rPr>
          <w:rFonts w:ascii="Times New Roman" w:hAnsi="Times New Roman" w:cs="Times New Roman"/>
          <w:sz w:val="24"/>
        </w:rPr>
        <w:t xml:space="preserve">, suggesting </w:t>
      </w:r>
      <w:r w:rsidRPr="00327DE4">
        <w:rPr>
          <w:rFonts w:ascii="Times New Roman" w:hAnsi="Times New Roman" w:cs="Times New Roman"/>
          <w:sz w:val="24"/>
        </w:rPr>
        <w:t xml:space="preserve">improvements where appropriate; </w:t>
      </w:r>
    </w:p>
    <w:p w14:paraId="75C2B53E" w14:textId="77777777" w:rsidR="00663082" w:rsidRPr="007C46B2" w:rsidRDefault="00663082" w:rsidP="00663082">
      <w:pPr>
        <w:pStyle w:val="ListParagraph"/>
        <w:numPr>
          <w:ilvl w:val="2"/>
          <w:numId w:val="17"/>
        </w:numPr>
        <w:spacing w:before="240" w:after="0" w:line="240" w:lineRule="auto"/>
        <w:rPr>
          <w:rFonts w:ascii="Times New Roman" w:hAnsi="Times New Roman" w:cs="Times New Roman"/>
          <w:sz w:val="24"/>
        </w:rPr>
      </w:pPr>
      <w:r w:rsidRPr="007C46B2">
        <w:rPr>
          <w:rFonts w:ascii="Times New Roman" w:hAnsi="Times New Roman" w:cs="Times New Roman"/>
          <w:sz w:val="24"/>
        </w:rPr>
        <w:t>legislative and policy compliance:</w:t>
      </w:r>
    </w:p>
    <w:p w14:paraId="49AFF5D9" w14:textId="77777777" w:rsidR="00663082" w:rsidRPr="00327DE4" w:rsidRDefault="00663082" w:rsidP="00663082">
      <w:pPr>
        <w:pStyle w:val="ListParagraph"/>
        <w:numPr>
          <w:ilvl w:val="3"/>
          <w:numId w:val="19"/>
        </w:numPr>
        <w:spacing w:before="240" w:after="0" w:line="240" w:lineRule="auto"/>
        <w:rPr>
          <w:rFonts w:ascii="Times New Roman" w:hAnsi="Times New Roman" w:cs="Times New Roman"/>
          <w:sz w:val="24"/>
        </w:rPr>
      </w:pPr>
      <w:r w:rsidRPr="00327DE4">
        <w:rPr>
          <w:rFonts w:ascii="Times New Roman" w:hAnsi="Times New Roman" w:cs="Times New Roman"/>
          <w:sz w:val="24"/>
        </w:rPr>
        <w:t xml:space="preserve">systems for monitoring compliance with laws, regulation and associated government policies with which the </w:t>
      </w:r>
      <w:proofErr w:type="spellStart"/>
      <w:r>
        <w:rPr>
          <w:rFonts w:ascii="Times New Roman" w:hAnsi="Times New Roman" w:cs="Times New Roman"/>
          <w:sz w:val="24"/>
        </w:rPr>
        <w:t>O</w:t>
      </w:r>
      <w:r w:rsidRPr="00327DE4">
        <w:rPr>
          <w:rFonts w:ascii="Times New Roman" w:hAnsi="Times New Roman" w:cs="Times New Roman"/>
          <w:sz w:val="24"/>
        </w:rPr>
        <w:t>PC</w:t>
      </w:r>
      <w:proofErr w:type="spellEnd"/>
      <w:r w:rsidRPr="00327DE4">
        <w:rPr>
          <w:rFonts w:ascii="Times New Roman" w:hAnsi="Times New Roman" w:cs="Times New Roman"/>
          <w:sz w:val="24"/>
        </w:rPr>
        <w:t xml:space="preserve"> must comply;</w:t>
      </w:r>
    </w:p>
    <w:p w14:paraId="7E775614" w14:textId="77777777" w:rsidR="00663082" w:rsidRPr="00327DE4" w:rsidRDefault="00663082" w:rsidP="00663082">
      <w:pPr>
        <w:pStyle w:val="ListParagraph"/>
        <w:numPr>
          <w:ilvl w:val="3"/>
          <w:numId w:val="19"/>
        </w:numPr>
        <w:spacing w:before="240" w:after="0" w:line="240" w:lineRule="auto"/>
        <w:rPr>
          <w:rFonts w:ascii="Times New Roman" w:hAnsi="Times New Roman" w:cs="Times New Roman"/>
          <w:sz w:val="24"/>
        </w:rPr>
      </w:pPr>
      <w:r w:rsidRPr="00327DE4">
        <w:rPr>
          <w:rFonts w:ascii="Times New Roman" w:hAnsi="Times New Roman" w:cs="Times New Roman"/>
          <w:sz w:val="24"/>
        </w:rPr>
        <w:t xml:space="preserve">determining whether management has adequately considered legal and compliance risks as part of the </w:t>
      </w:r>
      <w:proofErr w:type="spellStart"/>
      <w:r>
        <w:rPr>
          <w:rFonts w:ascii="Times New Roman" w:hAnsi="Times New Roman" w:cs="Times New Roman"/>
          <w:sz w:val="24"/>
        </w:rPr>
        <w:t>O</w:t>
      </w:r>
      <w:r w:rsidRPr="00327DE4">
        <w:rPr>
          <w:rFonts w:ascii="Times New Roman" w:hAnsi="Times New Roman" w:cs="Times New Roman"/>
          <w:sz w:val="24"/>
        </w:rPr>
        <w:t>PC’s</w:t>
      </w:r>
      <w:proofErr w:type="spellEnd"/>
      <w:r w:rsidRPr="00327DE4">
        <w:rPr>
          <w:rFonts w:ascii="Times New Roman" w:hAnsi="Times New Roman" w:cs="Times New Roman"/>
          <w:sz w:val="24"/>
        </w:rPr>
        <w:t xml:space="preserve"> enterprise risk management framework, fraud control framework and planning.</w:t>
      </w:r>
    </w:p>
    <w:p w14:paraId="432E2BB6" w14:textId="77777777" w:rsidR="00663082" w:rsidRPr="007C46B2" w:rsidRDefault="00663082" w:rsidP="00663082">
      <w:pPr>
        <w:pStyle w:val="ListParagraph"/>
        <w:numPr>
          <w:ilvl w:val="2"/>
          <w:numId w:val="18"/>
        </w:numPr>
        <w:spacing w:before="240" w:after="0" w:line="240" w:lineRule="auto"/>
        <w:rPr>
          <w:rFonts w:ascii="Times New Roman" w:hAnsi="Times New Roman" w:cs="Times New Roman"/>
          <w:sz w:val="24"/>
        </w:rPr>
      </w:pPr>
      <w:r>
        <w:rPr>
          <w:rFonts w:ascii="Times New Roman" w:hAnsi="Times New Roman" w:cs="Times New Roman"/>
          <w:sz w:val="24"/>
        </w:rPr>
        <w:t xml:space="preserve">protective </w:t>
      </w:r>
      <w:r w:rsidRPr="007C46B2">
        <w:rPr>
          <w:rFonts w:ascii="Times New Roman" w:hAnsi="Times New Roman" w:cs="Times New Roman"/>
          <w:sz w:val="24"/>
        </w:rPr>
        <w:t>security compliance:</w:t>
      </w:r>
    </w:p>
    <w:p w14:paraId="5D4FB510" w14:textId="77777777" w:rsidR="00663082" w:rsidRPr="00327DE4" w:rsidRDefault="00663082" w:rsidP="00663082">
      <w:pPr>
        <w:pStyle w:val="ListParagraph"/>
        <w:numPr>
          <w:ilvl w:val="3"/>
          <w:numId w:val="20"/>
        </w:numPr>
        <w:spacing w:before="240" w:after="0" w:line="240" w:lineRule="auto"/>
        <w:rPr>
          <w:rFonts w:ascii="Times New Roman" w:hAnsi="Times New Roman" w:cs="Times New Roman"/>
          <w:sz w:val="24"/>
          <w:lang w:eastAsia="en-AU"/>
        </w:rPr>
      </w:pPr>
      <w:r w:rsidRPr="00327DE4">
        <w:rPr>
          <w:rFonts w:ascii="Times New Roman" w:hAnsi="Times New Roman" w:cs="Times New Roman"/>
          <w:sz w:val="24"/>
        </w:rPr>
        <w:t>reviewing management’s approach to maintaining an effective internal security system (</w:t>
      </w:r>
      <w:r w:rsidRPr="00327DE4">
        <w:rPr>
          <w:rFonts w:ascii="Times New Roman" w:hAnsi="Times New Roman" w:cs="Times New Roman"/>
          <w:sz w:val="24"/>
          <w:lang w:eastAsia="en-AU"/>
        </w:rPr>
        <w:t xml:space="preserve">including complying with </w:t>
      </w:r>
      <w:r w:rsidRPr="00327DE4">
        <w:rPr>
          <w:rFonts w:ascii="Times New Roman" w:hAnsi="Times New Roman" w:cs="Times New Roman"/>
          <w:sz w:val="24"/>
        </w:rPr>
        <w:t xml:space="preserve">the </w:t>
      </w:r>
      <w:hyperlink r:id="rId12">
        <w:r w:rsidRPr="00327DE4">
          <w:rPr>
            <w:rStyle w:val="Hyperlink"/>
            <w:rFonts w:ascii="Times New Roman" w:hAnsi="Times New Roman"/>
            <w:sz w:val="24"/>
          </w:rPr>
          <w:t>Protective Security Policy Framework</w:t>
        </w:r>
      </w:hyperlink>
      <w:r w:rsidRPr="00327DE4">
        <w:rPr>
          <w:rFonts w:ascii="Times New Roman" w:hAnsi="Times New Roman" w:cs="Times New Roman"/>
          <w:sz w:val="24"/>
        </w:rPr>
        <w:t>).</w:t>
      </w:r>
    </w:p>
    <w:p w14:paraId="55E21FBF" w14:textId="77777777" w:rsidR="00663082" w:rsidRPr="007C46B2" w:rsidRDefault="00663082" w:rsidP="00663082">
      <w:pPr>
        <w:pStyle w:val="ListParagraph"/>
        <w:numPr>
          <w:ilvl w:val="2"/>
          <w:numId w:val="18"/>
        </w:numPr>
        <w:spacing w:before="240" w:after="0" w:line="240" w:lineRule="auto"/>
        <w:rPr>
          <w:rFonts w:ascii="Times New Roman" w:hAnsi="Times New Roman" w:cs="Times New Roman"/>
          <w:sz w:val="24"/>
        </w:rPr>
      </w:pPr>
      <w:r w:rsidRPr="007C46B2">
        <w:rPr>
          <w:rFonts w:ascii="Times New Roman" w:hAnsi="Times New Roman" w:cs="Times New Roman"/>
          <w:sz w:val="24"/>
        </w:rPr>
        <w:t>internal audit coverage:</w:t>
      </w:r>
    </w:p>
    <w:p w14:paraId="5EE8C2AB" w14:textId="77777777" w:rsidR="00663082" w:rsidRPr="00327DE4" w:rsidRDefault="00663082" w:rsidP="00663082">
      <w:pPr>
        <w:pStyle w:val="ListParagraph"/>
        <w:numPr>
          <w:ilvl w:val="3"/>
          <w:numId w:val="21"/>
        </w:numPr>
        <w:spacing w:before="240" w:after="0" w:line="240" w:lineRule="auto"/>
        <w:rPr>
          <w:rFonts w:ascii="Times New Roman" w:hAnsi="Times New Roman" w:cs="Times New Roman"/>
          <w:sz w:val="24"/>
        </w:rPr>
      </w:pPr>
      <w:r w:rsidRPr="00327DE4">
        <w:rPr>
          <w:rFonts w:ascii="Times New Roman" w:hAnsi="Times New Roman" w:cs="Times New Roman"/>
          <w:sz w:val="24"/>
        </w:rPr>
        <w:t xml:space="preserve">reviewing the proposed internal audit plan and ensuring that the plan considers the </w:t>
      </w:r>
      <w:proofErr w:type="spellStart"/>
      <w:r>
        <w:rPr>
          <w:rFonts w:ascii="Times New Roman" w:hAnsi="Times New Roman" w:cs="Times New Roman"/>
          <w:sz w:val="24"/>
        </w:rPr>
        <w:t>O</w:t>
      </w:r>
      <w:r w:rsidRPr="00327DE4">
        <w:rPr>
          <w:rFonts w:ascii="Times New Roman" w:hAnsi="Times New Roman" w:cs="Times New Roman"/>
          <w:sz w:val="24"/>
        </w:rPr>
        <w:t>PC’s</w:t>
      </w:r>
      <w:proofErr w:type="spellEnd"/>
      <w:r w:rsidRPr="00327DE4">
        <w:rPr>
          <w:rFonts w:ascii="Times New Roman" w:hAnsi="Times New Roman" w:cs="Times New Roman"/>
          <w:sz w:val="24"/>
        </w:rPr>
        <w:t xml:space="preserve"> strategic risks;</w:t>
      </w:r>
    </w:p>
    <w:p w14:paraId="2281039F" w14:textId="77777777" w:rsidR="00663082" w:rsidRPr="00327DE4" w:rsidRDefault="00663082" w:rsidP="00663082">
      <w:pPr>
        <w:pStyle w:val="ListParagraph"/>
        <w:numPr>
          <w:ilvl w:val="3"/>
          <w:numId w:val="21"/>
        </w:numPr>
        <w:spacing w:before="240" w:after="0" w:line="240" w:lineRule="auto"/>
        <w:rPr>
          <w:rFonts w:ascii="Times New Roman" w:hAnsi="Times New Roman" w:cs="Times New Roman"/>
          <w:sz w:val="24"/>
        </w:rPr>
      </w:pPr>
      <w:r w:rsidRPr="00327DE4">
        <w:rPr>
          <w:rFonts w:ascii="Times New Roman" w:hAnsi="Times New Roman" w:cs="Times New Roman"/>
          <w:sz w:val="24"/>
        </w:rPr>
        <w:t xml:space="preserve">recommending approval of the internal audit work plan by </w:t>
      </w:r>
      <w:r>
        <w:rPr>
          <w:rFonts w:ascii="Times New Roman" w:hAnsi="Times New Roman" w:cs="Times New Roman"/>
          <w:sz w:val="24"/>
        </w:rPr>
        <w:t>FPC</w:t>
      </w:r>
      <w:r w:rsidRPr="00327DE4">
        <w:rPr>
          <w:rFonts w:ascii="Times New Roman" w:hAnsi="Times New Roman" w:cs="Times New Roman"/>
          <w:sz w:val="24"/>
          <w:lang w:eastAsia="en-AU"/>
        </w:rPr>
        <w:t xml:space="preserve"> </w:t>
      </w:r>
      <w:r w:rsidRPr="00327DE4">
        <w:rPr>
          <w:rFonts w:ascii="Times New Roman" w:hAnsi="Times New Roman" w:cs="Times New Roman"/>
          <w:sz w:val="24"/>
        </w:rPr>
        <w:t>or the nominated delegate;</w:t>
      </w:r>
    </w:p>
    <w:p w14:paraId="4A74BB02" w14:textId="77777777" w:rsidR="00663082" w:rsidRPr="00327DE4" w:rsidRDefault="00663082" w:rsidP="00663082">
      <w:pPr>
        <w:pStyle w:val="ListParagraph"/>
        <w:numPr>
          <w:ilvl w:val="3"/>
          <w:numId w:val="21"/>
        </w:numPr>
        <w:spacing w:before="240" w:after="0" w:line="240" w:lineRule="auto"/>
        <w:rPr>
          <w:rFonts w:ascii="Times New Roman" w:hAnsi="Times New Roman" w:cs="Times New Roman"/>
          <w:sz w:val="24"/>
        </w:rPr>
      </w:pPr>
      <w:r w:rsidRPr="00327DE4">
        <w:rPr>
          <w:rFonts w:ascii="Times New Roman" w:hAnsi="Times New Roman" w:cs="Times New Roman"/>
          <w:sz w:val="24"/>
        </w:rPr>
        <w:t xml:space="preserve">reviewing all internal audit reports, and providing advice to </w:t>
      </w:r>
      <w:r>
        <w:rPr>
          <w:rFonts w:ascii="Times New Roman" w:hAnsi="Times New Roman" w:cs="Times New Roman"/>
          <w:sz w:val="24"/>
        </w:rPr>
        <w:t>FPC</w:t>
      </w:r>
      <w:r w:rsidRPr="00327DE4">
        <w:rPr>
          <w:rFonts w:ascii="Times New Roman" w:hAnsi="Times New Roman" w:cs="Times New Roman"/>
          <w:sz w:val="24"/>
        </w:rPr>
        <w:t xml:space="preserve"> on major concerns identified in those reports; and </w:t>
      </w:r>
    </w:p>
    <w:p w14:paraId="7B372A2B" w14:textId="77777777" w:rsidR="00663082" w:rsidRDefault="00663082" w:rsidP="00663082">
      <w:pPr>
        <w:pStyle w:val="ListParagraph"/>
        <w:numPr>
          <w:ilvl w:val="3"/>
          <w:numId w:val="21"/>
        </w:numPr>
        <w:spacing w:before="240" w:after="0" w:line="240" w:lineRule="auto"/>
        <w:rPr>
          <w:rFonts w:ascii="Times New Roman" w:hAnsi="Times New Roman" w:cs="Times New Roman"/>
          <w:sz w:val="24"/>
        </w:rPr>
      </w:pPr>
      <w:r w:rsidRPr="00327DE4">
        <w:rPr>
          <w:rFonts w:ascii="Times New Roman" w:hAnsi="Times New Roman" w:cs="Times New Roman"/>
          <w:sz w:val="24"/>
        </w:rPr>
        <w:t>monitoring management’s implementation of internal audit recommendations.</w:t>
      </w:r>
    </w:p>
    <w:p w14:paraId="0E59A9C9" w14:textId="77777777" w:rsidR="00663082" w:rsidRDefault="00663082" w:rsidP="00663082">
      <w:pPr>
        <w:pStyle w:val="ListParagraph"/>
        <w:numPr>
          <w:ilvl w:val="2"/>
          <w:numId w:val="17"/>
        </w:numPr>
        <w:spacing w:after="0" w:line="240" w:lineRule="auto"/>
        <w:rPr>
          <w:rFonts w:ascii="Times New Roman" w:hAnsi="Times New Roman" w:cs="Times New Roman"/>
          <w:sz w:val="24"/>
        </w:rPr>
      </w:pPr>
      <w:r w:rsidRPr="00D14966">
        <w:rPr>
          <w:rFonts w:ascii="Times New Roman" w:hAnsi="Times New Roman" w:cs="Times New Roman"/>
          <w:sz w:val="24"/>
        </w:rPr>
        <w:t>approach to embed</w:t>
      </w:r>
      <w:r>
        <w:rPr>
          <w:rFonts w:ascii="Times New Roman" w:hAnsi="Times New Roman" w:cs="Times New Roman"/>
          <w:sz w:val="24"/>
        </w:rPr>
        <w:t>ding</w:t>
      </w:r>
      <w:r w:rsidRPr="00D14966">
        <w:rPr>
          <w:rFonts w:ascii="Times New Roman" w:hAnsi="Times New Roman" w:cs="Times New Roman"/>
          <w:sz w:val="24"/>
        </w:rPr>
        <w:t xml:space="preserve"> a culture that promotes the proper use and management of public resources and is committed to ethical and lawful conduct</w:t>
      </w:r>
      <w:r>
        <w:rPr>
          <w:rFonts w:ascii="Times New Roman" w:hAnsi="Times New Roman" w:cs="Times New Roman"/>
          <w:sz w:val="24"/>
        </w:rPr>
        <w:t>;</w:t>
      </w:r>
    </w:p>
    <w:p w14:paraId="20D348BB" w14:textId="77777777" w:rsidR="00663082" w:rsidRPr="007C46B2" w:rsidRDefault="00663082" w:rsidP="00663082">
      <w:pPr>
        <w:pStyle w:val="ListParagraph"/>
        <w:numPr>
          <w:ilvl w:val="2"/>
          <w:numId w:val="17"/>
        </w:numPr>
        <w:spacing w:after="0" w:line="240" w:lineRule="auto"/>
        <w:rPr>
          <w:rFonts w:ascii="Times New Roman" w:hAnsi="Times New Roman" w:cs="Times New Roman"/>
          <w:sz w:val="24"/>
        </w:rPr>
      </w:pPr>
      <w:r w:rsidRPr="00D14966">
        <w:rPr>
          <w:rFonts w:ascii="Times New Roman" w:hAnsi="Times New Roman" w:cs="Times New Roman"/>
          <w:sz w:val="24"/>
        </w:rPr>
        <w:t>mechanisms for reviewing external reports (Auditor-General, Joint Committee of Public Accounts and Audit (</w:t>
      </w:r>
      <w:proofErr w:type="spellStart"/>
      <w:r w:rsidRPr="00D14966">
        <w:rPr>
          <w:rFonts w:ascii="Times New Roman" w:hAnsi="Times New Roman" w:cs="Times New Roman"/>
          <w:sz w:val="24"/>
        </w:rPr>
        <w:t>JCPAA</w:t>
      </w:r>
      <w:proofErr w:type="spellEnd"/>
      <w:r w:rsidRPr="00D14966">
        <w:rPr>
          <w:rFonts w:ascii="Times New Roman" w:hAnsi="Times New Roman" w:cs="Times New Roman"/>
          <w:sz w:val="24"/>
        </w:rPr>
        <w:t xml:space="preserve">) and other parliamentary committees, Royal Commissions etc.) </w:t>
      </w:r>
      <w:r>
        <w:rPr>
          <w:rFonts w:ascii="Times New Roman" w:hAnsi="Times New Roman" w:cs="Times New Roman"/>
          <w:sz w:val="24"/>
        </w:rPr>
        <w:t xml:space="preserve">and implementing </w:t>
      </w:r>
      <w:r w:rsidRPr="00D14966">
        <w:rPr>
          <w:rFonts w:ascii="Times New Roman" w:hAnsi="Times New Roman" w:cs="Times New Roman"/>
          <w:sz w:val="24"/>
        </w:rPr>
        <w:t>recommendations.</w:t>
      </w:r>
    </w:p>
    <w:p w14:paraId="6499F710" w14:textId="77777777" w:rsidR="00663082" w:rsidRPr="007C46B2" w:rsidRDefault="00663082" w:rsidP="00663082">
      <w:pPr>
        <w:pStyle w:val="BodyNum"/>
        <w:spacing w:after="120"/>
      </w:pPr>
      <w:r w:rsidRPr="007C46B2">
        <w:t xml:space="preserve">The Committee is to provide a statement to </w:t>
      </w:r>
      <w:r>
        <w:t>FPC</w:t>
      </w:r>
      <w:r w:rsidRPr="007C46B2">
        <w:t xml:space="preserve"> whether the </w:t>
      </w:r>
      <w:proofErr w:type="spellStart"/>
      <w:r>
        <w:t>O</w:t>
      </w:r>
      <w:r w:rsidRPr="007C46B2">
        <w:t>PC’s</w:t>
      </w:r>
      <w:proofErr w:type="spellEnd"/>
      <w:r w:rsidRPr="007C46B2">
        <w:t xml:space="preserve"> system of internal control is appropriate, with reference to any specific areas of concern or suggestions for improvement.</w:t>
      </w:r>
    </w:p>
    <w:p w14:paraId="01A80572" w14:textId="77777777" w:rsidR="00663082" w:rsidRDefault="00663082" w:rsidP="00663082">
      <w:pPr>
        <w:spacing w:line="240" w:lineRule="auto"/>
        <w:rPr>
          <w:rFonts w:eastAsia="Times New Roman" w:cs="Times New Roman"/>
          <w:sz w:val="24"/>
          <w:szCs w:val="24"/>
          <w:u w:val="single"/>
        </w:rPr>
      </w:pPr>
      <w:r>
        <w:rPr>
          <w:rFonts w:cs="Times New Roman"/>
          <w:sz w:val="24"/>
          <w:u w:val="single"/>
        </w:rPr>
        <w:br w:type="page"/>
      </w:r>
    </w:p>
    <w:p w14:paraId="25E597B8" w14:textId="77777777" w:rsidR="00663082" w:rsidRDefault="00663082" w:rsidP="00663082">
      <w:pPr>
        <w:pStyle w:val="Head3"/>
        <w:keepNext w:val="0"/>
        <w:spacing w:after="0"/>
      </w:pPr>
      <w:bookmarkStart w:id="7" w:name="_Toc144384464"/>
      <w:r>
        <w:lastRenderedPageBreak/>
        <w:t>Deliverables</w:t>
      </w:r>
      <w:bookmarkEnd w:id="7"/>
    </w:p>
    <w:p w14:paraId="73FA3540" w14:textId="77777777" w:rsidR="00663082" w:rsidRPr="007C46B2" w:rsidRDefault="00663082" w:rsidP="00663082">
      <w:pPr>
        <w:pStyle w:val="BodyNum"/>
      </w:pPr>
      <w:r w:rsidRPr="007C46B2">
        <w:t xml:space="preserve">The Committee will provide advice to the FPC on the Committee’s ongoing monitoring of the internal audit plan and the appropriateness of </w:t>
      </w:r>
      <w:proofErr w:type="spellStart"/>
      <w:r w:rsidRPr="007C46B2">
        <w:t>OPC’s</w:t>
      </w:r>
      <w:proofErr w:type="spellEnd"/>
      <w:r w:rsidRPr="007C46B2">
        <w:t xml:space="preserve"> financial reporting</w:t>
      </w:r>
      <w:r>
        <w:t>,</w:t>
      </w:r>
      <w:r w:rsidRPr="007C46B2">
        <w:t xml:space="preserve"> performance reporting</w:t>
      </w:r>
      <w:r>
        <w:t>,</w:t>
      </w:r>
      <w:r w:rsidRPr="007C46B2">
        <w:t xml:space="preserve"> system of risk oversight and management</w:t>
      </w:r>
      <w:r>
        <w:t>,</w:t>
      </w:r>
      <w:r w:rsidRPr="007C46B2">
        <w:t xml:space="preserve"> and system of internal control</w:t>
      </w:r>
      <w:r>
        <w:t>,</w:t>
      </w:r>
      <w:r w:rsidRPr="007C46B2">
        <w:t xml:space="preserve"> after the September meeting each year. </w:t>
      </w:r>
    </w:p>
    <w:p w14:paraId="60D9C18F" w14:textId="77777777" w:rsidR="00663082" w:rsidRPr="007C46B2" w:rsidRDefault="00663082" w:rsidP="00663082">
      <w:pPr>
        <w:pStyle w:val="BodyNum"/>
      </w:pPr>
      <w:r w:rsidRPr="007C46B2">
        <w:t>The Secretariat will draft the document for discussion and approval at the September meeting.</w:t>
      </w:r>
    </w:p>
    <w:p w14:paraId="1CE3835D" w14:textId="77777777" w:rsidR="00663082" w:rsidRDefault="00663082" w:rsidP="00663082">
      <w:pPr>
        <w:pStyle w:val="BodyNum"/>
      </w:pPr>
      <w:r>
        <w:t>The Chair of the Committee will provide a written or verbal update to FPC after each meeting.</w:t>
      </w:r>
    </w:p>
    <w:p w14:paraId="5F33364A" w14:textId="77777777" w:rsidR="00663082" w:rsidRPr="001E2DE8" w:rsidRDefault="00663082" w:rsidP="00663082">
      <w:pPr>
        <w:pStyle w:val="Head3"/>
        <w:keepNext w:val="0"/>
        <w:spacing w:after="0"/>
      </w:pPr>
      <w:bookmarkStart w:id="8" w:name="_Toc144384465"/>
      <w:r w:rsidRPr="001E2DE8">
        <w:t>Core Principles and Expectations of Members</w:t>
      </w:r>
      <w:bookmarkEnd w:id="8"/>
    </w:p>
    <w:p w14:paraId="4AB694DE" w14:textId="77777777" w:rsidR="00663082" w:rsidRDefault="00663082" w:rsidP="00663082">
      <w:pPr>
        <w:pStyle w:val="BodyNum"/>
        <w:spacing w:after="120"/>
      </w:pPr>
      <w:r w:rsidRPr="00FE2265">
        <w:t xml:space="preserve">Members of the Committee are expected to understand and observe the legal requirements of the </w:t>
      </w:r>
      <w:proofErr w:type="spellStart"/>
      <w:r w:rsidRPr="00FE2265">
        <w:t>PGPA</w:t>
      </w:r>
      <w:proofErr w:type="spellEnd"/>
      <w:r w:rsidRPr="00FE2265">
        <w:t xml:space="preserve"> Framework.</w:t>
      </w:r>
    </w:p>
    <w:p w14:paraId="5979D646" w14:textId="77777777" w:rsidR="00663082" w:rsidRPr="00FE2265" w:rsidRDefault="00663082" w:rsidP="00663082">
      <w:pPr>
        <w:pStyle w:val="BodyNum"/>
        <w:spacing w:after="120"/>
      </w:pPr>
      <w:r w:rsidRPr="00FE2265">
        <w:t xml:space="preserve">Committee members must not use or disclose information obtained by the Committee except in meeting the Committee’s responsibilities, or unless expressly agreed by </w:t>
      </w:r>
      <w:r>
        <w:t>FPC</w:t>
      </w:r>
      <w:r w:rsidRPr="00FE2265">
        <w:t xml:space="preserve">. </w:t>
      </w:r>
    </w:p>
    <w:p w14:paraId="321E1C2A" w14:textId="77777777" w:rsidR="00663082" w:rsidRPr="00FE2265" w:rsidRDefault="00663082" w:rsidP="00663082">
      <w:pPr>
        <w:pStyle w:val="BodyNum"/>
        <w:spacing w:after="240"/>
      </w:pPr>
      <w:r w:rsidRPr="00FE2265">
        <w:t>In exercising its responsibilities, the Committee is to promote the core principles of good public sector governance, including, but not limited to:</w:t>
      </w:r>
    </w:p>
    <w:tbl>
      <w:tblPr>
        <w:tblStyle w:val="TableGrid"/>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85"/>
        <w:gridCol w:w="6212"/>
      </w:tblGrid>
      <w:tr w:rsidR="00663082" w:rsidRPr="00AD0BBE" w14:paraId="44AD609A" w14:textId="77777777" w:rsidTr="00A92DCF">
        <w:tc>
          <w:tcPr>
            <w:tcW w:w="2115" w:type="dxa"/>
            <w:shd w:val="clear" w:color="auto" w:fill="002060"/>
          </w:tcPr>
          <w:p w14:paraId="482B3DD7" w14:textId="77777777" w:rsidR="00663082" w:rsidRPr="00AD0BBE" w:rsidRDefault="00663082" w:rsidP="00A92DCF">
            <w:pPr>
              <w:tabs>
                <w:tab w:val="left" w:pos="709"/>
              </w:tabs>
              <w:spacing w:after="120" w:line="240" w:lineRule="auto"/>
              <w:rPr>
                <w:sz w:val="24"/>
                <w:szCs w:val="24"/>
              </w:rPr>
            </w:pPr>
            <w:r w:rsidRPr="00AD0BBE">
              <w:rPr>
                <w:sz w:val="24"/>
                <w:szCs w:val="24"/>
              </w:rPr>
              <w:t>Accountability</w:t>
            </w:r>
          </w:p>
        </w:tc>
        <w:tc>
          <w:tcPr>
            <w:tcW w:w="6515" w:type="dxa"/>
            <w:shd w:val="clear" w:color="auto" w:fill="D1D2D7"/>
          </w:tcPr>
          <w:p w14:paraId="3DF03EFE" w14:textId="77777777" w:rsidR="00663082" w:rsidRPr="00AD0BBE" w:rsidRDefault="00663082" w:rsidP="00A92DCF">
            <w:pPr>
              <w:tabs>
                <w:tab w:val="left" w:pos="709"/>
              </w:tabs>
              <w:spacing w:after="120" w:line="240" w:lineRule="auto"/>
              <w:rPr>
                <w:sz w:val="24"/>
                <w:szCs w:val="24"/>
              </w:rPr>
            </w:pPr>
            <w:r w:rsidRPr="00AD0BBE">
              <w:rPr>
                <w:sz w:val="24"/>
                <w:szCs w:val="24"/>
              </w:rPr>
              <w:t>Being answerable for decisions</w:t>
            </w:r>
          </w:p>
        </w:tc>
      </w:tr>
      <w:tr w:rsidR="00663082" w:rsidRPr="00AD0BBE" w14:paraId="46593A32" w14:textId="77777777" w:rsidTr="00A92DCF">
        <w:tc>
          <w:tcPr>
            <w:tcW w:w="2115" w:type="dxa"/>
            <w:shd w:val="clear" w:color="auto" w:fill="002060"/>
          </w:tcPr>
          <w:p w14:paraId="4A5FD4FA" w14:textId="77777777" w:rsidR="00663082" w:rsidRPr="00AD0BBE" w:rsidRDefault="00663082" w:rsidP="00A92DCF">
            <w:pPr>
              <w:tabs>
                <w:tab w:val="left" w:pos="709"/>
              </w:tabs>
              <w:spacing w:after="120" w:line="240" w:lineRule="auto"/>
              <w:rPr>
                <w:sz w:val="24"/>
                <w:szCs w:val="24"/>
              </w:rPr>
            </w:pPr>
            <w:r w:rsidRPr="00AD0BBE">
              <w:rPr>
                <w:sz w:val="24"/>
                <w:szCs w:val="24"/>
              </w:rPr>
              <w:t>Transparency</w:t>
            </w:r>
          </w:p>
        </w:tc>
        <w:tc>
          <w:tcPr>
            <w:tcW w:w="6515" w:type="dxa"/>
            <w:shd w:val="clear" w:color="auto" w:fill="D1D2D7"/>
          </w:tcPr>
          <w:p w14:paraId="597A5D46" w14:textId="77777777" w:rsidR="00663082" w:rsidRPr="00AD0BBE" w:rsidRDefault="00663082" w:rsidP="00A92DCF">
            <w:pPr>
              <w:tabs>
                <w:tab w:val="left" w:pos="709"/>
              </w:tabs>
              <w:spacing w:after="120" w:line="240" w:lineRule="auto"/>
              <w:rPr>
                <w:sz w:val="24"/>
                <w:szCs w:val="24"/>
              </w:rPr>
            </w:pPr>
            <w:r w:rsidRPr="00AD0BBE">
              <w:rPr>
                <w:sz w:val="24"/>
                <w:szCs w:val="24"/>
              </w:rPr>
              <w:t>Having clear roles, responsibilities and decision-making processes</w:t>
            </w:r>
          </w:p>
        </w:tc>
      </w:tr>
      <w:tr w:rsidR="00663082" w:rsidRPr="00AD0BBE" w14:paraId="21242B1B" w14:textId="77777777" w:rsidTr="00A92DCF">
        <w:tc>
          <w:tcPr>
            <w:tcW w:w="2115" w:type="dxa"/>
            <w:shd w:val="clear" w:color="auto" w:fill="002060"/>
          </w:tcPr>
          <w:p w14:paraId="681A5BFD" w14:textId="77777777" w:rsidR="00663082" w:rsidRPr="00AD0BBE" w:rsidRDefault="00663082" w:rsidP="00A92DCF">
            <w:pPr>
              <w:tabs>
                <w:tab w:val="left" w:pos="709"/>
              </w:tabs>
              <w:spacing w:after="120" w:line="240" w:lineRule="auto"/>
              <w:rPr>
                <w:sz w:val="24"/>
                <w:szCs w:val="24"/>
              </w:rPr>
            </w:pPr>
            <w:r w:rsidRPr="00AD0BBE">
              <w:rPr>
                <w:sz w:val="24"/>
                <w:szCs w:val="24"/>
              </w:rPr>
              <w:t>Integrity</w:t>
            </w:r>
          </w:p>
        </w:tc>
        <w:tc>
          <w:tcPr>
            <w:tcW w:w="6515" w:type="dxa"/>
            <w:shd w:val="clear" w:color="auto" w:fill="D1D2D7"/>
          </w:tcPr>
          <w:p w14:paraId="5647F238" w14:textId="77777777" w:rsidR="00663082" w:rsidRPr="00AD0BBE" w:rsidRDefault="00663082" w:rsidP="00A92DCF">
            <w:pPr>
              <w:tabs>
                <w:tab w:val="left" w:pos="709"/>
              </w:tabs>
              <w:spacing w:after="120" w:line="240" w:lineRule="auto"/>
              <w:rPr>
                <w:sz w:val="24"/>
                <w:szCs w:val="24"/>
              </w:rPr>
            </w:pPr>
            <w:r w:rsidRPr="00AD0BBE">
              <w:rPr>
                <w:sz w:val="24"/>
                <w:szCs w:val="24"/>
              </w:rPr>
              <w:t xml:space="preserve">Acting impartially, ethically and in the interests of </w:t>
            </w:r>
            <w:proofErr w:type="spellStart"/>
            <w:r>
              <w:rPr>
                <w:sz w:val="24"/>
                <w:szCs w:val="24"/>
              </w:rPr>
              <w:t>OPC</w:t>
            </w:r>
            <w:proofErr w:type="spellEnd"/>
            <w:r w:rsidRPr="00AD0BBE">
              <w:rPr>
                <w:sz w:val="24"/>
                <w:szCs w:val="24"/>
              </w:rPr>
              <w:t xml:space="preserve"> </w:t>
            </w:r>
          </w:p>
        </w:tc>
      </w:tr>
      <w:tr w:rsidR="00663082" w:rsidRPr="00AD0BBE" w14:paraId="0EA3F46E" w14:textId="77777777" w:rsidTr="00A92DCF">
        <w:tc>
          <w:tcPr>
            <w:tcW w:w="2115" w:type="dxa"/>
            <w:shd w:val="clear" w:color="auto" w:fill="002060"/>
          </w:tcPr>
          <w:p w14:paraId="03967FB5" w14:textId="77777777" w:rsidR="00663082" w:rsidRPr="00AD0BBE" w:rsidRDefault="00663082" w:rsidP="00A92DCF">
            <w:pPr>
              <w:tabs>
                <w:tab w:val="left" w:pos="709"/>
              </w:tabs>
              <w:spacing w:after="120" w:line="240" w:lineRule="auto"/>
              <w:rPr>
                <w:sz w:val="24"/>
                <w:szCs w:val="24"/>
              </w:rPr>
            </w:pPr>
            <w:r w:rsidRPr="00AD0BBE">
              <w:rPr>
                <w:sz w:val="24"/>
                <w:szCs w:val="24"/>
              </w:rPr>
              <w:t>Stewardship</w:t>
            </w:r>
          </w:p>
        </w:tc>
        <w:tc>
          <w:tcPr>
            <w:tcW w:w="6515" w:type="dxa"/>
            <w:shd w:val="clear" w:color="auto" w:fill="D1D2D7"/>
          </w:tcPr>
          <w:p w14:paraId="3FADEE83" w14:textId="77777777" w:rsidR="00663082" w:rsidRPr="00AD0BBE" w:rsidRDefault="00663082" w:rsidP="00A92DCF">
            <w:pPr>
              <w:tabs>
                <w:tab w:val="left" w:pos="709"/>
              </w:tabs>
              <w:spacing w:after="120" w:line="240" w:lineRule="auto"/>
              <w:rPr>
                <w:sz w:val="24"/>
                <w:szCs w:val="24"/>
              </w:rPr>
            </w:pPr>
            <w:r w:rsidRPr="00AD0BBE">
              <w:rPr>
                <w:sz w:val="24"/>
                <w:szCs w:val="24"/>
              </w:rPr>
              <w:t>Using every opportunity to enhance the value of public assets</w:t>
            </w:r>
          </w:p>
        </w:tc>
      </w:tr>
      <w:tr w:rsidR="00663082" w:rsidRPr="00AD0BBE" w14:paraId="5D956ADC" w14:textId="77777777" w:rsidTr="00A92DCF">
        <w:tc>
          <w:tcPr>
            <w:tcW w:w="2115" w:type="dxa"/>
            <w:shd w:val="clear" w:color="auto" w:fill="002060"/>
          </w:tcPr>
          <w:p w14:paraId="42E4D576" w14:textId="77777777" w:rsidR="00663082" w:rsidRPr="00AD0BBE" w:rsidRDefault="00663082" w:rsidP="00A92DCF">
            <w:pPr>
              <w:tabs>
                <w:tab w:val="left" w:pos="709"/>
              </w:tabs>
              <w:spacing w:after="120" w:line="240" w:lineRule="auto"/>
              <w:rPr>
                <w:sz w:val="24"/>
                <w:szCs w:val="24"/>
              </w:rPr>
            </w:pPr>
            <w:r w:rsidRPr="00AD0BBE">
              <w:rPr>
                <w:sz w:val="24"/>
                <w:szCs w:val="24"/>
              </w:rPr>
              <w:t>Efficiency</w:t>
            </w:r>
          </w:p>
        </w:tc>
        <w:tc>
          <w:tcPr>
            <w:tcW w:w="6515" w:type="dxa"/>
            <w:shd w:val="clear" w:color="auto" w:fill="D1D2D7"/>
          </w:tcPr>
          <w:p w14:paraId="5FDDDDDE" w14:textId="77777777" w:rsidR="00663082" w:rsidRPr="00AD0BBE" w:rsidRDefault="00663082" w:rsidP="00A92DCF">
            <w:pPr>
              <w:tabs>
                <w:tab w:val="left" w:pos="709"/>
              </w:tabs>
              <w:spacing w:after="120" w:line="240" w:lineRule="auto"/>
              <w:rPr>
                <w:sz w:val="24"/>
                <w:szCs w:val="24"/>
              </w:rPr>
            </w:pPr>
            <w:r w:rsidRPr="00AD0BBE">
              <w:rPr>
                <w:sz w:val="24"/>
                <w:szCs w:val="24"/>
              </w:rPr>
              <w:t xml:space="preserve">Making best use of resources to further objectives </w:t>
            </w:r>
          </w:p>
        </w:tc>
      </w:tr>
      <w:tr w:rsidR="00663082" w:rsidRPr="00AD0BBE" w14:paraId="1F63022B" w14:textId="77777777" w:rsidTr="00A92DCF">
        <w:tc>
          <w:tcPr>
            <w:tcW w:w="2115" w:type="dxa"/>
            <w:shd w:val="clear" w:color="auto" w:fill="002060"/>
          </w:tcPr>
          <w:p w14:paraId="48315243" w14:textId="77777777" w:rsidR="00663082" w:rsidRPr="00AD0BBE" w:rsidRDefault="00663082" w:rsidP="00A92DCF">
            <w:pPr>
              <w:tabs>
                <w:tab w:val="left" w:pos="709"/>
              </w:tabs>
              <w:spacing w:after="120" w:line="240" w:lineRule="auto"/>
              <w:rPr>
                <w:sz w:val="24"/>
                <w:szCs w:val="24"/>
              </w:rPr>
            </w:pPr>
            <w:r w:rsidRPr="00AD0BBE">
              <w:rPr>
                <w:sz w:val="24"/>
                <w:szCs w:val="24"/>
              </w:rPr>
              <w:t>Leadership</w:t>
            </w:r>
          </w:p>
        </w:tc>
        <w:tc>
          <w:tcPr>
            <w:tcW w:w="6515" w:type="dxa"/>
            <w:shd w:val="clear" w:color="auto" w:fill="D1D2D7"/>
          </w:tcPr>
          <w:p w14:paraId="272DB41A" w14:textId="77777777" w:rsidR="00663082" w:rsidRPr="00AD0BBE" w:rsidRDefault="00663082" w:rsidP="00A92DCF">
            <w:pPr>
              <w:tabs>
                <w:tab w:val="left" w:pos="709"/>
              </w:tabs>
              <w:spacing w:after="120" w:line="240" w:lineRule="auto"/>
              <w:rPr>
                <w:sz w:val="24"/>
                <w:szCs w:val="24"/>
              </w:rPr>
            </w:pPr>
            <w:r w:rsidRPr="00AD0BBE">
              <w:rPr>
                <w:sz w:val="24"/>
                <w:szCs w:val="24"/>
              </w:rPr>
              <w:t>Working together to discuss and agree issues, modelling desired behaviours and values</w:t>
            </w:r>
          </w:p>
        </w:tc>
      </w:tr>
      <w:tr w:rsidR="00663082" w:rsidRPr="00AD0BBE" w14:paraId="36167A67" w14:textId="77777777" w:rsidTr="00A92DCF">
        <w:tc>
          <w:tcPr>
            <w:tcW w:w="2115" w:type="dxa"/>
            <w:shd w:val="clear" w:color="auto" w:fill="002060"/>
          </w:tcPr>
          <w:p w14:paraId="3456F25B" w14:textId="77777777" w:rsidR="00663082" w:rsidRPr="00AD0BBE" w:rsidRDefault="00663082" w:rsidP="00A92DCF">
            <w:pPr>
              <w:tabs>
                <w:tab w:val="left" w:pos="709"/>
              </w:tabs>
              <w:spacing w:after="120" w:line="240" w:lineRule="auto"/>
              <w:rPr>
                <w:sz w:val="24"/>
                <w:szCs w:val="24"/>
              </w:rPr>
            </w:pPr>
            <w:r w:rsidRPr="00AD0BBE">
              <w:rPr>
                <w:sz w:val="24"/>
                <w:szCs w:val="24"/>
              </w:rPr>
              <w:t>Risk management</w:t>
            </w:r>
          </w:p>
        </w:tc>
        <w:tc>
          <w:tcPr>
            <w:tcW w:w="6515" w:type="dxa"/>
            <w:shd w:val="clear" w:color="auto" w:fill="D1D2D7"/>
          </w:tcPr>
          <w:p w14:paraId="069C5285" w14:textId="77777777" w:rsidR="00663082" w:rsidRPr="00AD0BBE" w:rsidRDefault="00663082" w:rsidP="00A92DCF">
            <w:pPr>
              <w:tabs>
                <w:tab w:val="left" w:pos="709"/>
              </w:tabs>
              <w:spacing w:after="120" w:line="240" w:lineRule="auto"/>
              <w:rPr>
                <w:sz w:val="24"/>
                <w:szCs w:val="24"/>
              </w:rPr>
            </w:pPr>
            <w:r w:rsidRPr="00AD0BBE">
              <w:rPr>
                <w:sz w:val="24"/>
                <w:szCs w:val="24"/>
              </w:rPr>
              <w:t>Identifying and managing key strategic risks</w:t>
            </w:r>
          </w:p>
        </w:tc>
      </w:tr>
    </w:tbl>
    <w:p w14:paraId="1762A334" w14:textId="77777777" w:rsidR="00663082" w:rsidRPr="00FE2265" w:rsidRDefault="00663082" w:rsidP="00663082">
      <w:pPr>
        <w:pStyle w:val="BodyNum"/>
        <w:spacing w:after="240"/>
      </w:pPr>
      <w:r w:rsidRPr="00FE2265" w:rsidDel="008F49AB">
        <w:t>Committee</w:t>
      </w:r>
      <w:r w:rsidRPr="00FE2265" w:rsidDel="00CB5D5F">
        <w:t xml:space="preserve"> </w:t>
      </w:r>
      <w:r w:rsidRPr="00FE2265">
        <w:t>members are expected to:</w:t>
      </w:r>
    </w:p>
    <w:p w14:paraId="3E1BB6F1" w14:textId="77777777" w:rsidR="00663082" w:rsidRPr="00AD0BBE" w:rsidRDefault="00663082" w:rsidP="00663082">
      <w:pPr>
        <w:pStyle w:val="ListParagraph"/>
        <w:numPr>
          <w:ilvl w:val="2"/>
          <w:numId w:val="14"/>
        </w:numPr>
        <w:spacing w:before="120" w:after="0" w:line="240" w:lineRule="auto"/>
        <w:rPr>
          <w:rFonts w:ascii="Times New Roman" w:hAnsi="Times New Roman" w:cs="Times New Roman"/>
          <w:sz w:val="24"/>
        </w:rPr>
      </w:pPr>
      <w:r w:rsidRPr="00AD0BBE">
        <w:rPr>
          <w:rFonts w:ascii="Times New Roman" w:hAnsi="Times New Roman" w:cs="Times New Roman"/>
          <w:sz w:val="24"/>
        </w:rPr>
        <w:t xml:space="preserve">act with honesty, integrity and in the best interests of </w:t>
      </w:r>
      <w:proofErr w:type="spellStart"/>
      <w:r>
        <w:rPr>
          <w:rFonts w:ascii="Times New Roman" w:hAnsi="Times New Roman" w:cs="Times New Roman"/>
          <w:sz w:val="24"/>
        </w:rPr>
        <w:t>OPC</w:t>
      </w:r>
      <w:proofErr w:type="spellEnd"/>
      <w:r w:rsidRPr="00AD0BBE">
        <w:rPr>
          <w:rFonts w:ascii="Times New Roman" w:hAnsi="Times New Roman" w:cs="Times New Roman"/>
          <w:sz w:val="24"/>
        </w:rPr>
        <w:t>;</w:t>
      </w:r>
    </w:p>
    <w:p w14:paraId="4846061B" w14:textId="77777777" w:rsidR="00663082" w:rsidRPr="00AD0BBE" w:rsidRDefault="00663082" w:rsidP="00663082">
      <w:pPr>
        <w:pStyle w:val="ListParagraph"/>
        <w:numPr>
          <w:ilvl w:val="2"/>
          <w:numId w:val="14"/>
        </w:numPr>
        <w:spacing w:before="120" w:after="0" w:line="240" w:lineRule="auto"/>
        <w:rPr>
          <w:rFonts w:ascii="Times New Roman" w:hAnsi="Times New Roman" w:cs="Times New Roman"/>
          <w:sz w:val="24"/>
        </w:rPr>
      </w:pPr>
      <w:r w:rsidRPr="00AD0BBE">
        <w:rPr>
          <w:rFonts w:ascii="Times New Roman" w:hAnsi="Times New Roman" w:cs="Times New Roman"/>
          <w:sz w:val="24"/>
        </w:rPr>
        <w:t>declare any conflict of interest;</w:t>
      </w:r>
    </w:p>
    <w:p w14:paraId="41650962" w14:textId="77777777" w:rsidR="00663082" w:rsidRPr="0094003E" w:rsidRDefault="00663082" w:rsidP="00663082">
      <w:pPr>
        <w:pStyle w:val="ListParagraph"/>
        <w:numPr>
          <w:ilvl w:val="2"/>
          <w:numId w:val="14"/>
        </w:numPr>
        <w:spacing w:before="120" w:after="0" w:line="240" w:lineRule="auto"/>
        <w:rPr>
          <w:rFonts w:ascii="Times New Roman" w:hAnsi="Times New Roman" w:cs="Times New Roman"/>
          <w:sz w:val="24"/>
        </w:rPr>
      </w:pPr>
      <w:r w:rsidRPr="0094003E">
        <w:rPr>
          <w:rFonts w:ascii="Times New Roman" w:hAnsi="Times New Roman" w:cs="Times New Roman"/>
          <w:sz w:val="24"/>
        </w:rPr>
        <w:t>ensure they make sufficient time to prepare for meetings to enable meaningful discussions;</w:t>
      </w:r>
    </w:p>
    <w:p w14:paraId="5C25CAB1" w14:textId="77777777" w:rsidR="00663082" w:rsidRPr="00AD0BBE" w:rsidRDefault="00663082" w:rsidP="00663082">
      <w:pPr>
        <w:pStyle w:val="ListParagraph"/>
        <w:numPr>
          <w:ilvl w:val="2"/>
          <w:numId w:val="14"/>
        </w:numPr>
        <w:spacing w:before="120" w:after="0" w:line="240" w:lineRule="auto"/>
        <w:rPr>
          <w:rFonts w:ascii="Times New Roman" w:hAnsi="Times New Roman" w:cs="Times New Roman"/>
          <w:sz w:val="24"/>
        </w:rPr>
      </w:pPr>
      <w:r w:rsidRPr="00AD0BBE">
        <w:rPr>
          <w:rFonts w:ascii="Times New Roman" w:hAnsi="Times New Roman" w:cs="Times New Roman"/>
          <w:sz w:val="24"/>
        </w:rPr>
        <w:t>ensure they are available to attend meetings on time and for the duration (unless agreed in advance);</w:t>
      </w:r>
    </w:p>
    <w:p w14:paraId="30DDDD31" w14:textId="77777777" w:rsidR="00663082" w:rsidRPr="00AD0BBE" w:rsidRDefault="00663082" w:rsidP="00663082">
      <w:pPr>
        <w:pStyle w:val="ListParagraph"/>
        <w:numPr>
          <w:ilvl w:val="2"/>
          <w:numId w:val="14"/>
        </w:numPr>
        <w:spacing w:before="120" w:after="0" w:line="240" w:lineRule="auto"/>
        <w:rPr>
          <w:rFonts w:ascii="Times New Roman" w:hAnsi="Times New Roman" w:cs="Times New Roman"/>
          <w:sz w:val="24"/>
        </w:rPr>
      </w:pPr>
      <w:r w:rsidRPr="00AD0BBE">
        <w:rPr>
          <w:rFonts w:ascii="Times New Roman" w:hAnsi="Times New Roman" w:cs="Times New Roman"/>
          <w:sz w:val="24"/>
        </w:rPr>
        <w:t>exercise sound judgement and decision making;</w:t>
      </w:r>
    </w:p>
    <w:p w14:paraId="4A7B6210" w14:textId="77777777" w:rsidR="00663082" w:rsidRPr="00AD0BBE" w:rsidRDefault="00663082" w:rsidP="00663082">
      <w:pPr>
        <w:pStyle w:val="ListParagraph"/>
        <w:numPr>
          <w:ilvl w:val="2"/>
          <w:numId w:val="14"/>
        </w:numPr>
        <w:spacing w:before="120" w:after="0" w:line="240" w:lineRule="auto"/>
        <w:rPr>
          <w:rFonts w:ascii="Times New Roman" w:hAnsi="Times New Roman" w:cs="Times New Roman"/>
          <w:sz w:val="24"/>
        </w:rPr>
      </w:pPr>
      <w:r w:rsidRPr="00AD0BBE">
        <w:rPr>
          <w:rFonts w:ascii="Times New Roman" w:hAnsi="Times New Roman" w:cs="Times New Roman"/>
          <w:sz w:val="24"/>
        </w:rPr>
        <w:t>be proactive in identifying issues and risks that require further attention;</w:t>
      </w:r>
    </w:p>
    <w:p w14:paraId="7A6DE1AA" w14:textId="77777777" w:rsidR="00663082" w:rsidRPr="00AD0BBE" w:rsidRDefault="00663082" w:rsidP="00663082">
      <w:pPr>
        <w:pStyle w:val="ListParagraph"/>
        <w:numPr>
          <w:ilvl w:val="2"/>
          <w:numId w:val="14"/>
        </w:numPr>
        <w:spacing w:before="120" w:after="0" w:line="240" w:lineRule="auto"/>
        <w:rPr>
          <w:rFonts w:ascii="Times New Roman" w:hAnsi="Times New Roman" w:cs="Times New Roman"/>
          <w:sz w:val="24"/>
        </w:rPr>
      </w:pPr>
      <w:r w:rsidRPr="00AD0BBE">
        <w:rPr>
          <w:rFonts w:ascii="Times New Roman" w:hAnsi="Times New Roman" w:cs="Times New Roman"/>
          <w:sz w:val="24"/>
        </w:rPr>
        <w:lastRenderedPageBreak/>
        <w:t>ask relevant questions and effectively evaluate answers;</w:t>
      </w:r>
    </w:p>
    <w:p w14:paraId="64773F80" w14:textId="77777777" w:rsidR="00663082" w:rsidRPr="00AD0BBE" w:rsidRDefault="00663082" w:rsidP="00663082">
      <w:pPr>
        <w:pStyle w:val="ListParagraph"/>
        <w:numPr>
          <w:ilvl w:val="2"/>
          <w:numId w:val="14"/>
        </w:numPr>
        <w:spacing w:before="120" w:after="0" w:line="240" w:lineRule="auto"/>
        <w:rPr>
          <w:rFonts w:ascii="Times New Roman" w:hAnsi="Times New Roman" w:cs="Times New Roman"/>
          <w:sz w:val="24"/>
        </w:rPr>
      </w:pPr>
      <w:r w:rsidRPr="00AD0BBE">
        <w:rPr>
          <w:rFonts w:ascii="Times New Roman" w:hAnsi="Times New Roman" w:cs="Times New Roman"/>
          <w:sz w:val="24"/>
        </w:rPr>
        <w:t>express opinions frankly in a professional manner; and</w:t>
      </w:r>
    </w:p>
    <w:p w14:paraId="4DCBFE5F" w14:textId="77777777" w:rsidR="00663082" w:rsidRPr="00AD0BBE" w:rsidRDefault="00663082" w:rsidP="00663082">
      <w:pPr>
        <w:pStyle w:val="ListParagraph"/>
        <w:numPr>
          <w:ilvl w:val="2"/>
          <w:numId w:val="14"/>
        </w:numPr>
        <w:spacing w:before="120" w:after="0" w:line="240" w:lineRule="auto"/>
        <w:rPr>
          <w:rFonts w:ascii="Times New Roman" w:hAnsi="Times New Roman" w:cs="Times New Roman"/>
          <w:sz w:val="24"/>
        </w:rPr>
      </w:pPr>
      <w:r w:rsidRPr="00AD0BBE">
        <w:rPr>
          <w:rFonts w:ascii="Times New Roman" w:hAnsi="Times New Roman" w:cs="Times New Roman"/>
          <w:sz w:val="24"/>
        </w:rPr>
        <w:t>encourage openness and transparency.</w:t>
      </w:r>
    </w:p>
    <w:p w14:paraId="25EA596E" w14:textId="77777777" w:rsidR="00663082" w:rsidRPr="004826A2" w:rsidRDefault="00663082" w:rsidP="00663082">
      <w:pPr>
        <w:pStyle w:val="BodyNum"/>
        <w:spacing w:after="120"/>
      </w:pPr>
      <w:r w:rsidRPr="004826A2">
        <w:t>The Chair is responsible for ensuring:</w:t>
      </w:r>
    </w:p>
    <w:p w14:paraId="2A759F6A" w14:textId="77777777" w:rsidR="00663082" w:rsidRPr="00FE2265" w:rsidRDefault="00663082" w:rsidP="00663082">
      <w:pPr>
        <w:pStyle w:val="ListParagraph"/>
        <w:numPr>
          <w:ilvl w:val="2"/>
          <w:numId w:val="14"/>
        </w:numPr>
        <w:spacing w:before="120" w:after="0" w:line="240" w:lineRule="auto"/>
        <w:rPr>
          <w:rFonts w:ascii="Times New Roman" w:hAnsi="Times New Roman" w:cs="Times New Roman"/>
          <w:sz w:val="24"/>
        </w:rPr>
      </w:pPr>
      <w:r w:rsidRPr="00FE2265">
        <w:rPr>
          <w:rFonts w:ascii="Times New Roman" w:hAnsi="Times New Roman" w:cs="Times New Roman"/>
          <w:sz w:val="24"/>
        </w:rPr>
        <w:t>members model the principles outlined above, including ensuring that members declare any potential or actual conflict of interest and that appropriate action is taken where a conflict is declared;</w:t>
      </w:r>
    </w:p>
    <w:p w14:paraId="7D715FCC" w14:textId="77777777" w:rsidR="00663082" w:rsidRPr="00FE2265" w:rsidRDefault="00663082" w:rsidP="00663082">
      <w:pPr>
        <w:pStyle w:val="ListParagraph"/>
        <w:numPr>
          <w:ilvl w:val="2"/>
          <w:numId w:val="14"/>
        </w:numPr>
        <w:spacing w:before="120" w:after="0" w:line="240" w:lineRule="auto"/>
        <w:rPr>
          <w:rFonts w:ascii="Times New Roman" w:hAnsi="Times New Roman" w:cs="Times New Roman"/>
          <w:sz w:val="24"/>
        </w:rPr>
      </w:pPr>
      <w:r w:rsidRPr="00FE2265">
        <w:rPr>
          <w:rFonts w:ascii="Times New Roman" w:hAnsi="Times New Roman" w:cs="Times New Roman"/>
          <w:sz w:val="24"/>
        </w:rPr>
        <w:t xml:space="preserve">the Committee’s internal reporting obligations are met; </w:t>
      </w:r>
    </w:p>
    <w:p w14:paraId="01752174" w14:textId="77777777" w:rsidR="00663082" w:rsidRPr="00FE2265" w:rsidRDefault="00663082" w:rsidP="00663082">
      <w:pPr>
        <w:pStyle w:val="ListParagraph"/>
        <w:numPr>
          <w:ilvl w:val="2"/>
          <w:numId w:val="14"/>
        </w:numPr>
        <w:spacing w:before="120" w:after="0" w:line="240" w:lineRule="auto"/>
        <w:rPr>
          <w:rFonts w:ascii="Times New Roman" w:hAnsi="Times New Roman" w:cs="Times New Roman"/>
          <w:sz w:val="24"/>
        </w:rPr>
      </w:pPr>
      <w:r w:rsidRPr="00FE2265" w:rsidDel="008F49AB">
        <w:rPr>
          <w:rFonts w:ascii="Times New Roman" w:hAnsi="Times New Roman" w:cs="Times New Roman"/>
          <w:sz w:val="24"/>
        </w:rPr>
        <w:t>Committee</w:t>
      </w:r>
      <w:r w:rsidRPr="00FE2265">
        <w:rPr>
          <w:rFonts w:ascii="Times New Roman" w:hAnsi="Times New Roman" w:cs="Times New Roman"/>
          <w:sz w:val="24"/>
        </w:rPr>
        <w:t xml:space="preserve"> performance is reviewed; and</w:t>
      </w:r>
    </w:p>
    <w:p w14:paraId="05911ADD" w14:textId="77777777" w:rsidR="00663082" w:rsidRPr="00FE2265" w:rsidRDefault="00663082" w:rsidP="00663082">
      <w:pPr>
        <w:pStyle w:val="ListParagraph"/>
        <w:numPr>
          <w:ilvl w:val="2"/>
          <w:numId w:val="14"/>
        </w:numPr>
        <w:spacing w:before="120" w:after="0" w:line="240" w:lineRule="auto"/>
        <w:rPr>
          <w:rFonts w:ascii="Times New Roman" w:hAnsi="Times New Roman" w:cs="Times New Roman"/>
          <w:sz w:val="24"/>
        </w:rPr>
      </w:pPr>
      <w:r w:rsidRPr="00FE2265">
        <w:rPr>
          <w:rFonts w:ascii="Times New Roman" w:hAnsi="Times New Roman" w:cs="Times New Roman"/>
          <w:sz w:val="24"/>
        </w:rPr>
        <w:t xml:space="preserve">that significant issues and risks requiring consideration are brought to the attention of the </w:t>
      </w:r>
      <w:r>
        <w:rPr>
          <w:rFonts w:ascii="Times New Roman" w:hAnsi="Times New Roman" w:cs="Times New Roman"/>
          <w:sz w:val="24"/>
        </w:rPr>
        <w:t>FPC</w:t>
      </w:r>
      <w:r w:rsidRPr="00FE2265">
        <w:rPr>
          <w:rFonts w:ascii="Times New Roman" w:hAnsi="Times New Roman" w:cs="Times New Roman"/>
          <w:sz w:val="24"/>
        </w:rPr>
        <w:t xml:space="preserve"> as soon as possible.</w:t>
      </w:r>
    </w:p>
    <w:p w14:paraId="2AC03AD9" w14:textId="77777777" w:rsidR="00663082" w:rsidRPr="00622DDB" w:rsidRDefault="00663082" w:rsidP="00663082">
      <w:pPr>
        <w:pStyle w:val="Head2"/>
        <w:spacing w:after="0"/>
      </w:pPr>
      <w:bookmarkStart w:id="9" w:name="_Toc144384466"/>
      <w:r w:rsidRPr="00622DDB">
        <w:t>Part 3—Administrative arrangements</w:t>
      </w:r>
      <w:bookmarkEnd w:id="9"/>
    </w:p>
    <w:p w14:paraId="2B9E5C66" w14:textId="77777777" w:rsidR="00663082" w:rsidRDefault="00663082" w:rsidP="00663082">
      <w:pPr>
        <w:pStyle w:val="Head3"/>
        <w:keepNext w:val="0"/>
        <w:spacing w:after="0"/>
      </w:pPr>
      <w:bookmarkStart w:id="10" w:name="_Toc144384467"/>
      <w:r>
        <w:t>Annual work plan</w:t>
      </w:r>
      <w:bookmarkEnd w:id="10"/>
    </w:p>
    <w:p w14:paraId="754B8D21" w14:textId="77777777" w:rsidR="00663082" w:rsidRDefault="00663082" w:rsidP="00663082">
      <w:pPr>
        <w:pStyle w:val="BodyNum"/>
        <w:spacing w:after="120"/>
      </w:pPr>
      <w:r>
        <w:t xml:space="preserve">Each year the Committee will endorse a forward work plan that outlines the meeting schedule, agenda items and the activities to be undertaken to ensure the Committee achieves the functions of its Charter. </w:t>
      </w:r>
    </w:p>
    <w:p w14:paraId="6E722BE6" w14:textId="77777777" w:rsidR="00663082" w:rsidRDefault="00663082" w:rsidP="00663082">
      <w:pPr>
        <w:pStyle w:val="Head3"/>
        <w:keepNext w:val="0"/>
        <w:spacing w:after="0"/>
      </w:pPr>
      <w:bookmarkStart w:id="11" w:name="_Toc144384468"/>
      <w:r>
        <w:t>Induction for new members</w:t>
      </w:r>
      <w:bookmarkEnd w:id="11"/>
    </w:p>
    <w:p w14:paraId="2D0B175C" w14:textId="77777777" w:rsidR="00663082" w:rsidRDefault="00663082" w:rsidP="00663082">
      <w:pPr>
        <w:pStyle w:val="BodyNum"/>
        <w:spacing w:after="120"/>
      </w:pPr>
      <w:r>
        <w:t xml:space="preserve">The Secretariat will provide new members with a package of corporate information including governance policy documents, Internal Audit plan, </w:t>
      </w:r>
      <w:proofErr w:type="spellStart"/>
      <w:r>
        <w:t>ANAO</w:t>
      </w:r>
      <w:proofErr w:type="spellEnd"/>
      <w:r>
        <w:t xml:space="preserve"> Financial Statement documents and Committee minutes and a briefing from FPC on their appointment to assist them to meet their Committee responsibilities.</w:t>
      </w:r>
    </w:p>
    <w:p w14:paraId="1D8BE131" w14:textId="77777777" w:rsidR="00663082" w:rsidRPr="00622DDB" w:rsidRDefault="00663082" w:rsidP="00663082">
      <w:pPr>
        <w:pStyle w:val="Head3"/>
        <w:keepNext w:val="0"/>
        <w:spacing w:after="0"/>
      </w:pPr>
      <w:bookmarkStart w:id="12" w:name="_Toc144384469"/>
      <w:r w:rsidRPr="00622DDB">
        <w:t>Meetings</w:t>
      </w:r>
      <w:bookmarkEnd w:id="12"/>
    </w:p>
    <w:p w14:paraId="1A4AD431" w14:textId="77777777" w:rsidR="00663082" w:rsidRPr="00622DDB" w:rsidRDefault="00663082" w:rsidP="00663082">
      <w:pPr>
        <w:pStyle w:val="BodyNum"/>
        <w:spacing w:after="120"/>
      </w:pPr>
      <w:r w:rsidRPr="00622DDB">
        <w:t xml:space="preserve">The Committee will meet at least </w:t>
      </w:r>
      <w:r>
        <w:t>four times</w:t>
      </w:r>
      <w:r w:rsidRPr="00622DDB">
        <w:t xml:space="preserve"> a year</w:t>
      </w:r>
      <w:r>
        <w:t>, plus a special meeting for financial statements and performance statements</w:t>
      </w:r>
      <w:r w:rsidRPr="00622DDB">
        <w:t>. The Committee will meet at such times as the Chair of the Committee considers necessary or as FPC requests.</w:t>
      </w:r>
    </w:p>
    <w:p w14:paraId="43BB28E7" w14:textId="77777777" w:rsidR="00663082" w:rsidRPr="00622DDB" w:rsidRDefault="00663082" w:rsidP="00663082">
      <w:pPr>
        <w:pStyle w:val="BodyNum"/>
        <w:spacing w:after="120"/>
      </w:pPr>
      <w:r>
        <w:t>A quorum consists of two members</w:t>
      </w:r>
      <w:r w:rsidRPr="00622DDB">
        <w:t>.</w:t>
      </w:r>
      <w:r>
        <w:t xml:space="preserve"> The quorum must be in place at all times during the meeting.</w:t>
      </w:r>
    </w:p>
    <w:p w14:paraId="7E1CFC3B" w14:textId="77777777" w:rsidR="00663082" w:rsidRPr="00622DDB" w:rsidRDefault="00663082" w:rsidP="00663082">
      <w:pPr>
        <w:pStyle w:val="BodyNum"/>
        <w:spacing w:after="120"/>
      </w:pPr>
      <w:r w:rsidRPr="00622DDB">
        <w:t>Meeting dates will be agreed by the Committee members</w:t>
      </w:r>
      <w:r>
        <w:t>, and agenda items agreed with the Chair</w:t>
      </w:r>
      <w:r w:rsidRPr="00622DDB">
        <w:t>.</w:t>
      </w:r>
    </w:p>
    <w:p w14:paraId="39056D3A" w14:textId="77777777" w:rsidR="00663082" w:rsidRPr="00622DDB" w:rsidRDefault="00663082" w:rsidP="00663082">
      <w:pPr>
        <w:pStyle w:val="Head3"/>
        <w:keepNext w:val="0"/>
        <w:spacing w:after="0"/>
      </w:pPr>
      <w:bookmarkStart w:id="13" w:name="_Toc144384470"/>
      <w:r w:rsidRPr="00622DDB">
        <w:t>Secretariat</w:t>
      </w:r>
      <w:bookmarkEnd w:id="13"/>
    </w:p>
    <w:p w14:paraId="203C2569" w14:textId="77777777" w:rsidR="00663082" w:rsidRPr="00622DDB" w:rsidRDefault="00663082" w:rsidP="00663082">
      <w:pPr>
        <w:pStyle w:val="BodyNum"/>
        <w:spacing w:after="120"/>
      </w:pPr>
      <w:r w:rsidRPr="00622DDB">
        <w:t>The General Manager</w:t>
      </w:r>
      <w:r>
        <w:t>, Corporate</w:t>
      </w:r>
      <w:r w:rsidRPr="00622DDB">
        <w:t xml:space="preserve"> </w:t>
      </w:r>
      <w:r>
        <w:t xml:space="preserve">is responsible for the Secretariat for the Committee and will </w:t>
      </w:r>
      <w:r w:rsidRPr="00622DDB">
        <w:t>arrange:</w:t>
      </w:r>
    </w:p>
    <w:p w14:paraId="3E73F0BB" w14:textId="77777777" w:rsidR="00663082" w:rsidRPr="007C46B2" w:rsidRDefault="00663082" w:rsidP="00663082">
      <w:pPr>
        <w:pStyle w:val="ListParagraph"/>
        <w:numPr>
          <w:ilvl w:val="2"/>
          <w:numId w:val="14"/>
        </w:numPr>
        <w:spacing w:before="120" w:after="0" w:line="240" w:lineRule="auto"/>
        <w:rPr>
          <w:rFonts w:ascii="Times New Roman" w:hAnsi="Times New Roman" w:cs="Times New Roman"/>
          <w:sz w:val="24"/>
        </w:rPr>
      </w:pPr>
      <w:r w:rsidRPr="007C46B2">
        <w:rPr>
          <w:rFonts w:ascii="Times New Roman" w:hAnsi="Times New Roman" w:cs="Times New Roman"/>
          <w:sz w:val="24"/>
        </w:rPr>
        <w:t>secretariat support to the Committee;</w:t>
      </w:r>
    </w:p>
    <w:p w14:paraId="00E709A2" w14:textId="77777777" w:rsidR="00663082" w:rsidRPr="007C46B2" w:rsidRDefault="00663082" w:rsidP="00663082">
      <w:pPr>
        <w:pStyle w:val="ListParagraph"/>
        <w:numPr>
          <w:ilvl w:val="2"/>
          <w:numId w:val="14"/>
        </w:numPr>
        <w:spacing w:before="120" w:after="0" w:line="240" w:lineRule="auto"/>
        <w:rPr>
          <w:rFonts w:ascii="Times New Roman" w:hAnsi="Times New Roman" w:cs="Times New Roman"/>
          <w:sz w:val="24"/>
        </w:rPr>
      </w:pPr>
      <w:r w:rsidRPr="007C46B2">
        <w:rPr>
          <w:rFonts w:ascii="Times New Roman" w:hAnsi="Times New Roman" w:cs="Times New Roman"/>
          <w:sz w:val="24"/>
        </w:rPr>
        <w:t>the circulation of the agenda and supporting papers for each meeting, after approval by the Chair of the Committee;</w:t>
      </w:r>
    </w:p>
    <w:p w14:paraId="3A693B35" w14:textId="77777777" w:rsidR="00663082" w:rsidRPr="007C46B2" w:rsidRDefault="00663082" w:rsidP="00663082">
      <w:pPr>
        <w:pStyle w:val="ListParagraph"/>
        <w:numPr>
          <w:ilvl w:val="2"/>
          <w:numId w:val="14"/>
        </w:numPr>
        <w:spacing w:before="120" w:after="0" w:line="240" w:lineRule="auto"/>
        <w:rPr>
          <w:rFonts w:ascii="Times New Roman" w:hAnsi="Times New Roman" w:cs="Times New Roman"/>
          <w:sz w:val="24"/>
        </w:rPr>
      </w:pPr>
      <w:r w:rsidRPr="007C46B2">
        <w:rPr>
          <w:rFonts w:ascii="Times New Roman" w:hAnsi="Times New Roman" w:cs="Times New Roman"/>
          <w:sz w:val="24"/>
        </w:rPr>
        <w:t>the circulation of the agenda and supporting papers one week before the meeting, where practicable;</w:t>
      </w:r>
    </w:p>
    <w:p w14:paraId="7211324C" w14:textId="77777777" w:rsidR="00663082" w:rsidRPr="007C46B2" w:rsidRDefault="00663082" w:rsidP="00663082">
      <w:pPr>
        <w:pStyle w:val="ListParagraph"/>
        <w:numPr>
          <w:ilvl w:val="2"/>
          <w:numId w:val="14"/>
        </w:numPr>
        <w:spacing w:before="120" w:after="0" w:line="240" w:lineRule="auto"/>
        <w:rPr>
          <w:rFonts w:ascii="Times New Roman" w:hAnsi="Times New Roman" w:cs="Times New Roman"/>
          <w:sz w:val="24"/>
        </w:rPr>
      </w:pPr>
      <w:r w:rsidRPr="007C46B2">
        <w:rPr>
          <w:rFonts w:ascii="Times New Roman" w:hAnsi="Times New Roman" w:cs="Times New Roman"/>
          <w:sz w:val="24"/>
        </w:rPr>
        <w:lastRenderedPageBreak/>
        <w:t>the preparation of minutes of each meeting;</w:t>
      </w:r>
    </w:p>
    <w:p w14:paraId="18C3954F" w14:textId="77777777" w:rsidR="00663082" w:rsidRPr="007C46B2" w:rsidRDefault="00663082" w:rsidP="00663082">
      <w:pPr>
        <w:pStyle w:val="ListParagraph"/>
        <w:numPr>
          <w:ilvl w:val="2"/>
          <w:numId w:val="14"/>
        </w:numPr>
        <w:spacing w:before="120" w:after="0" w:line="240" w:lineRule="auto"/>
        <w:rPr>
          <w:rFonts w:ascii="Times New Roman" w:hAnsi="Times New Roman" w:cs="Times New Roman"/>
          <w:sz w:val="24"/>
        </w:rPr>
      </w:pPr>
      <w:r w:rsidRPr="007C46B2">
        <w:rPr>
          <w:rFonts w:ascii="Times New Roman" w:hAnsi="Times New Roman" w:cs="Times New Roman"/>
          <w:sz w:val="24"/>
        </w:rPr>
        <w:t>the circulation of the minutes to each member and attendees, as appropriate, as soon as practicable after they have been approved by the Chair of the Committee</w:t>
      </w:r>
      <w:r>
        <w:rPr>
          <w:rFonts w:ascii="Times New Roman" w:hAnsi="Times New Roman" w:cs="Times New Roman"/>
          <w:sz w:val="24"/>
        </w:rPr>
        <w:t>;</w:t>
      </w:r>
      <w:r w:rsidRPr="007C46B2">
        <w:rPr>
          <w:rFonts w:ascii="Times New Roman" w:hAnsi="Times New Roman" w:cs="Times New Roman"/>
          <w:sz w:val="24"/>
        </w:rPr>
        <w:t xml:space="preserve"> and</w:t>
      </w:r>
    </w:p>
    <w:p w14:paraId="2243A961" w14:textId="77777777" w:rsidR="00663082" w:rsidRPr="007C46B2" w:rsidRDefault="00663082" w:rsidP="00663082">
      <w:pPr>
        <w:pStyle w:val="ListParagraph"/>
        <w:numPr>
          <w:ilvl w:val="2"/>
          <w:numId w:val="14"/>
        </w:numPr>
        <w:spacing w:before="120" w:after="0" w:line="240" w:lineRule="auto"/>
        <w:rPr>
          <w:rFonts w:ascii="Times New Roman" w:hAnsi="Times New Roman" w:cs="Times New Roman"/>
          <w:sz w:val="24"/>
        </w:rPr>
      </w:pPr>
      <w:r w:rsidRPr="007C46B2">
        <w:rPr>
          <w:rFonts w:ascii="Times New Roman" w:hAnsi="Times New Roman" w:cs="Times New Roman"/>
          <w:sz w:val="24"/>
        </w:rPr>
        <w:t>maintenance of the register of members.</w:t>
      </w:r>
    </w:p>
    <w:p w14:paraId="18C5B220" w14:textId="77777777" w:rsidR="00663082" w:rsidRDefault="00663082" w:rsidP="00663082">
      <w:pPr>
        <w:pStyle w:val="Head3"/>
        <w:keepNext w:val="0"/>
        <w:spacing w:after="0"/>
      </w:pPr>
      <w:bookmarkStart w:id="14" w:name="_Toc144384471"/>
      <w:r>
        <w:t>Assessing committee performance</w:t>
      </w:r>
      <w:bookmarkEnd w:id="14"/>
    </w:p>
    <w:p w14:paraId="734F3ED4" w14:textId="77777777" w:rsidR="00663082" w:rsidRDefault="00663082" w:rsidP="00663082">
      <w:pPr>
        <w:pStyle w:val="BodyNum"/>
        <w:spacing w:after="120"/>
      </w:pPr>
      <w:r>
        <w:t xml:space="preserve">The Chair of the Committee in consultation with FPC, will undertake a review of the performance of the Committee at least every two years. The review will be undertaken on a self-assessment basis with appropriate input sought from FPC, Committee members, senior management, internal audit, the </w:t>
      </w:r>
      <w:proofErr w:type="spellStart"/>
      <w:r>
        <w:t>ANAO</w:t>
      </w:r>
      <w:proofErr w:type="spellEnd"/>
      <w:r>
        <w:t xml:space="preserve"> and any other relevant stakeholders, as determined by FPC.</w:t>
      </w:r>
    </w:p>
    <w:p w14:paraId="422A369D" w14:textId="77777777" w:rsidR="00663082" w:rsidRDefault="00663082" w:rsidP="00663082">
      <w:pPr>
        <w:pStyle w:val="Head3"/>
        <w:keepNext w:val="0"/>
        <w:spacing w:after="0"/>
      </w:pPr>
      <w:bookmarkStart w:id="15" w:name="_Toc144384472"/>
      <w:r>
        <w:t>Review of Charter</w:t>
      </w:r>
      <w:bookmarkEnd w:id="15"/>
    </w:p>
    <w:p w14:paraId="687DF894" w14:textId="77777777" w:rsidR="00663082" w:rsidRDefault="00663082" w:rsidP="00663082">
      <w:pPr>
        <w:pStyle w:val="BodyNum"/>
        <w:spacing w:after="120"/>
      </w:pPr>
      <w:r>
        <w:t>The Committee will review this Charter in consultation with FPC at least once a year. Any substantive changes will be recommended by the Committee and formally approved by FPC.</w:t>
      </w:r>
    </w:p>
    <w:p w14:paraId="43B633E9" w14:textId="77777777" w:rsidR="00663082" w:rsidRDefault="00663082" w:rsidP="00663082">
      <w:pPr>
        <w:pStyle w:val="BodyNum"/>
        <w:numPr>
          <w:ilvl w:val="0"/>
          <w:numId w:val="0"/>
        </w:numPr>
      </w:pPr>
    </w:p>
    <w:p w14:paraId="3FF24BEF" w14:textId="77777777" w:rsidR="00663082" w:rsidRPr="006840DE" w:rsidRDefault="00663082" w:rsidP="00663082">
      <w:pPr>
        <w:pStyle w:val="BodyNum"/>
        <w:numPr>
          <w:ilvl w:val="0"/>
          <w:numId w:val="0"/>
        </w:numPr>
      </w:pPr>
    </w:p>
    <w:p w14:paraId="4D57E4F1" w14:textId="77777777" w:rsidR="00663082" w:rsidRDefault="00663082" w:rsidP="00663082">
      <w:pPr>
        <w:pStyle w:val="BodyNum"/>
        <w:numPr>
          <w:ilvl w:val="0"/>
          <w:numId w:val="0"/>
        </w:numPr>
        <w:spacing w:before="0"/>
      </w:pPr>
      <w:r>
        <w:t>Meredith Leigh</w:t>
      </w:r>
    </w:p>
    <w:p w14:paraId="3FF6D894" w14:textId="77777777" w:rsidR="00663082" w:rsidRPr="005E5A2D" w:rsidRDefault="00663082" w:rsidP="00663082">
      <w:pPr>
        <w:pStyle w:val="BodyNum"/>
        <w:numPr>
          <w:ilvl w:val="0"/>
          <w:numId w:val="0"/>
        </w:numPr>
        <w:spacing w:before="0"/>
      </w:pPr>
      <w:r w:rsidRPr="005E5A2D">
        <w:t>First Parliamentary Counsel</w:t>
      </w:r>
    </w:p>
    <w:p w14:paraId="7BDF763C" w14:textId="50947455" w:rsidR="00663082" w:rsidRDefault="00663082" w:rsidP="00663082">
      <w:pPr>
        <w:pStyle w:val="Blocks"/>
      </w:pPr>
      <w:bookmarkStart w:id="16" w:name="_GoBack"/>
      <w:bookmarkEnd w:id="16"/>
      <w:r>
        <w:t>September 2023</w:t>
      </w:r>
    </w:p>
    <w:p w14:paraId="16914212" w14:textId="77777777" w:rsidR="00F00748" w:rsidRPr="00663082" w:rsidRDefault="00F00748" w:rsidP="00663082"/>
    <w:sectPr w:rsidR="00F00748" w:rsidRPr="00663082" w:rsidSect="00007D6B">
      <w:headerReference w:type="even" r:id="rId13"/>
      <w:headerReference w:type="default" r:id="rId14"/>
      <w:footerReference w:type="even" r:id="rId15"/>
      <w:footerReference w:type="default" r:id="rId16"/>
      <w:headerReference w:type="first" r:id="rId17"/>
      <w:footerReference w:type="first" r:id="rId18"/>
      <w:pgSz w:w="11907" w:h="16839"/>
      <w:pgMar w:top="1559"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5A85F" w14:textId="77777777" w:rsidR="00B9069B" w:rsidRDefault="00B9069B" w:rsidP="00BF2F2A">
      <w:pPr>
        <w:spacing w:line="240" w:lineRule="auto"/>
      </w:pPr>
      <w:r>
        <w:separator/>
      </w:r>
    </w:p>
  </w:endnote>
  <w:endnote w:type="continuationSeparator" w:id="0">
    <w:p w14:paraId="72B94205" w14:textId="77777777" w:rsidR="00B9069B" w:rsidRDefault="00B9069B" w:rsidP="00BF2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A37D6" w14:textId="2F104D12" w:rsidR="00007D6B" w:rsidRDefault="004F7ED6" w:rsidP="00007D6B">
    <w:pPr>
      <w:pStyle w:val="Footer"/>
      <w:tabs>
        <w:tab w:val="clear" w:pos="4153"/>
        <w:tab w:val="clear" w:pos="8306"/>
        <w:tab w:val="right" w:pos="9000"/>
      </w:tabs>
    </w:pPr>
    <w:r w:rsidRPr="004F7ED6">
      <w:rPr>
        <w:b/>
        <w:noProof/>
        <w:sz w:val="20"/>
        <w:lang w:val="en-US"/>
      </w:rPr>
      <mc:AlternateContent>
        <mc:Choice Requires="wps">
          <w:drawing>
            <wp:anchor distT="0" distB="0" distL="114300" distR="114300" simplePos="0" relativeHeight="251669504" behindDoc="1" locked="1" layoutInCell="1" allowOverlap="1" wp14:anchorId="3292F5A9" wp14:editId="4AE71488">
              <wp:simplePos x="0" y="0"/>
              <wp:positionH relativeFrom="page">
                <wp:align>center</wp:align>
              </wp:positionH>
              <wp:positionV relativeFrom="paragraph">
                <wp:posOffset>-317500</wp:posOffset>
              </wp:positionV>
              <wp:extent cx="5773003" cy="395785"/>
              <wp:effectExtent l="0" t="0" r="0" b="4445"/>
              <wp:wrapNone/>
              <wp:docPr id="5" name="Text Box 5"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27EC25" w14:textId="03925731" w:rsidR="004F7ED6" w:rsidRPr="00324EB0" w:rsidRDefault="004F7ED6"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6A58">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92F5A9" id="_x0000_t202" coordsize="21600,21600" o:spt="202" path="m,l,21600r21600,l21600,xe">
              <v:stroke joinstyle="miter"/>
              <v:path gradientshapeok="t" o:connecttype="rect"/>
            </v:shapetype>
            <v:shape id="Text Box 5" o:spid="_x0000_s1028" type="#_x0000_t202" alt="Sec-Footerevenpage" style="position:absolute;margin-left:0;margin-top:-25pt;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" stroked="f" strokeweight=".5pt">
              <v:textbox>
                <w:txbxContent>
                  <w:p w14:paraId="0327EC25" w14:textId="03925731" w:rsidR="004F7ED6" w:rsidRPr="00324EB0" w:rsidRDefault="004F7ED6"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6A58">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007D6B">
      <w:rPr>
        <w:sz w:val="20"/>
      </w:rPr>
      <w:t xml:space="preserve">Page </w:t>
    </w:r>
    <w:r w:rsidR="004F166C">
      <w:rPr>
        <w:rStyle w:val="PageNumber"/>
        <w:sz w:val="20"/>
      </w:rPr>
      <w:fldChar w:fldCharType="begin"/>
    </w:r>
    <w:r w:rsidR="00007D6B">
      <w:rPr>
        <w:rStyle w:val="PageNumber"/>
        <w:sz w:val="20"/>
      </w:rPr>
      <w:instrText xml:space="preserve"> PAGE </w:instrText>
    </w:r>
    <w:r w:rsidR="004F166C">
      <w:rPr>
        <w:rStyle w:val="PageNumber"/>
        <w:sz w:val="20"/>
      </w:rPr>
      <w:fldChar w:fldCharType="separate"/>
    </w:r>
    <w:r w:rsidR="0046060E">
      <w:rPr>
        <w:rStyle w:val="PageNumber"/>
        <w:noProof/>
        <w:sz w:val="20"/>
      </w:rPr>
      <w:t>2</w:t>
    </w:r>
    <w:r w:rsidR="004F166C">
      <w:rPr>
        <w:rStyle w:val="PageNumber"/>
        <w:sz w:val="20"/>
      </w:rPr>
      <w:fldChar w:fldCharType="end"/>
    </w:r>
    <w:r w:rsidR="00007D6B">
      <w:rPr>
        <w:rStyle w:val="PageNumbe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01AAA" w14:textId="13FF50B0" w:rsidR="00007D6B" w:rsidRDefault="004F7ED6" w:rsidP="00007D6B">
    <w:pPr>
      <w:tabs>
        <w:tab w:val="right" w:pos="9000"/>
      </w:tabs>
      <w:rPr>
        <w:sz w:val="16"/>
      </w:rPr>
    </w:pPr>
    <w:r w:rsidRPr="004F7ED6">
      <w:rPr>
        <w:b/>
        <w:noProof/>
        <w:sz w:val="16"/>
        <w:lang w:val="en-US"/>
      </w:rPr>
      <mc:AlternateContent>
        <mc:Choice Requires="wps">
          <w:drawing>
            <wp:anchor distT="0" distB="0" distL="114300" distR="114300" simplePos="0" relativeHeight="251665408" behindDoc="1" locked="1" layoutInCell="1" allowOverlap="1" wp14:anchorId="147C53C2" wp14:editId="00A604DC">
              <wp:simplePos x="0" y="0"/>
              <wp:positionH relativeFrom="page">
                <wp:align>center</wp:align>
              </wp:positionH>
              <wp:positionV relativeFrom="paragraph">
                <wp:posOffset>-317500</wp:posOffset>
              </wp:positionV>
              <wp:extent cx="5773003" cy="395785"/>
              <wp:effectExtent l="0" t="0" r="0" b="4445"/>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248CE1" w14:textId="635C68A9" w:rsidR="004F7ED6" w:rsidRPr="00324EB0" w:rsidRDefault="004F7ED6"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6A58">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C53C2" id="_x0000_t202" coordsize="21600,21600" o:spt="202" path="m,l,21600r21600,l21600,xe">
              <v:stroke joinstyle="miter"/>
              <v:path gradientshapeok="t" o:connecttype="rect"/>
            </v:shapetype>
            <v:shape id="Text Box 3" o:spid="_x0000_s1029" type="#_x0000_t202" alt="Sec-Footerprimary" style="position:absolute;margin-left:0;margin-top:-25pt;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" stroked="f" strokeweight=".5pt">
              <v:textbox>
                <w:txbxContent>
                  <w:p w14:paraId="34248CE1" w14:textId="635C68A9" w:rsidR="004F7ED6" w:rsidRPr="00324EB0" w:rsidRDefault="004F7ED6"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6A58">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007D6B">
      <w:rPr>
        <w:sz w:val="16"/>
      </w:rPr>
      <w:tab/>
    </w:r>
    <w:r w:rsidR="00007D6B">
      <w:rPr>
        <w:sz w:val="20"/>
      </w:rPr>
      <w:t xml:space="preserve">Page </w:t>
    </w:r>
    <w:r w:rsidR="004F166C">
      <w:rPr>
        <w:rStyle w:val="PageNumber"/>
        <w:sz w:val="20"/>
      </w:rPr>
      <w:fldChar w:fldCharType="begin"/>
    </w:r>
    <w:r w:rsidR="00007D6B">
      <w:rPr>
        <w:rStyle w:val="PageNumber"/>
        <w:sz w:val="20"/>
      </w:rPr>
      <w:instrText xml:space="preserve"> PAGE </w:instrText>
    </w:r>
    <w:r w:rsidR="004F166C">
      <w:rPr>
        <w:rStyle w:val="PageNumber"/>
        <w:sz w:val="20"/>
      </w:rPr>
      <w:fldChar w:fldCharType="separate"/>
    </w:r>
    <w:r w:rsidR="0046060E">
      <w:rPr>
        <w:rStyle w:val="PageNumber"/>
        <w:noProof/>
        <w:sz w:val="20"/>
      </w:rPr>
      <w:t>5</w:t>
    </w:r>
    <w:r w:rsidR="004F166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712C7" w14:textId="159EA46C" w:rsidR="00007D6B" w:rsidRDefault="004F7ED6" w:rsidP="00007D6B">
    <w:pPr>
      <w:tabs>
        <w:tab w:val="right" w:pos="9000"/>
      </w:tabs>
      <w:rPr>
        <w:sz w:val="16"/>
      </w:rPr>
    </w:pPr>
    <w:r w:rsidRPr="004F7ED6">
      <w:rPr>
        <w:b/>
        <w:noProof/>
        <w:sz w:val="16"/>
        <w:lang w:val="en-US"/>
      </w:rPr>
      <mc:AlternateContent>
        <mc:Choice Requires="wps">
          <w:drawing>
            <wp:anchor distT="0" distB="0" distL="114300" distR="114300" simplePos="0" relativeHeight="251667456" behindDoc="1" locked="1" layoutInCell="1" allowOverlap="1" wp14:anchorId="212466E5" wp14:editId="0C8C2939">
              <wp:simplePos x="0" y="0"/>
              <wp:positionH relativeFrom="page">
                <wp:align>center</wp:align>
              </wp:positionH>
              <wp:positionV relativeFrom="paragraph">
                <wp:posOffset>-317500</wp:posOffset>
              </wp:positionV>
              <wp:extent cx="5773003" cy="395785"/>
              <wp:effectExtent l="0" t="0" r="0" b="4445"/>
              <wp:wrapNone/>
              <wp:docPr id="4" name="Text Box 4"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B922B7" w14:textId="03DB14A6" w:rsidR="004F7ED6" w:rsidRPr="00324EB0" w:rsidRDefault="004F7ED6"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2466E5" id="_x0000_t202" coordsize="21600,21600" o:spt="202" path="m,l,21600r21600,l21600,xe">
              <v:stroke joinstyle="miter"/>
              <v:path gradientshapeok="t" o:connecttype="rect"/>
            </v:shapetype>
            <v:shape id="Text Box 4" o:spid="_x0000_s1031" type="#_x0000_t202" alt="Sec-Footerfirstpage"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" stroked="f" strokeweight=".5pt">
              <v:textbox>
                <w:txbxContent>
                  <w:p w14:paraId="66B922B7" w14:textId="03DB14A6" w:rsidR="004F7ED6" w:rsidRPr="00324EB0" w:rsidRDefault="004F7ED6"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007D6B">
      <w:rPr>
        <w:sz w:val="16"/>
      </w:rPr>
      <w:tab/>
    </w:r>
    <w:r w:rsidR="00007D6B">
      <w:rPr>
        <w:sz w:val="20"/>
      </w:rPr>
      <w:t xml:space="preserve">Page </w:t>
    </w:r>
    <w:r w:rsidR="004F166C">
      <w:rPr>
        <w:rStyle w:val="PageNumber"/>
        <w:sz w:val="20"/>
      </w:rPr>
      <w:fldChar w:fldCharType="begin"/>
    </w:r>
    <w:r w:rsidR="00007D6B">
      <w:rPr>
        <w:rStyle w:val="PageNumber"/>
        <w:sz w:val="20"/>
      </w:rPr>
      <w:instrText xml:space="preserve"> PAGE </w:instrText>
    </w:r>
    <w:r w:rsidR="004F166C">
      <w:rPr>
        <w:rStyle w:val="PageNumber"/>
        <w:sz w:val="20"/>
      </w:rPr>
      <w:fldChar w:fldCharType="separate"/>
    </w:r>
    <w:r w:rsidR="0046060E">
      <w:rPr>
        <w:rStyle w:val="PageNumber"/>
        <w:noProof/>
        <w:sz w:val="20"/>
      </w:rPr>
      <w:t>1</w:t>
    </w:r>
    <w:r w:rsidR="004F166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1C4FF" w14:textId="77777777" w:rsidR="00B9069B" w:rsidRDefault="00B9069B" w:rsidP="00BF2F2A">
      <w:pPr>
        <w:spacing w:line="240" w:lineRule="auto"/>
      </w:pPr>
      <w:r>
        <w:separator/>
      </w:r>
    </w:p>
  </w:footnote>
  <w:footnote w:type="continuationSeparator" w:id="0">
    <w:p w14:paraId="31C7BEAA" w14:textId="77777777" w:rsidR="00B9069B" w:rsidRDefault="00B9069B" w:rsidP="00BF2F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CC44A" w14:textId="7728AE44" w:rsidR="00007D6B" w:rsidRDefault="004F7ED6" w:rsidP="00007D6B">
    <w:pPr>
      <w:pStyle w:val="Header"/>
    </w:pPr>
    <w:r w:rsidRPr="004F7ED6">
      <w:rPr>
        <w:rStyle w:val="PageNumber"/>
        <w:b/>
        <w:noProof/>
        <w:lang w:val="en-US"/>
      </w:rPr>
      <mc:AlternateContent>
        <mc:Choice Requires="wps">
          <w:drawing>
            <wp:anchor distT="0" distB="0" distL="114300" distR="114300" simplePos="0" relativeHeight="251663360" behindDoc="1" locked="1" layoutInCell="1" allowOverlap="1" wp14:anchorId="117EB399" wp14:editId="44BCB086">
              <wp:simplePos x="0" y="0"/>
              <wp:positionH relativeFrom="page">
                <wp:align>center</wp:align>
              </wp:positionH>
              <wp:positionV relativeFrom="paragraph">
                <wp:posOffset>-317500</wp:posOffset>
              </wp:positionV>
              <wp:extent cx="5773003" cy="395785"/>
              <wp:effectExtent l="0" t="0" r="0" b="4445"/>
              <wp:wrapNone/>
              <wp:docPr id="2" name="Text Box 2"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963899" w14:textId="149A18EE" w:rsidR="004F7ED6" w:rsidRPr="00324EB0" w:rsidRDefault="004F7ED6"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6A58">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7EB399" id="_x0000_t202" coordsize="21600,21600" o:spt="202" path="m,l,21600r21600,l21600,xe">
              <v:stroke joinstyle="miter"/>
              <v:path gradientshapeok="t" o:connecttype="rect"/>
            </v:shapetype>
            <v:shape id="Text Box 2"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" stroked="f" strokeweight=".5pt">
              <v:textbox>
                <w:txbxContent>
                  <w:p w14:paraId="30963899" w14:textId="149A18EE" w:rsidR="004F7ED6" w:rsidRPr="00324EB0" w:rsidRDefault="004F7ED6"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6A58">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4F166C">
      <w:rPr>
        <w:rStyle w:val="PageNumber"/>
      </w:rPr>
      <w:fldChar w:fldCharType="begin"/>
    </w:r>
    <w:r w:rsidR="00007D6B">
      <w:rPr>
        <w:rStyle w:val="PageNumber"/>
      </w:rPr>
      <w:instrText xml:space="preserve"> STYLEREF "Head 1" </w:instrText>
    </w:r>
    <w:r w:rsidR="004F166C">
      <w:rPr>
        <w:rStyle w:val="PageNumber"/>
      </w:rPr>
      <w:fldChar w:fldCharType="separate"/>
    </w:r>
    <w:r w:rsidR="00746A58">
      <w:rPr>
        <w:rStyle w:val="PageNumber"/>
        <w:noProof/>
      </w:rPr>
      <w:t>Audit and Risk Committee Charter</w:t>
    </w:r>
    <w:r w:rsidR="004F166C">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0877" w14:textId="5FB25439" w:rsidR="00007D6B" w:rsidRDefault="004F7ED6" w:rsidP="00007D6B">
    <w:pPr>
      <w:pStyle w:val="Header"/>
      <w:jc w:val="right"/>
    </w:pPr>
    <w:r w:rsidRPr="004F7ED6">
      <w:rPr>
        <w:rStyle w:val="PageNumber"/>
        <w:b/>
        <w:noProof/>
        <w:lang w:val="en-US"/>
      </w:rPr>
      <mc:AlternateContent>
        <mc:Choice Requires="wps">
          <w:drawing>
            <wp:anchor distT="0" distB="0" distL="114300" distR="114300" simplePos="0" relativeHeight="251659264" behindDoc="1" locked="1" layoutInCell="1" allowOverlap="1" wp14:anchorId="70A8BB4C" wp14:editId="142638BD">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938508" w14:textId="481DFC3C" w:rsidR="004F7ED6" w:rsidRPr="00324EB0" w:rsidRDefault="004F7ED6"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6A58">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A8BB4C" id="_x0000_t202" coordsize="21600,21600" o:spt="202" path="m,l,21600r21600,l21600,xe">
              <v:stroke joinstyle="miter"/>
              <v:path gradientshapeok="t" o:connecttype="rect"/>
            </v:shapetype>
            <v:shape id="Text Box 107" o:spid="_x0000_s1027"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" stroked="f" strokeweight=".5pt">
              <v:textbox>
                <w:txbxContent>
                  <w:p w14:paraId="1F938508" w14:textId="481DFC3C" w:rsidR="004F7ED6" w:rsidRPr="00324EB0" w:rsidRDefault="004F7ED6"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6A58">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4F166C">
      <w:rPr>
        <w:rStyle w:val="PageNumber"/>
      </w:rPr>
      <w:fldChar w:fldCharType="begin"/>
    </w:r>
    <w:r w:rsidR="00007D6B">
      <w:rPr>
        <w:rStyle w:val="PageNumber"/>
      </w:rPr>
      <w:instrText xml:space="preserve"> STYLEREF "Head 1" </w:instrText>
    </w:r>
    <w:r w:rsidR="004F166C">
      <w:rPr>
        <w:rStyle w:val="PageNumber"/>
      </w:rPr>
      <w:fldChar w:fldCharType="separate"/>
    </w:r>
    <w:r w:rsidR="00746A58">
      <w:rPr>
        <w:rStyle w:val="PageNumber"/>
        <w:noProof/>
      </w:rPr>
      <w:t>Audit and Risk Committee Charter</w:t>
    </w:r>
    <w:r w:rsidR="004F166C">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FA1FC" w14:textId="605C94F6" w:rsidR="007C2D36" w:rsidRDefault="004F7ED6" w:rsidP="00007D6B">
    <w:pPr>
      <w:pStyle w:val="Header"/>
      <w:jc w:val="right"/>
      <w:rPr>
        <w:rStyle w:val="PageNumber"/>
      </w:rPr>
    </w:pPr>
    <w:r w:rsidRPr="004F7ED6">
      <w:rPr>
        <w:rStyle w:val="PageNumber"/>
        <w:b/>
        <w:noProof/>
        <w:lang w:val="en-US"/>
      </w:rPr>
      <mc:AlternateContent>
        <mc:Choice Requires="wps">
          <w:drawing>
            <wp:anchor distT="0" distB="0" distL="114300" distR="114300" simplePos="0" relativeHeight="251661312" behindDoc="1" locked="1" layoutInCell="1" allowOverlap="1" wp14:anchorId="5ACB847F" wp14:editId="4CA6E1E4">
              <wp:simplePos x="0" y="0"/>
              <wp:positionH relativeFrom="page">
                <wp:align>center</wp:align>
              </wp:positionH>
              <wp:positionV relativeFrom="paragraph">
                <wp:posOffset>-317500</wp:posOffset>
              </wp:positionV>
              <wp:extent cx="5773003" cy="395785"/>
              <wp:effectExtent l="0" t="0" r="0" b="4445"/>
              <wp:wrapNone/>
              <wp:docPr id="1" name="Text Box 1"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7B4641" w14:textId="39B09975" w:rsidR="004F7ED6" w:rsidRPr="00324EB0" w:rsidRDefault="004F7ED6"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5886">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CB847F" id="_x0000_t202" coordsize="21600,21600" o:spt="202" path="m,l,21600r21600,l21600,xe">
              <v:stroke joinstyle="miter"/>
              <v:path gradientshapeok="t" o:connecttype="rect"/>
            </v:shapetype>
            <v:shape id="Text Box 1" o:spid="_x0000_s1030" type="#_x0000_t202" alt="Sec-Headerfirstpage" style="position:absolute;left:0;text-align:left;margin-left:0;margin-top:-2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" stroked="f" strokeweight=".5pt">
              <v:textbox>
                <w:txbxContent>
                  <w:p w14:paraId="627B4641" w14:textId="39B09975" w:rsidR="004F7ED6" w:rsidRPr="00324EB0" w:rsidRDefault="004F7ED6"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5886">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p>
  <w:p w14:paraId="35A63C1B" w14:textId="1C3A8A28" w:rsidR="00007D6B" w:rsidRDefault="004F166C" w:rsidP="00007D6B">
    <w:pPr>
      <w:pStyle w:val="Header"/>
      <w:jc w:val="right"/>
      <w:rPr>
        <w:rStyle w:val="PageNumber"/>
      </w:rPr>
    </w:pPr>
    <w:r>
      <w:rPr>
        <w:rStyle w:val="PageNumber"/>
      </w:rPr>
      <w:fldChar w:fldCharType="begin"/>
    </w:r>
    <w:r w:rsidR="00007D6B">
      <w:rPr>
        <w:rStyle w:val="PageNumber"/>
      </w:rPr>
      <w:instrText xml:space="preserve"> STYLEREF "Head 1" </w:instrText>
    </w:r>
    <w:r>
      <w:rPr>
        <w:rStyle w:val="PageNumber"/>
      </w:rPr>
      <w:fldChar w:fldCharType="separate"/>
    </w:r>
    <w:r w:rsidR="00045886">
      <w:rPr>
        <w:rStyle w:val="PageNumber"/>
        <w:noProof/>
      </w:rPr>
      <w:t>Audit and Risk Committee Charter</w:t>
    </w:r>
    <w:r>
      <w:rPr>
        <w:rStyle w:val="PageNumber"/>
      </w:rPr>
      <w:fldChar w:fldCharType="end"/>
    </w:r>
  </w:p>
  <w:p w14:paraId="455C9F71" w14:textId="77777777" w:rsidR="00007D6B" w:rsidRDefault="00007D6B" w:rsidP="00007D6B">
    <w:pPr>
      <w:pStyle w:val="Header"/>
      <w:spacing w:before="240" w:after="600"/>
      <w:jc w:val="center"/>
      <w:rPr>
        <w:b/>
        <w:caps/>
        <w:sz w:val="36"/>
        <w:lang w:val="en-US"/>
      </w:rPr>
    </w:pPr>
    <w:r>
      <w:rPr>
        <w:b/>
        <w:caps/>
        <w:sz w:val="36"/>
        <w:lang w:val="en-US"/>
      </w:rPr>
      <w:t>Parliamentary Counsel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A0E0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98B7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7EE7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25E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B42E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B4E8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FEDC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80B4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1C83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AA09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25F62"/>
    <w:multiLevelType w:val="multilevel"/>
    <w:tmpl w:val="0948836C"/>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4B34A2"/>
    <w:multiLevelType w:val="multilevel"/>
    <w:tmpl w:val="E1204BDE"/>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3B472F"/>
    <w:multiLevelType w:val="multilevel"/>
    <w:tmpl w:val="378A1DB2"/>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E124579"/>
    <w:multiLevelType w:val="multilevel"/>
    <w:tmpl w:val="B02E66D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A96A61"/>
    <w:multiLevelType w:val="multilevel"/>
    <w:tmpl w:val="CC6E3D1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47597E"/>
    <w:multiLevelType w:val="hybridMultilevel"/>
    <w:tmpl w:val="27264198"/>
    <w:lvl w:ilvl="0" w:tplc="D186B520">
      <w:start w:val="1"/>
      <w:numFmt w:val="decimal"/>
      <w:lvlText w:val="%1"/>
      <w:lvlJc w:val="left"/>
      <w:pPr>
        <w:ind w:left="720" w:hanging="360"/>
      </w:pPr>
      <w:rPr>
        <w:rFonts w:hint="default"/>
      </w:rPr>
    </w:lvl>
    <w:lvl w:ilvl="1" w:tplc="C082B1C4">
      <w:start w:val="8"/>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6744D64"/>
    <w:multiLevelType w:val="multilevel"/>
    <w:tmpl w:val="7294F0BC"/>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7D70F6"/>
    <w:multiLevelType w:val="multilevel"/>
    <w:tmpl w:val="A3F68C6E"/>
    <w:lvl w:ilvl="0">
      <w:start w:val="3"/>
      <w:numFmt w:val="decimal"/>
      <w:lvlText w:val="%1."/>
      <w:lvlJc w:val="left"/>
      <w:pPr>
        <w:ind w:left="360" w:hanging="360"/>
      </w:pPr>
      <w:rPr>
        <w:rFonts w:hint="default"/>
      </w:rPr>
    </w:lvl>
    <w:lvl w:ilvl="1">
      <w:start w:val="19"/>
      <w:numFmt w:val="decimal"/>
      <w:lvlText w:val="%2"/>
      <w:lvlJc w:val="left"/>
      <w:pPr>
        <w:ind w:left="720" w:hanging="360"/>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BE2A8D"/>
    <w:multiLevelType w:val="multilevel"/>
    <w:tmpl w:val="34561F8E"/>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3"/>
  </w:num>
  <w:num w:numId="14">
    <w:abstractNumId w:val="15"/>
  </w:num>
  <w:num w:numId="15">
    <w:abstractNumId w:val="16"/>
  </w:num>
  <w:num w:numId="16">
    <w:abstractNumId w:val="20"/>
  </w:num>
  <w:num w:numId="17">
    <w:abstractNumId w:val="21"/>
  </w:num>
  <w:num w:numId="18">
    <w:abstractNumId w:val="12"/>
  </w:num>
  <w:num w:numId="19">
    <w:abstractNumId w:val="10"/>
  </w:num>
  <w:num w:numId="20">
    <w:abstractNumId w:val="19"/>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EE"/>
    <w:rsid w:val="00000786"/>
    <w:rsid w:val="00007D6B"/>
    <w:rsid w:val="00010455"/>
    <w:rsid w:val="000136AF"/>
    <w:rsid w:val="000360C3"/>
    <w:rsid w:val="0004210C"/>
    <w:rsid w:val="00045886"/>
    <w:rsid w:val="00056743"/>
    <w:rsid w:val="000614BF"/>
    <w:rsid w:val="00066ACF"/>
    <w:rsid w:val="00066D20"/>
    <w:rsid w:val="00084FD0"/>
    <w:rsid w:val="00086414"/>
    <w:rsid w:val="000A1F2E"/>
    <w:rsid w:val="000A4AB1"/>
    <w:rsid w:val="000C2D07"/>
    <w:rsid w:val="000C53CC"/>
    <w:rsid w:val="000D05EF"/>
    <w:rsid w:val="000D0F68"/>
    <w:rsid w:val="000D2750"/>
    <w:rsid w:val="000F158B"/>
    <w:rsid w:val="000F7B24"/>
    <w:rsid w:val="0010745C"/>
    <w:rsid w:val="00115020"/>
    <w:rsid w:val="00120B21"/>
    <w:rsid w:val="001363B1"/>
    <w:rsid w:val="00146709"/>
    <w:rsid w:val="00153942"/>
    <w:rsid w:val="00166C2F"/>
    <w:rsid w:val="001939E1"/>
    <w:rsid w:val="00195382"/>
    <w:rsid w:val="00196D36"/>
    <w:rsid w:val="001A1DF4"/>
    <w:rsid w:val="001C69C4"/>
    <w:rsid w:val="001E3590"/>
    <w:rsid w:val="001E7407"/>
    <w:rsid w:val="001E7934"/>
    <w:rsid w:val="001F181A"/>
    <w:rsid w:val="001F5A4F"/>
    <w:rsid w:val="0021798D"/>
    <w:rsid w:val="0024655F"/>
    <w:rsid w:val="00246EDF"/>
    <w:rsid w:val="00253D1B"/>
    <w:rsid w:val="002553AA"/>
    <w:rsid w:val="00282BCE"/>
    <w:rsid w:val="00295FBA"/>
    <w:rsid w:val="002970D7"/>
    <w:rsid w:val="00297ECB"/>
    <w:rsid w:val="002B0185"/>
    <w:rsid w:val="002C7AA2"/>
    <w:rsid w:val="002D043A"/>
    <w:rsid w:val="002D0783"/>
    <w:rsid w:val="002D7689"/>
    <w:rsid w:val="002F2001"/>
    <w:rsid w:val="00321AE3"/>
    <w:rsid w:val="00332C53"/>
    <w:rsid w:val="003350AE"/>
    <w:rsid w:val="00342BE4"/>
    <w:rsid w:val="00352B0F"/>
    <w:rsid w:val="003565C5"/>
    <w:rsid w:val="00360FB0"/>
    <w:rsid w:val="00367518"/>
    <w:rsid w:val="003862E3"/>
    <w:rsid w:val="00390362"/>
    <w:rsid w:val="003A7E1C"/>
    <w:rsid w:val="003B5735"/>
    <w:rsid w:val="003C3D2B"/>
    <w:rsid w:val="003D0BFE"/>
    <w:rsid w:val="003D4B7F"/>
    <w:rsid w:val="003D5700"/>
    <w:rsid w:val="00400934"/>
    <w:rsid w:val="00400FAC"/>
    <w:rsid w:val="004116CD"/>
    <w:rsid w:val="00412F47"/>
    <w:rsid w:val="00424CA9"/>
    <w:rsid w:val="004268C4"/>
    <w:rsid w:val="004327BD"/>
    <w:rsid w:val="0044291A"/>
    <w:rsid w:val="00444626"/>
    <w:rsid w:val="00456CC4"/>
    <w:rsid w:val="0046060E"/>
    <w:rsid w:val="004653F8"/>
    <w:rsid w:val="004703BB"/>
    <w:rsid w:val="00496E47"/>
    <w:rsid w:val="00496F97"/>
    <w:rsid w:val="004A27BA"/>
    <w:rsid w:val="004C0C01"/>
    <w:rsid w:val="004D66CA"/>
    <w:rsid w:val="004F166C"/>
    <w:rsid w:val="004F7ED6"/>
    <w:rsid w:val="00516B8D"/>
    <w:rsid w:val="00526454"/>
    <w:rsid w:val="00537FBC"/>
    <w:rsid w:val="00552E23"/>
    <w:rsid w:val="00580213"/>
    <w:rsid w:val="0058244E"/>
    <w:rsid w:val="00584811"/>
    <w:rsid w:val="00586F93"/>
    <w:rsid w:val="00594161"/>
    <w:rsid w:val="00594749"/>
    <w:rsid w:val="005C0B6F"/>
    <w:rsid w:val="00600219"/>
    <w:rsid w:val="00612BDF"/>
    <w:rsid w:val="006207A3"/>
    <w:rsid w:val="00621181"/>
    <w:rsid w:val="00622DDB"/>
    <w:rsid w:val="00637AB5"/>
    <w:rsid w:val="00647ABA"/>
    <w:rsid w:val="00661E85"/>
    <w:rsid w:val="00663082"/>
    <w:rsid w:val="00664FCE"/>
    <w:rsid w:val="0066568F"/>
    <w:rsid w:val="00677CC2"/>
    <w:rsid w:val="00680F77"/>
    <w:rsid w:val="006840DE"/>
    <w:rsid w:val="0069207B"/>
    <w:rsid w:val="006959EC"/>
    <w:rsid w:val="006C7F8C"/>
    <w:rsid w:val="006F604B"/>
    <w:rsid w:val="00703FD6"/>
    <w:rsid w:val="00705613"/>
    <w:rsid w:val="00715963"/>
    <w:rsid w:val="00721511"/>
    <w:rsid w:val="00724942"/>
    <w:rsid w:val="007276BC"/>
    <w:rsid w:val="00731E00"/>
    <w:rsid w:val="00733990"/>
    <w:rsid w:val="00746A58"/>
    <w:rsid w:val="007647AB"/>
    <w:rsid w:val="007715C9"/>
    <w:rsid w:val="00774EDD"/>
    <w:rsid w:val="007757EC"/>
    <w:rsid w:val="0077732B"/>
    <w:rsid w:val="0077765A"/>
    <w:rsid w:val="007A25B1"/>
    <w:rsid w:val="007B35AE"/>
    <w:rsid w:val="007C2D36"/>
    <w:rsid w:val="007D1A8A"/>
    <w:rsid w:val="007F0ABA"/>
    <w:rsid w:val="008073A1"/>
    <w:rsid w:val="008115D5"/>
    <w:rsid w:val="008149F9"/>
    <w:rsid w:val="00826DE0"/>
    <w:rsid w:val="00856A31"/>
    <w:rsid w:val="0087284D"/>
    <w:rsid w:val="008754D0"/>
    <w:rsid w:val="0087677E"/>
    <w:rsid w:val="00896DE1"/>
    <w:rsid w:val="00896FAF"/>
    <w:rsid w:val="008B6A1A"/>
    <w:rsid w:val="008D5EA7"/>
    <w:rsid w:val="008E0A31"/>
    <w:rsid w:val="008E2265"/>
    <w:rsid w:val="008E3B8C"/>
    <w:rsid w:val="00905FEE"/>
    <w:rsid w:val="00930B35"/>
    <w:rsid w:val="00933E45"/>
    <w:rsid w:val="0094622F"/>
    <w:rsid w:val="00953EE6"/>
    <w:rsid w:val="00983026"/>
    <w:rsid w:val="00983ACC"/>
    <w:rsid w:val="00991C76"/>
    <w:rsid w:val="009A11B3"/>
    <w:rsid w:val="009A5207"/>
    <w:rsid w:val="009B54C3"/>
    <w:rsid w:val="009B7690"/>
    <w:rsid w:val="009C147B"/>
    <w:rsid w:val="009D2E00"/>
    <w:rsid w:val="009E6D05"/>
    <w:rsid w:val="00A02A7F"/>
    <w:rsid w:val="00A166F4"/>
    <w:rsid w:val="00A231E2"/>
    <w:rsid w:val="00A40DD8"/>
    <w:rsid w:val="00A605B5"/>
    <w:rsid w:val="00A64912"/>
    <w:rsid w:val="00A70A74"/>
    <w:rsid w:val="00AB33F0"/>
    <w:rsid w:val="00AC7A0A"/>
    <w:rsid w:val="00AD5641"/>
    <w:rsid w:val="00AF0B88"/>
    <w:rsid w:val="00AF6DF2"/>
    <w:rsid w:val="00AF7DF9"/>
    <w:rsid w:val="00B33B3C"/>
    <w:rsid w:val="00B55C51"/>
    <w:rsid w:val="00B73CE8"/>
    <w:rsid w:val="00B9069B"/>
    <w:rsid w:val="00BA1C84"/>
    <w:rsid w:val="00BD097F"/>
    <w:rsid w:val="00BD4BCB"/>
    <w:rsid w:val="00BE719A"/>
    <w:rsid w:val="00BE720A"/>
    <w:rsid w:val="00BF2F2A"/>
    <w:rsid w:val="00C00C5D"/>
    <w:rsid w:val="00C42BF8"/>
    <w:rsid w:val="00C50043"/>
    <w:rsid w:val="00C523F9"/>
    <w:rsid w:val="00C61CDD"/>
    <w:rsid w:val="00C7573B"/>
    <w:rsid w:val="00C865AA"/>
    <w:rsid w:val="00C95FB8"/>
    <w:rsid w:val="00CA1F65"/>
    <w:rsid w:val="00CB29B2"/>
    <w:rsid w:val="00CC6F58"/>
    <w:rsid w:val="00CD0510"/>
    <w:rsid w:val="00CE55AF"/>
    <w:rsid w:val="00CF0BB2"/>
    <w:rsid w:val="00CF22AD"/>
    <w:rsid w:val="00D02C42"/>
    <w:rsid w:val="00D02E41"/>
    <w:rsid w:val="00D111ED"/>
    <w:rsid w:val="00D13441"/>
    <w:rsid w:val="00D2463D"/>
    <w:rsid w:val="00D468BA"/>
    <w:rsid w:val="00D60EA5"/>
    <w:rsid w:val="00D6145D"/>
    <w:rsid w:val="00D70DFB"/>
    <w:rsid w:val="00D766DF"/>
    <w:rsid w:val="00D86965"/>
    <w:rsid w:val="00D90D6A"/>
    <w:rsid w:val="00D90DD5"/>
    <w:rsid w:val="00D93CD2"/>
    <w:rsid w:val="00DB5DC9"/>
    <w:rsid w:val="00DB751D"/>
    <w:rsid w:val="00DE7965"/>
    <w:rsid w:val="00DE7DCD"/>
    <w:rsid w:val="00DF425D"/>
    <w:rsid w:val="00DF6B8F"/>
    <w:rsid w:val="00E06C5F"/>
    <w:rsid w:val="00E1595E"/>
    <w:rsid w:val="00E26938"/>
    <w:rsid w:val="00E46269"/>
    <w:rsid w:val="00E61563"/>
    <w:rsid w:val="00E66A31"/>
    <w:rsid w:val="00E74DC7"/>
    <w:rsid w:val="00E80BEF"/>
    <w:rsid w:val="00E96CDD"/>
    <w:rsid w:val="00EC706D"/>
    <w:rsid w:val="00EF2E3A"/>
    <w:rsid w:val="00F00748"/>
    <w:rsid w:val="00F01AA0"/>
    <w:rsid w:val="00F04811"/>
    <w:rsid w:val="00F078DC"/>
    <w:rsid w:val="00F23E5F"/>
    <w:rsid w:val="00F34996"/>
    <w:rsid w:val="00F51269"/>
    <w:rsid w:val="00F57137"/>
    <w:rsid w:val="00F7045A"/>
    <w:rsid w:val="00FA42E8"/>
    <w:rsid w:val="00FB0D40"/>
    <w:rsid w:val="00FB41BB"/>
    <w:rsid w:val="00FC242E"/>
    <w:rsid w:val="00FD6C52"/>
    <w:rsid w:val="00FE5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C2DBED"/>
  <w15:docId w15:val="{81502417-98C7-4343-917F-92E7B8EF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2DDB"/>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2DDB"/>
  </w:style>
  <w:style w:type="paragraph" w:customStyle="1" w:styleId="OPCParaBase">
    <w:name w:val="OPCParaBase"/>
    <w:qFormat/>
    <w:rsid w:val="00622DDB"/>
    <w:pPr>
      <w:spacing w:line="260" w:lineRule="atLeast"/>
    </w:pPr>
    <w:rPr>
      <w:rFonts w:eastAsia="Times New Roman" w:cs="Times New Roman"/>
      <w:sz w:val="22"/>
      <w:lang w:eastAsia="en-AU"/>
    </w:rPr>
  </w:style>
  <w:style w:type="paragraph" w:customStyle="1" w:styleId="ShortT">
    <w:name w:val="ShortT"/>
    <w:basedOn w:val="OPCParaBase"/>
    <w:next w:val="Normal"/>
    <w:qFormat/>
    <w:rsid w:val="00622DDB"/>
    <w:pPr>
      <w:spacing w:line="240" w:lineRule="auto"/>
    </w:pPr>
    <w:rPr>
      <w:b/>
      <w:sz w:val="40"/>
    </w:rPr>
  </w:style>
  <w:style w:type="paragraph" w:customStyle="1" w:styleId="ActHead1">
    <w:name w:val="ActHead 1"/>
    <w:aliases w:val="c"/>
    <w:basedOn w:val="OPCParaBase"/>
    <w:next w:val="Normal"/>
    <w:qFormat/>
    <w:rsid w:val="00622D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2D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2D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2D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22D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2D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2D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2D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2DD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2DDB"/>
  </w:style>
  <w:style w:type="paragraph" w:customStyle="1" w:styleId="Blocks">
    <w:name w:val="Blocks"/>
    <w:aliases w:val="bb"/>
    <w:basedOn w:val="OPCParaBase"/>
    <w:qFormat/>
    <w:rsid w:val="00622DDB"/>
    <w:pPr>
      <w:spacing w:line="240" w:lineRule="auto"/>
    </w:pPr>
    <w:rPr>
      <w:sz w:val="24"/>
    </w:rPr>
  </w:style>
  <w:style w:type="paragraph" w:customStyle="1" w:styleId="BoxText">
    <w:name w:val="BoxText"/>
    <w:aliases w:val="bt"/>
    <w:basedOn w:val="OPCParaBase"/>
    <w:rsid w:val="00622D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2DDB"/>
    <w:rPr>
      <w:b/>
    </w:rPr>
  </w:style>
  <w:style w:type="paragraph" w:customStyle="1" w:styleId="BoxHeadItalic">
    <w:name w:val="BoxHeadItalic"/>
    <w:aliases w:val="bhi"/>
    <w:basedOn w:val="BoxText"/>
    <w:next w:val="Normal"/>
    <w:qFormat/>
    <w:rsid w:val="00622DDB"/>
    <w:rPr>
      <w:i/>
    </w:rPr>
  </w:style>
  <w:style w:type="paragraph" w:customStyle="1" w:styleId="BoxList">
    <w:name w:val="BoxList"/>
    <w:aliases w:val="bl"/>
    <w:basedOn w:val="BoxText"/>
    <w:qFormat/>
    <w:rsid w:val="00622DDB"/>
    <w:pPr>
      <w:ind w:left="1559" w:hanging="425"/>
    </w:pPr>
  </w:style>
  <w:style w:type="paragraph" w:customStyle="1" w:styleId="BoxNote">
    <w:name w:val="BoxNote"/>
    <w:aliases w:val="bn"/>
    <w:basedOn w:val="BoxText"/>
    <w:qFormat/>
    <w:rsid w:val="00622DDB"/>
    <w:pPr>
      <w:tabs>
        <w:tab w:val="left" w:pos="1985"/>
      </w:tabs>
      <w:spacing w:before="122" w:line="198" w:lineRule="exact"/>
      <w:ind w:left="2948" w:hanging="1814"/>
    </w:pPr>
    <w:rPr>
      <w:sz w:val="18"/>
    </w:rPr>
  </w:style>
  <w:style w:type="paragraph" w:customStyle="1" w:styleId="BoxPara">
    <w:name w:val="BoxPara"/>
    <w:aliases w:val="bp"/>
    <w:basedOn w:val="BoxText"/>
    <w:qFormat/>
    <w:rsid w:val="00622DDB"/>
    <w:pPr>
      <w:tabs>
        <w:tab w:val="right" w:pos="2268"/>
      </w:tabs>
      <w:ind w:left="2552" w:hanging="1418"/>
    </w:pPr>
  </w:style>
  <w:style w:type="paragraph" w:customStyle="1" w:styleId="BoxStep">
    <w:name w:val="BoxStep"/>
    <w:aliases w:val="bs"/>
    <w:basedOn w:val="BoxText"/>
    <w:qFormat/>
    <w:rsid w:val="00622DDB"/>
    <w:pPr>
      <w:ind w:left="1985" w:hanging="851"/>
    </w:pPr>
  </w:style>
  <w:style w:type="character" w:customStyle="1" w:styleId="CharAmPartNo">
    <w:name w:val="CharAmPartNo"/>
    <w:basedOn w:val="OPCCharBase"/>
    <w:uiPriority w:val="1"/>
    <w:qFormat/>
    <w:rsid w:val="00622DDB"/>
  </w:style>
  <w:style w:type="character" w:customStyle="1" w:styleId="CharAmPartText">
    <w:name w:val="CharAmPartText"/>
    <w:basedOn w:val="OPCCharBase"/>
    <w:uiPriority w:val="1"/>
    <w:qFormat/>
    <w:rsid w:val="00622DDB"/>
  </w:style>
  <w:style w:type="character" w:customStyle="1" w:styleId="CharAmSchNo">
    <w:name w:val="CharAmSchNo"/>
    <w:basedOn w:val="OPCCharBase"/>
    <w:uiPriority w:val="1"/>
    <w:qFormat/>
    <w:rsid w:val="00622DDB"/>
  </w:style>
  <w:style w:type="character" w:customStyle="1" w:styleId="CharAmSchText">
    <w:name w:val="CharAmSchText"/>
    <w:basedOn w:val="OPCCharBase"/>
    <w:uiPriority w:val="1"/>
    <w:qFormat/>
    <w:rsid w:val="00622DDB"/>
  </w:style>
  <w:style w:type="character" w:customStyle="1" w:styleId="CharBoldItalic">
    <w:name w:val="CharBoldItalic"/>
    <w:basedOn w:val="OPCCharBase"/>
    <w:uiPriority w:val="1"/>
    <w:qFormat/>
    <w:rsid w:val="00622DDB"/>
    <w:rPr>
      <w:b/>
      <w:i/>
    </w:rPr>
  </w:style>
  <w:style w:type="character" w:customStyle="1" w:styleId="CharChapNo">
    <w:name w:val="CharChapNo"/>
    <w:basedOn w:val="OPCCharBase"/>
    <w:uiPriority w:val="1"/>
    <w:qFormat/>
    <w:rsid w:val="00622DDB"/>
  </w:style>
  <w:style w:type="character" w:customStyle="1" w:styleId="CharChapText">
    <w:name w:val="CharChapText"/>
    <w:basedOn w:val="OPCCharBase"/>
    <w:uiPriority w:val="1"/>
    <w:qFormat/>
    <w:rsid w:val="00622DDB"/>
  </w:style>
  <w:style w:type="character" w:customStyle="1" w:styleId="CharDivNo">
    <w:name w:val="CharDivNo"/>
    <w:basedOn w:val="OPCCharBase"/>
    <w:uiPriority w:val="1"/>
    <w:qFormat/>
    <w:rsid w:val="00622DDB"/>
  </w:style>
  <w:style w:type="character" w:customStyle="1" w:styleId="CharDivText">
    <w:name w:val="CharDivText"/>
    <w:basedOn w:val="OPCCharBase"/>
    <w:uiPriority w:val="1"/>
    <w:qFormat/>
    <w:rsid w:val="00622DDB"/>
  </w:style>
  <w:style w:type="character" w:customStyle="1" w:styleId="CharItalic">
    <w:name w:val="CharItalic"/>
    <w:basedOn w:val="OPCCharBase"/>
    <w:uiPriority w:val="1"/>
    <w:qFormat/>
    <w:rsid w:val="00622DDB"/>
    <w:rPr>
      <w:i/>
    </w:rPr>
  </w:style>
  <w:style w:type="character" w:customStyle="1" w:styleId="CharPartNo">
    <w:name w:val="CharPartNo"/>
    <w:basedOn w:val="OPCCharBase"/>
    <w:uiPriority w:val="1"/>
    <w:qFormat/>
    <w:rsid w:val="00622DDB"/>
  </w:style>
  <w:style w:type="character" w:customStyle="1" w:styleId="CharPartText">
    <w:name w:val="CharPartText"/>
    <w:basedOn w:val="OPCCharBase"/>
    <w:uiPriority w:val="1"/>
    <w:qFormat/>
    <w:rsid w:val="00622DDB"/>
  </w:style>
  <w:style w:type="character" w:customStyle="1" w:styleId="CharSectno">
    <w:name w:val="CharSectno"/>
    <w:basedOn w:val="OPCCharBase"/>
    <w:uiPriority w:val="1"/>
    <w:qFormat/>
    <w:rsid w:val="00622DDB"/>
  </w:style>
  <w:style w:type="character" w:customStyle="1" w:styleId="CharSubdNo">
    <w:name w:val="CharSubdNo"/>
    <w:basedOn w:val="OPCCharBase"/>
    <w:uiPriority w:val="1"/>
    <w:qFormat/>
    <w:rsid w:val="00622DDB"/>
  </w:style>
  <w:style w:type="character" w:customStyle="1" w:styleId="CharSubdText">
    <w:name w:val="CharSubdText"/>
    <w:basedOn w:val="OPCCharBase"/>
    <w:uiPriority w:val="1"/>
    <w:qFormat/>
    <w:rsid w:val="00622DDB"/>
  </w:style>
  <w:style w:type="paragraph" w:customStyle="1" w:styleId="CTA--">
    <w:name w:val="CTA --"/>
    <w:basedOn w:val="OPCParaBase"/>
    <w:next w:val="Normal"/>
    <w:rsid w:val="00622DDB"/>
    <w:pPr>
      <w:spacing w:before="60" w:line="240" w:lineRule="atLeast"/>
      <w:ind w:left="142" w:hanging="142"/>
    </w:pPr>
    <w:rPr>
      <w:sz w:val="20"/>
    </w:rPr>
  </w:style>
  <w:style w:type="paragraph" w:customStyle="1" w:styleId="CTA-">
    <w:name w:val="CTA -"/>
    <w:basedOn w:val="OPCParaBase"/>
    <w:rsid w:val="00622DDB"/>
    <w:pPr>
      <w:spacing w:before="60" w:line="240" w:lineRule="atLeast"/>
      <w:ind w:left="85" w:hanging="85"/>
    </w:pPr>
    <w:rPr>
      <w:sz w:val="20"/>
    </w:rPr>
  </w:style>
  <w:style w:type="paragraph" w:customStyle="1" w:styleId="CTA---">
    <w:name w:val="CTA ---"/>
    <w:basedOn w:val="OPCParaBase"/>
    <w:next w:val="Normal"/>
    <w:rsid w:val="00622DDB"/>
    <w:pPr>
      <w:spacing w:before="60" w:line="240" w:lineRule="atLeast"/>
      <w:ind w:left="198" w:hanging="198"/>
    </w:pPr>
    <w:rPr>
      <w:sz w:val="20"/>
    </w:rPr>
  </w:style>
  <w:style w:type="paragraph" w:customStyle="1" w:styleId="CTA----">
    <w:name w:val="CTA ----"/>
    <w:basedOn w:val="OPCParaBase"/>
    <w:next w:val="Normal"/>
    <w:rsid w:val="00622DDB"/>
    <w:pPr>
      <w:spacing w:before="60" w:line="240" w:lineRule="atLeast"/>
      <w:ind w:left="255" w:hanging="255"/>
    </w:pPr>
    <w:rPr>
      <w:sz w:val="20"/>
    </w:rPr>
  </w:style>
  <w:style w:type="paragraph" w:customStyle="1" w:styleId="CTA1a">
    <w:name w:val="CTA 1(a)"/>
    <w:basedOn w:val="OPCParaBase"/>
    <w:rsid w:val="00622DDB"/>
    <w:pPr>
      <w:tabs>
        <w:tab w:val="right" w:pos="414"/>
      </w:tabs>
      <w:spacing w:before="40" w:line="240" w:lineRule="atLeast"/>
      <w:ind w:left="675" w:hanging="675"/>
    </w:pPr>
    <w:rPr>
      <w:sz w:val="20"/>
    </w:rPr>
  </w:style>
  <w:style w:type="paragraph" w:customStyle="1" w:styleId="CTA1ai">
    <w:name w:val="CTA 1(a)(i)"/>
    <w:basedOn w:val="OPCParaBase"/>
    <w:rsid w:val="00622DDB"/>
    <w:pPr>
      <w:tabs>
        <w:tab w:val="right" w:pos="1004"/>
      </w:tabs>
      <w:spacing w:before="40" w:line="240" w:lineRule="atLeast"/>
      <w:ind w:left="1253" w:hanging="1253"/>
    </w:pPr>
    <w:rPr>
      <w:sz w:val="20"/>
    </w:rPr>
  </w:style>
  <w:style w:type="paragraph" w:customStyle="1" w:styleId="CTA2a">
    <w:name w:val="CTA 2(a)"/>
    <w:basedOn w:val="OPCParaBase"/>
    <w:rsid w:val="00622DDB"/>
    <w:pPr>
      <w:tabs>
        <w:tab w:val="right" w:pos="482"/>
      </w:tabs>
      <w:spacing w:before="40" w:line="240" w:lineRule="atLeast"/>
      <w:ind w:left="748" w:hanging="748"/>
    </w:pPr>
    <w:rPr>
      <w:sz w:val="20"/>
    </w:rPr>
  </w:style>
  <w:style w:type="paragraph" w:customStyle="1" w:styleId="CTA2ai">
    <w:name w:val="CTA 2(a)(i)"/>
    <w:basedOn w:val="OPCParaBase"/>
    <w:rsid w:val="00622DDB"/>
    <w:pPr>
      <w:tabs>
        <w:tab w:val="right" w:pos="1089"/>
      </w:tabs>
      <w:spacing w:before="40" w:line="240" w:lineRule="atLeast"/>
      <w:ind w:left="1327" w:hanging="1327"/>
    </w:pPr>
    <w:rPr>
      <w:sz w:val="20"/>
    </w:rPr>
  </w:style>
  <w:style w:type="paragraph" w:customStyle="1" w:styleId="CTA3a">
    <w:name w:val="CTA 3(a)"/>
    <w:basedOn w:val="OPCParaBase"/>
    <w:rsid w:val="00622DDB"/>
    <w:pPr>
      <w:tabs>
        <w:tab w:val="right" w:pos="556"/>
      </w:tabs>
      <w:spacing w:before="40" w:line="240" w:lineRule="atLeast"/>
      <w:ind w:left="805" w:hanging="805"/>
    </w:pPr>
    <w:rPr>
      <w:sz w:val="20"/>
    </w:rPr>
  </w:style>
  <w:style w:type="paragraph" w:customStyle="1" w:styleId="CTA3ai">
    <w:name w:val="CTA 3(a)(i)"/>
    <w:basedOn w:val="OPCParaBase"/>
    <w:rsid w:val="00622DDB"/>
    <w:pPr>
      <w:tabs>
        <w:tab w:val="right" w:pos="1140"/>
      </w:tabs>
      <w:spacing w:before="40" w:line="240" w:lineRule="atLeast"/>
      <w:ind w:left="1361" w:hanging="1361"/>
    </w:pPr>
    <w:rPr>
      <w:sz w:val="20"/>
    </w:rPr>
  </w:style>
  <w:style w:type="paragraph" w:customStyle="1" w:styleId="CTA4a">
    <w:name w:val="CTA 4(a)"/>
    <w:basedOn w:val="OPCParaBase"/>
    <w:rsid w:val="00622DDB"/>
    <w:pPr>
      <w:tabs>
        <w:tab w:val="right" w:pos="624"/>
      </w:tabs>
      <w:spacing w:before="40" w:line="240" w:lineRule="atLeast"/>
      <w:ind w:left="873" w:hanging="873"/>
    </w:pPr>
    <w:rPr>
      <w:sz w:val="20"/>
    </w:rPr>
  </w:style>
  <w:style w:type="paragraph" w:customStyle="1" w:styleId="CTA4ai">
    <w:name w:val="CTA 4(a)(i)"/>
    <w:basedOn w:val="OPCParaBase"/>
    <w:rsid w:val="00622DDB"/>
    <w:pPr>
      <w:tabs>
        <w:tab w:val="right" w:pos="1213"/>
      </w:tabs>
      <w:spacing w:before="40" w:line="240" w:lineRule="atLeast"/>
      <w:ind w:left="1452" w:hanging="1452"/>
    </w:pPr>
    <w:rPr>
      <w:sz w:val="20"/>
    </w:rPr>
  </w:style>
  <w:style w:type="paragraph" w:customStyle="1" w:styleId="CTACAPS">
    <w:name w:val="CTA CAPS"/>
    <w:basedOn w:val="OPCParaBase"/>
    <w:rsid w:val="00622DDB"/>
    <w:pPr>
      <w:spacing w:before="60" w:line="240" w:lineRule="atLeast"/>
    </w:pPr>
    <w:rPr>
      <w:sz w:val="20"/>
    </w:rPr>
  </w:style>
  <w:style w:type="paragraph" w:customStyle="1" w:styleId="CTAright">
    <w:name w:val="CTA right"/>
    <w:basedOn w:val="OPCParaBase"/>
    <w:rsid w:val="00622DDB"/>
    <w:pPr>
      <w:spacing w:before="60" w:line="240" w:lineRule="auto"/>
      <w:jc w:val="right"/>
    </w:pPr>
    <w:rPr>
      <w:sz w:val="20"/>
    </w:rPr>
  </w:style>
  <w:style w:type="paragraph" w:customStyle="1" w:styleId="subsection">
    <w:name w:val="subsection"/>
    <w:aliases w:val="ss"/>
    <w:basedOn w:val="OPCParaBase"/>
    <w:rsid w:val="00622DDB"/>
    <w:pPr>
      <w:tabs>
        <w:tab w:val="right" w:pos="1021"/>
      </w:tabs>
      <w:spacing w:before="180" w:line="240" w:lineRule="auto"/>
      <w:ind w:left="1134" w:hanging="1134"/>
    </w:pPr>
  </w:style>
  <w:style w:type="paragraph" w:customStyle="1" w:styleId="Definition">
    <w:name w:val="Definition"/>
    <w:aliases w:val="dd"/>
    <w:basedOn w:val="OPCParaBase"/>
    <w:rsid w:val="00622DDB"/>
    <w:pPr>
      <w:spacing w:before="180" w:line="240" w:lineRule="auto"/>
      <w:ind w:left="1134"/>
    </w:pPr>
  </w:style>
  <w:style w:type="paragraph" w:customStyle="1" w:styleId="ETAsubitem">
    <w:name w:val="ETA(subitem)"/>
    <w:basedOn w:val="OPCParaBase"/>
    <w:rsid w:val="00622DDB"/>
    <w:pPr>
      <w:tabs>
        <w:tab w:val="right" w:pos="340"/>
      </w:tabs>
      <w:spacing w:before="60" w:line="240" w:lineRule="auto"/>
      <w:ind w:left="454" w:hanging="454"/>
    </w:pPr>
    <w:rPr>
      <w:sz w:val="20"/>
    </w:rPr>
  </w:style>
  <w:style w:type="paragraph" w:customStyle="1" w:styleId="ETApara">
    <w:name w:val="ETA(para)"/>
    <w:basedOn w:val="OPCParaBase"/>
    <w:rsid w:val="00622DDB"/>
    <w:pPr>
      <w:tabs>
        <w:tab w:val="right" w:pos="754"/>
      </w:tabs>
      <w:spacing w:before="60" w:line="240" w:lineRule="auto"/>
      <w:ind w:left="828" w:hanging="828"/>
    </w:pPr>
    <w:rPr>
      <w:sz w:val="20"/>
    </w:rPr>
  </w:style>
  <w:style w:type="paragraph" w:customStyle="1" w:styleId="ETAsubpara">
    <w:name w:val="ETA(subpara)"/>
    <w:basedOn w:val="OPCParaBase"/>
    <w:rsid w:val="00622DDB"/>
    <w:pPr>
      <w:tabs>
        <w:tab w:val="right" w:pos="1083"/>
      </w:tabs>
      <w:spacing w:before="60" w:line="240" w:lineRule="auto"/>
      <w:ind w:left="1191" w:hanging="1191"/>
    </w:pPr>
    <w:rPr>
      <w:sz w:val="20"/>
    </w:rPr>
  </w:style>
  <w:style w:type="paragraph" w:customStyle="1" w:styleId="ETAsub-subpara">
    <w:name w:val="ETA(sub-subpara)"/>
    <w:basedOn w:val="OPCParaBase"/>
    <w:rsid w:val="00622DDB"/>
    <w:pPr>
      <w:tabs>
        <w:tab w:val="right" w:pos="1412"/>
      </w:tabs>
      <w:spacing w:before="60" w:line="240" w:lineRule="auto"/>
      <w:ind w:left="1525" w:hanging="1525"/>
    </w:pPr>
    <w:rPr>
      <w:sz w:val="20"/>
    </w:rPr>
  </w:style>
  <w:style w:type="paragraph" w:customStyle="1" w:styleId="Formula">
    <w:name w:val="Formula"/>
    <w:basedOn w:val="OPCParaBase"/>
    <w:rsid w:val="00622DDB"/>
    <w:pPr>
      <w:spacing w:line="240" w:lineRule="auto"/>
      <w:ind w:left="1134"/>
    </w:pPr>
    <w:rPr>
      <w:sz w:val="20"/>
    </w:rPr>
  </w:style>
  <w:style w:type="paragraph" w:styleId="Header">
    <w:name w:val="header"/>
    <w:basedOn w:val="OPCParaBase"/>
    <w:link w:val="HeaderChar"/>
    <w:unhideWhenUsed/>
    <w:rsid w:val="00622DDB"/>
    <w:pPr>
      <w:tabs>
        <w:tab w:val="center" w:pos="4150"/>
        <w:tab w:val="center" w:pos="4321"/>
        <w:tab w:val="right" w:pos="8307"/>
        <w:tab w:val="right" w:pos="8641"/>
      </w:tabs>
      <w:spacing w:line="240" w:lineRule="auto"/>
    </w:pPr>
    <w:rPr>
      <w:sz w:val="24"/>
    </w:rPr>
  </w:style>
  <w:style w:type="character" w:customStyle="1" w:styleId="HeaderChar">
    <w:name w:val="Header Char"/>
    <w:basedOn w:val="DefaultParagraphFont"/>
    <w:link w:val="Header"/>
    <w:rsid w:val="00622DDB"/>
    <w:rPr>
      <w:rFonts w:eastAsia="Times New Roman" w:cs="Times New Roman"/>
      <w:sz w:val="24"/>
      <w:lang w:eastAsia="en-AU"/>
    </w:rPr>
  </w:style>
  <w:style w:type="paragraph" w:customStyle="1" w:styleId="House">
    <w:name w:val="House"/>
    <w:basedOn w:val="OPCParaBase"/>
    <w:rsid w:val="00622DDB"/>
    <w:pPr>
      <w:spacing w:line="240" w:lineRule="auto"/>
    </w:pPr>
    <w:rPr>
      <w:sz w:val="28"/>
    </w:rPr>
  </w:style>
  <w:style w:type="paragraph" w:customStyle="1" w:styleId="Item">
    <w:name w:val="Item"/>
    <w:aliases w:val="i"/>
    <w:basedOn w:val="OPCParaBase"/>
    <w:next w:val="ItemHead"/>
    <w:rsid w:val="00622DDB"/>
    <w:pPr>
      <w:keepLines/>
      <w:spacing w:before="80" w:line="240" w:lineRule="auto"/>
      <w:ind w:left="709"/>
    </w:pPr>
  </w:style>
  <w:style w:type="paragraph" w:customStyle="1" w:styleId="ItemHead">
    <w:name w:val="ItemHead"/>
    <w:aliases w:val="ih"/>
    <w:basedOn w:val="OPCParaBase"/>
    <w:next w:val="Item"/>
    <w:rsid w:val="00622DDB"/>
    <w:pPr>
      <w:keepLines/>
      <w:spacing w:before="220" w:line="240" w:lineRule="auto"/>
      <w:ind w:left="709" w:hanging="709"/>
    </w:pPr>
    <w:rPr>
      <w:rFonts w:ascii="Arial" w:hAnsi="Arial"/>
      <w:b/>
      <w:kern w:val="28"/>
      <w:sz w:val="24"/>
    </w:rPr>
  </w:style>
  <w:style w:type="paragraph" w:customStyle="1" w:styleId="LongT">
    <w:name w:val="LongT"/>
    <w:basedOn w:val="OPCParaBase"/>
    <w:rsid w:val="00622DDB"/>
    <w:pPr>
      <w:spacing w:line="240" w:lineRule="auto"/>
    </w:pPr>
    <w:rPr>
      <w:b/>
      <w:sz w:val="32"/>
    </w:rPr>
  </w:style>
  <w:style w:type="paragraph" w:customStyle="1" w:styleId="notedraft">
    <w:name w:val="note(draft)"/>
    <w:aliases w:val="nd"/>
    <w:basedOn w:val="OPCParaBase"/>
    <w:rsid w:val="00622DDB"/>
    <w:pPr>
      <w:spacing w:before="240" w:line="240" w:lineRule="auto"/>
      <w:ind w:left="284" w:hanging="284"/>
    </w:pPr>
    <w:rPr>
      <w:i/>
      <w:sz w:val="24"/>
    </w:rPr>
  </w:style>
  <w:style w:type="paragraph" w:customStyle="1" w:styleId="notemargin">
    <w:name w:val="note(margin)"/>
    <w:aliases w:val="nm"/>
    <w:basedOn w:val="OPCParaBase"/>
    <w:rsid w:val="00622DDB"/>
    <w:pPr>
      <w:tabs>
        <w:tab w:val="left" w:pos="709"/>
      </w:tabs>
      <w:spacing w:before="122" w:line="198" w:lineRule="exact"/>
      <w:ind w:left="709" w:hanging="709"/>
    </w:pPr>
    <w:rPr>
      <w:sz w:val="18"/>
    </w:rPr>
  </w:style>
  <w:style w:type="paragraph" w:customStyle="1" w:styleId="notepara">
    <w:name w:val="note(para)"/>
    <w:aliases w:val="na"/>
    <w:basedOn w:val="OPCParaBase"/>
    <w:rsid w:val="00622DDB"/>
    <w:pPr>
      <w:spacing w:before="40" w:line="198" w:lineRule="exact"/>
      <w:ind w:left="2354" w:hanging="369"/>
    </w:pPr>
    <w:rPr>
      <w:sz w:val="18"/>
    </w:rPr>
  </w:style>
  <w:style w:type="paragraph" w:customStyle="1" w:styleId="noteParlAmend">
    <w:name w:val="note(ParlAmend)"/>
    <w:aliases w:val="npp"/>
    <w:basedOn w:val="OPCParaBase"/>
    <w:next w:val="ParlAmend"/>
    <w:rsid w:val="00622DDB"/>
    <w:pPr>
      <w:spacing w:line="240" w:lineRule="auto"/>
      <w:jc w:val="right"/>
    </w:pPr>
    <w:rPr>
      <w:rFonts w:ascii="Arial" w:hAnsi="Arial"/>
      <w:b/>
      <w:i/>
    </w:rPr>
  </w:style>
  <w:style w:type="paragraph" w:customStyle="1" w:styleId="notetext">
    <w:name w:val="note(text)"/>
    <w:aliases w:val="n"/>
    <w:basedOn w:val="OPCParaBase"/>
    <w:rsid w:val="00622DDB"/>
    <w:pPr>
      <w:spacing w:before="122" w:line="198" w:lineRule="exact"/>
      <w:ind w:left="1985" w:hanging="851"/>
    </w:pPr>
    <w:rPr>
      <w:sz w:val="18"/>
    </w:rPr>
  </w:style>
  <w:style w:type="paragraph" w:customStyle="1" w:styleId="Page1">
    <w:name w:val="Page1"/>
    <w:basedOn w:val="OPCParaBase"/>
    <w:rsid w:val="00622DDB"/>
    <w:pPr>
      <w:spacing w:before="5600" w:line="240" w:lineRule="auto"/>
    </w:pPr>
    <w:rPr>
      <w:b/>
      <w:sz w:val="32"/>
    </w:rPr>
  </w:style>
  <w:style w:type="paragraph" w:customStyle="1" w:styleId="PageBreak">
    <w:name w:val="PageBreak"/>
    <w:aliases w:val="pb"/>
    <w:basedOn w:val="OPCParaBase"/>
    <w:rsid w:val="00622DDB"/>
    <w:pPr>
      <w:spacing w:line="240" w:lineRule="auto"/>
    </w:pPr>
    <w:rPr>
      <w:sz w:val="10"/>
    </w:rPr>
  </w:style>
  <w:style w:type="paragraph" w:customStyle="1" w:styleId="paragraphsub">
    <w:name w:val="paragraph(sub)"/>
    <w:aliases w:val="aa"/>
    <w:basedOn w:val="OPCParaBase"/>
    <w:rsid w:val="00622DDB"/>
    <w:pPr>
      <w:tabs>
        <w:tab w:val="right" w:pos="1985"/>
      </w:tabs>
      <w:spacing w:before="40" w:line="240" w:lineRule="auto"/>
      <w:ind w:left="2098" w:hanging="2098"/>
    </w:pPr>
  </w:style>
  <w:style w:type="paragraph" w:customStyle="1" w:styleId="paragraphsub-sub">
    <w:name w:val="paragraph(sub-sub)"/>
    <w:aliases w:val="aaa"/>
    <w:basedOn w:val="OPCParaBase"/>
    <w:rsid w:val="00622DDB"/>
    <w:pPr>
      <w:tabs>
        <w:tab w:val="right" w:pos="2722"/>
      </w:tabs>
      <w:spacing w:before="40" w:line="240" w:lineRule="auto"/>
      <w:ind w:left="2835" w:hanging="2835"/>
    </w:pPr>
  </w:style>
  <w:style w:type="paragraph" w:customStyle="1" w:styleId="paragraph">
    <w:name w:val="paragraph"/>
    <w:aliases w:val="a"/>
    <w:basedOn w:val="OPCParaBase"/>
    <w:rsid w:val="00622DDB"/>
    <w:pPr>
      <w:tabs>
        <w:tab w:val="right" w:pos="1531"/>
      </w:tabs>
      <w:spacing w:before="40" w:line="240" w:lineRule="auto"/>
      <w:ind w:left="1644" w:hanging="1644"/>
    </w:pPr>
  </w:style>
  <w:style w:type="paragraph" w:customStyle="1" w:styleId="ParlAmend">
    <w:name w:val="ParlAmend"/>
    <w:aliases w:val="pp"/>
    <w:basedOn w:val="OPCParaBase"/>
    <w:rsid w:val="00622DDB"/>
    <w:pPr>
      <w:spacing w:before="240" w:line="240" w:lineRule="atLeast"/>
      <w:ind w:hanging="567"/>
    </w:pPr>
    <w:rPr>
      <w:sz w:val="24"/>
    </w:rPr>
  </w:style>
  <w:style w:type="paragraph" w:customStyle="1" w:styleId="Penalty">
    <w:name w:val="Penalty"/>
    <w:basedOn w:val="OPCParaBase"/>
    <w:rsid w:val="00622DDB"/>
    <w:pPr>
      <w:tabs>
        <w:tab w:val="left" w:pos="2977"/>
      </w:tabs>
      <w:spacing w:before="180" w:line="240" w:lineRule="auto"/>
      <w:ind w:left="1985" w:hanging="851"/>
    </w:pPr>
  </w:style>
  <w:style w:type="paragraph" w:customStyle="1" w:styleId="Portfolio">
    <w:name w:val="Portfolio"/>
    <w:basedOn w:val="OPCParaBase"/>
    <w:rsid w:val="00622DDB"/>
    <w:pPr>
      <w:spacing w:line="240" w:lineRule="auto"/>
    </w:pPr>
    <w:rPr>
      <w:i/>
      <w:sz w:val="20"/>
    </w:rPr>
  </w:style>
  <w:style w:type="paragraph" w:customStyle="1" w:styleId="Preamble">
    <w:name w:val="Preamble"/>
    <w:basedOn w:val="OPCParaBase"/>
    <w:next w:val="Normal"/>
    <w:rsid w:val="00622D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2DDB"/>
    <w:pPr>
      <w:spacing w:line="240" w:lineRule="auto"/>
    </w:pPr>
    <w:rPr>
      <w:i/>
      <w:sz w:val="20"/>
    </w:rPr>
  </w:style>
  <w:style w:type="paragraph" w:customStyle="1" w:styleId="Session">
    <w:name w:val="Session"/>
    <w:basedOn w:val="OPCParaBase"/>
    <w:rsid w:val="00622DDB"/>
    <w:pPr>
      <w:spacing w:line="240" w:lineRule="auto"/>
    </w:pPr>
    <w:rPr>
      <w:sz w:val="28"/>
    </w:rPr>
  </w:style>
  <w:style w:type="paragraph" w:customStyle="1" w:styleId="Sponsor">
    <w:name w:val="Sponsor"/>
    <w:basedOn w:val="OPCParaBase"/>
    <w:rsid w:val="00622DDB"/>
    <w:pPr>
      <w:spacing w:line="240" w:lineRule="auto"/>
    </w:pPr>
    <w:rPr>
      <w:i/>
    </w:rPr>
  </w:style>
  <w:style w:type="paragraph" w:customStyle="1" w:styleId="Subitem">
    <w:name w:val="Subitem"/>
    <w:aliases w:val="iss"/>
    <w:basedOn w:val="OPCParaBase"/>
    <w:rsid w:val="00622DDB"/>
    <w:pPr>
      <w:spacing w:before="180" w:line="240" w:lineRule="auto"/>
      <w:ind w:left="709" w:hanging="709"/>
    </w:pPr>
  </w:style>
  <w:style w:type="paragraph" w:customStyle="1" w:styleId="SubitemHead">
    <w:name w:val="SubitemHead"/>
    <w:aliases w:val="issh"/>
    <w:basedOn w:val="OPCParaBase"/>
    <w:rsid w:val="00622D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2DDB"/>
    <w:pPr>
      <w:spacing w:before="40" w:line="240" w:lineRule="auto"/>
      <w:ind w:left="1134"/>
    </w:pPr>
  </w:style>
  <w:style w:type="paragraph" w:customStyle="1" w:styleId="SubsectionHead">
    <w:name w:val="SubsectionHead"/>
    <w:aliases w:val="ssh"/>
    <w:basedOn w:val="OPCParaBase"/>
    <w:next w:val="subsection"/>
    <w:rsid w:val="00622DDB"/>
    <w:pPr>
      <w:keepNext/>
      <w:keepLines/>
      <w:spacing w:before="240" w:line="240" w:lineRule="auto"/>
      <w:ind w:left="1134"/>
    </w:pPr>
    <w:rPr>
      <w:i/>
    </w:rPr>
  </w:style>
  <w:style w:type="paragraph" w:customStyle="1" w:styleId="Tablea">
    <w:name w:val="Table(a)"/>
    <w:aliases w:val="ta"/>
    <w:basedOn w:val="OPCParaBase"/>
    <w:rsid w:val="00622DDB"/>
    <w:pPr>
      <w:spacing w:before="60" w:line="240" w:lineRule="auto"/>
      <w:ind w:left="284" w:hanging="284"/>
    </w:pPr>
    <w:rPr>
      <w:sz w:val="20"/>
    </w:rPr>
  </w:style>
  <w:style w:type="paragraph" w:customStyle="1" w:styleId="TableAA">
    <w:name w:val="Table(AA)"/>
    <w:aliases w:val="taaa"/>
    <w:basedOn w:val="OPCParaBase"/>
    <w:rsid w:val="00622DD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2DD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2DDB"/>
    <w:pPr>
      <w:spacing w:before="60" w:line="240" w:lineRule="atLeast"/>
    </w:pPr>
    <w:rPr>
      <w:sz w:val="20"/>
    </w:rPr>
  </w:style>
  <w:style w:type="paragraph" w:customStyle="1" w:styleId="TLPBoxTextnote">
    <w:name w:val="TLPBoxText(note"/>
    <w:aliases w:val="right)"/>
    <w:basedOn w:val="OPCParaBase"/>
    <w:rsid w:val="00622D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2DDB"/>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622DDB"/>
    <w:pPr>
      <w:spacing w:before="122" w:line="198" w:lineRule="exact"/>
      <w:ind w:left="1985" w:hanging="851"/>
      <w:jc w:val="right"/>
    </w:pPr>
    <w:rPr>
      <w:sz w:val="18"/>
    </w:rPr>
  </w:style>
  <w:style w:type="paragraph" w:customStyle="1" w:styleId="TLPTableBullet">
    <w:name w:val="TLPTableBullet"/>
    <w:aliases w:val="ttb"/>
    <w:basedOn w:val="OPCParaBase"/>
    <w:rsid w:val="00622DDB"/>
    <w:pPr>
      <w:spacing w:line="240" w:lineRule="exact"/>
      <w:ind w:left="284" w:hanging="284"/>
    </w:pPr>
    <w:rPr>
      <w:sz w:val="20"/>
    </w:rPr>
  </w:style>
  <w:style w:type="paragraph" w:styleId="TOC1">
    <w:name w:val="toc 1"/>
    <w:basedOn w:val="OPCParaBase"/>
    <w:next w:val="Normal"/>
    <w:uiPriority w:val="39"/>
    <w:unhideWhenUsed/>
    <w:rsid w:val="00622DDB"/>
    <w:pPr>
      <w:spacing w:line="240" w:lineRule="auto"/>
    </w:pPr>
    <w:rPr>
      <w:sz w:val="24"/>
    </w:rPr>
  </w:style>
  <w:style w:type="paragraph" w:styleId="TOC2">
    <w:name w:val="toc 2"/>
    <w:basedOn w:val="OPCParaBase"/>
    <w:next w:val="Normal"/>
    <w:uiPriority w:val="39"/>
    <w:unhideWhenUsed/>
    <w:rsid w:val="00622DDB"/>
    <w:pPr>
      <w:spacing w:line="240" w:lineRule="auto"/>
      <w:ind w:left="238"/>
    </w:pPr>
    <w:rPr>
      <w:b/>
      <w:sz w:val="24"/>
    </w:rPr>
  </w:style>
  <w:style w:type="paragraph" w:styleId="TOC3">
    <w:name w:val="toc 3"/>
    <w:basedOn w:val="OPCParaBase"/>
    <w:next w:val="Normal"/>
    <w:uiPriority w:val="39"/>
    <w:unhideWhenUsed/>
    <w:rsid w:val="00622DDB"/>
    <w:pPr>
      <w:spacing w:line="240" w:lineRule="auto"/>
      <w:ind w:left="482"/>
    </w:pPr>
    <w:rPr>
      <w:sz w:val="24"/>
    </w:rPr>
  </w:style>
  <w:style w:type="paragraph" w:styleId="TOC4">
    <w:name w:val="toc 4"/>
    <w:basedOn w:val="OPCParaBase"/>
    <w:next w:val="Normal"/>
    <w:uiPriority w:val="39"/>
    <w:unhideWhenUsed/>
    <w:rsid w:val="00622DDB"/>
    <w:pPr>
      <w:spacing w:line="240" w:lineRule="auto"/>
      <w:ind w:left="720"/>
    </w:pPr>
    <w:rPr>
      <w:sz w:val="24"/>
    </w:rPr>
  </w:style>
  <w:style w:type="paragraph" w:styleId="TOC5">
    <w:name w:val="toc 5"/>
    <w:basedOn w:val="OPCParaBase"/>
    <w:next w:val="Normal"/>
    <w:uiPriority w:val="39"/>
    <w:semiHidden/>
    <w:unhideWhenUsed/>
    <w:rsid w:val="00622DDB"/>
    <w:pPr>
      <w:spacing w:line="240" w:lineRule="auto"/>
      <w:ind w:left="958"/>
    </w:pPr>
    <w:rPr>
      <w:sz w:val="24"/>
    </w:rPr>
  </w:style>
  <w:style w:type="paragraph" w:styleId="TOC6">
    <w:name w:val="toc 6"/>
    <w:basedOn w:val="OPCParaBase"/>
    <w:next w:val="Normal"/>
    <w:uiPriority w:val="39"/>
    <w:semiHidden/>
    <w:unhideWhenUsed/>
    <w:rsid w:val="00622DDB"/>
    <w:pPr>
      <w:spacing w:line="240" w:lineRule="auto"/>
      <w:ind w:left="1202"/>
    </w:pPr>
    <w:rPr>
      <w:sz w:val="24"/>
    </w:rPr>
  </w:style>
  <w:style w:type="paragraph" w:styleId="TOC7">
    <w:name w:val="toc 7"/>
    <w:basedOn w:val="OPCParaBase"/>
    <w:next w:val="Normal"/>
    <w:uiPriority w:val="39"/>
    <w:semiHidden/>
    <w:unhideWhenUsed/>
    <w:rsid w:val="00622DDB"/>
    <w:pPr>
      <w:spacing w:line="240" w:lineRule="auto"/>
      <w:ind w:left="1440"/>
    </w:pPr>
    <w:rPr>
      <w:sz w:val="24"/>
    </w:rPr>
  </w:style>
  <w:style w:type="paragraph" w:styleId="TOC8">
    <w:name w:val="toc 8"/>
    <w:basedOn w:val="OPCParaBase"/>
    <w:next w:val="Normal"/>
    <w:uiPriority w:val="39"/>
    <w:semiHidden/>
    <w:unhideWhenUsed/>
    <w:rsid w:val="00622DDB"/>
    <w:pPr>
      <w:spacing w:line="240" w:lineRule="auto"/>
      <w:ind w:left="1678"/>
    </w:pPr>
    <w:rPr>
      <w:sz w:val="24"/>
    </w:rPr>
  </w:style>
  <w:style w:type="paragraph" w:styleId="TOC9">
    <w:name w:val="toc 9"/>
    <w:basedOn w:val="OPCParaBase"/>
    <w:next w:val="Normal"/>
    <w:uiPriority w:val="39"/>
    <w:unhideWhenUsed/>
    <w:rsid w:val="00622DDB"/>
    <w:pPr>
      <w:spacing w:line="240" w:lineRule="auto"/>
      <w:ind w:left="1922"/>
    </w:pPr>
    <w:rPr>
      <w:sz w:val="24"/>
    </w:rPr>
  </w:style>
  <w:style w:type="paragraph" w:customStyle="1" w:styleId="TofSectsGroupHeading">
    <w:name w:val="TofSects(GroupHeading)"/>
    <w:basedOn w:val="OPCParaBase"/>
    <w:next w:val="TofSectsSection"/>
    <w:rsid w:val="00622DDB"/>
    <w:pPr>
      <w:keepLines/>
      <w:spacing w:before="240" w:after="120" w:line="240" w:lineRule="auto"/>
      <w:ind w:left="794"/>
    </w:pPr>
    <w:rPr>
      <w:b/>
      <w:kern w:val="28"/>
      <w:sz w:val="20"/>
    </w:rPr>
  </w:style>
  <w:style w:type="paragraph" w:customStyle="1" w:styleId="TofSectsHeading">
    <w:name w:val="TofSects(Heading)"/>
    <w:basedOn w:val="OPCParaBase"/>
    <w:rsid w:val="00622DDB"/>
    <w:pPr>
      <w:spacing w:before="240" w:after="120" w:line="240" w:lineRule="auto"/>
    </w:pPr>
    <w:rPr>
      <w:b/>
      <w:sz w:val="24"/>
    </w:rPr>
  </w:style>
  <w:style w:type="paragraph" w:customStyle="1" w:styleId="TofSectsSection">
    <w:name w:val="TofSects(Section)"/>
    <w:basedOn w:val="OPCParaBase"/>
    <w:rsid w:val="00622DDB"/>
    <w:pPr>
      <w:keepLines/>
      <w:spacing w:before="40" w:line="240" w:lineRule="auto"/>
      <w:ind w:left="1588" w:hanging="794"/>
    </w:pPr>
    <w:rPr>
      <w:kern w:val="28"/>
      <w:sz w:val="18"/>
    </w:rPr>
  </w:style>
  <w:style w:type="paragraph" w:customStyle="1" w:styleId="TofSectsSubdiv">
    <w:name w:val="TofSects(Subdiv)"/>
    <w:basedOn w:val="OPCParaBase"/>
    <w:rsid w:val="00622DDB"/>
    <w:pPr>
      <w:keepLines/>
      <w:spacing w:before="80" w:line="240" w:lineRule="auto"/>
      <w:ind w:left="1588" w:hanging="794"/>
    </w:pPr>
    <w:rPr>
      <w:kern w:val="28"/>
    </w:rPr>
  </w:style>
  <w:style w:type="paragraph" w:customStyle="1" w:styleId="WRStyle">
    <w:name w:val="WR Style"/>
    <w:aliases w:val="WR"/>
    <w:basedOn w:val="OPCParaBase"/>
    <w:rsid w:val="00622DDB"/>
    <w:pPr>
      <w:spacing w:before="240" w:line="240" w:lineRule="auto"/>
      <w:ind w:left="284" w:hanging="284"/>
    </w:pPr>
    <w:rPr>
      <w:b/>
      <w:i/>
      <w:kern w:val="28"/>
      <w:sz w:val="24"/>
    </w:rPr>
  </w:style>
  <w:style w:type="paragraph" w:customStyle="1" w:styleId="Body">
    <w:name w:val="Body"/>
    <w:aliases w:val="b"/>
    <w:basedOn w:val="OPCParaBase"/>
    <w:rsid w:val="00622DDB"/>
    <w:pPr>
      <w:spacing w:before="240" w:line="240" w:lineRule="auto"/>
    </w:pPr>
    <w:rPr>
      <w:sz w:val="24"/>
    </w:rPr>
  </w:style>
  <w:style w:type="paragraph" w:customStyle="1" w:styleId="BodyNum">
    <w:name w:val="BodyNum"/>
    <w:aliases w:val="b1"/>
    <w:basedOn w:val="OPCParaBase"/>
    <w:rsid w:val="00622DDB"/>
    <w:pPr>
      <w:numPr>
        <w:numId w:val="13"/>
      </w:numPr>
      <w:spacing w:before="240" w:line="240" w:lineRule="auto"/>
    </w:pPr>
    <w:rPr>
      <w:sz w:val="24"/>
    </w:rPr>
  </w:style>
  <w:style w:type="paragraph" w:customStyle="1" w:styleId="BodyPara">
    <w:name w:val="BodyPara"/>
    <w:aliases w:val="ba"/>
    <w:basedOn w:val="OPCParaBase"/>
    <w:rsid w:val="00622DDB"/>
    <w:pPr>
      <w:numPr>
        <w:ilvl w:val="1"/>
        <w:numId w:val="13"/>
      </w:numPr>
      <w:spacing w:before="240" w:line="240" w:lineRule="auto"/>
    </w:pPr>
    <w:rPr>
      <w:sz w:val="24"/>
    </w:rPr>
  </w:style>
  <w:style w:type="paragraph" w:customStyle="1" w:styleId="BodyParaBullet">
    <w:name w:val="BodyParaBullet"/>
    <w:aliases w:val="bpb"/>
    <w:basedOn w:val="OPCParaBase"/>
    <w:rsid w:val="00622DDB"/>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22DDB"/>
    <w:pPr>
      <w:numPr>
        <w:ilvl w:val="3"/>
        <w:numId w:val="13"/>
      </w:numPr>
      <w:spacing w:before="240" w:line="240" w:lineRule="auto"/>
    </w:pPr>
    <w:rPr>
      <w:sz w:val="24"/>
    </w:rPr>
  </w:style>
  <w:style w:type="numbering" w:customStyle="1" w:styleId="OPCBodyList">
    <w:name w:val="OPCBodyList"/>
    <w:uiPriority w:val="99"/>
    <w:rsid w:val="00622DDB"/>
    <w:pPr>
      <w:numPr>
        <w:numId w:val="13"/>
      </w:numPr>
    </w:pPr>
  </w:style>
  <w:style w:type="paragraph" w:customStyle="1" w:styleId="Head1">
    <w:name w:val="Head 1"/>
    <w:aliases w:val="1"/>
    <w:basedOn w:val="OPCParaBase"/>
    <w:next w:val="BodyNum"/>
    <w:rsid w:val="00622DD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22DD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22DD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622DD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622DD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622DDB"/>
    <w:pPr>
      <w:spacing w:before="122" w:line="198" w:lineRule="exact"/>
      <w:ind w:left="2353" w:hanging="709"/>
    </w:pPr>
    <w:rPr>
      <w:sz w:val="18"/>
    </w:rPr>
  </w:style>
  <w:style w:type="paragraph" w:styleId="Footer">
    <w:name w:val="footer"/>
    <w:link w:val="FooterChar"/>
    <w:rsid w:val="00622DD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2DDB"/>
    <w:rPr>
      <w:rFonts w:eastAsia="Times New Roman" w:cs="Times New Roman"/>
      <w:sz w:val="22"/>
      <w:szCs w:val="24"/>
      <w:lang w:eastAsia="en-AU"/>
    </w:rPr>
  </w:style>
  <w:style w:type="character" w:styleId="PageNumber">
    <w:name w:val="page number"/>
    <w:basedOn w:val="DefaultParagraphFont"/>
    <w:rsid w:val="00622DDB"/>
  </w:style>
  <w:style w:type="paragraph" w:styleId="BalloonText">
    <w:name w:val="Balloon Text"/>
    <w:basedOn w:val="Normal"/>
    <w:link w:val="BalloonTextChar"/>
    <w:uiPriority w:val="99"/>
    <w:semiHidden/>
    <w:unhideWhenUsed/>
    <w:rsid w:val="00622D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DDB"/>
    <w:rPr>
      <w:rFonts w:ascii="Tahoma" w:hAnsi="Tahoma" w:cs="Tahoma"/>
      <w:sz w:val="16"/>
      <w:szCs w:val="16"/>
    </w:rPr>
  </w:style>
  <w:style w:type="paragraph" w:customStyle="1" w:styleId="Issued">
    <w:name w:val="Issued"/>
    <w:basedOn w:val="Body"/>
    <w:rsid w:val="00F00748"/>
    <w:rPr>
      <w:b/>
      <w:sz w:val="28"/>
    </w:rPr>
  </w:style>
  <w:style w:type="paragraph" w:customStyle="1" w:styleId="Release">
    <w:name w:val="Release"/>
    <w:basedOn w:val="Body"/>
    <w:rsid w:val="00F00748"/>
    <w:rPr>
      <w:b/>
    </w:rPr>
  </w:style>
  <w:style w:type="character" w:styleId="CommentReference">
    <w:name w:val="annotation reference"/>
    <w:basedOn w:val="DefaultParagraphFont"/>
    <w:uiPriority w:val="99"/>
    <w:semiHidden/>
    <w:unhideWhenUsed/>
    <w:rsid w:val="009C147B"/>
    <w:rPr>
      <w:sz w:val="16"/>
      <w:szCs w:val="16"/>
    </w:rPr>
  </w:style>
  <w:style w:type="paragraph" w:styleId="CommentText">
    <w:name w:val="annotation text"/>
    <w:basedOn w:val="Normal"/>
    <w:link w:val="CommentTextChar"/>
    <w:uiPriority w:val="99"/>
    <w:semiHidden/>
    <w:unhideWhenUsed/>
    <w:rsid w:val="009C147B"/>
    <w:pPr>
      <w:spacing w:line="240" w:lineRule="auto"/>
    </w:pPr>
    <w:rPr>
      <w:sz w:val="20"/>
    </w:rPr>
  </w:style>
  <w:style w:type="character" w:customStyle="1" w:styleId="CommentTextChar">
    <w:name w:val="Comment Text Char"/>
    <w:basedOn w:val="DefaultParagraphFont"/>
    <w:link w:val="CommentText"/>
    <w:uiPriority w:val="99"/>
    <w:semiHidden/>
    <w:rsid w:val="009C147B"/>
  </w:style>
  <w:style w:type="paragraph" w:styleId="CommentSubject">
    <w:name w:val="annotation subject"/>
    <w:basedOn w:val="CommentText"/>
    <w:next w:val="CommentText"/>
    <w:link w:val="CommentSubjectChar"/>
    <w:uiPriority w:val="99"/>
    <w:semiHidden/>
    <w:unhideWhenUsed/>
    <w:rsid w:val="009C147B"/>
    <w:rPr>
      <w:b/>
      <w:bCs/>
    </w:rPr>
  </w:style>
  <w:style w:type="character" w:customStyle="1" w:styleId="CommentSubjectChar">
    <w:name w:val="Comment Subject Char"/>
    <w:basedOn w:val="CommentTextChar"/>
    <w:link w:val="CommentSubject"/>
    <w:uiPriority w:val="99"/>
    <w:semiHidden/>
    <w:rsid w:val="009C147B"/>
    <w:rPr>
      <w:b/>
      <w:bCs/>
    </w:rPr>
  </w:style>
  <w:style w:type="paragraph" w:styleId="Revision">
    <w:name w:val="Revision"/>
    <w:hidden/>
    <w:uiPriority w:val="99"/>
    <w:semiHidden/>
    <w:rsid w:val="00E46269"/>
    <w:rPr>
      <w:sz w:val="22"/>
    </w:rPr>
  </w:style>
  <w:style w:type="character" w:styleId="Hyperlink">
    <w:name w:val="Hyperlink"/>
    <w:basedOn w:val="DefaultParagraphFont"/>
    <w:uiPriority w:val="99"/>
    <w:rsid w:val="00896DE1"/>
    <w:rPr>
      <w:rFonts w:ascii="Arial" w:hAnsi="Arial" w:cs="Times New Roman"/>
      <w:color w:val="0000FF"/>
      <w:u w:val="single"/>
    </w:rPr>
  </w:style>
  <w:style w:type="paragraph" w:styleId="ListParagraph">
    <w:name w:val="List Paragraph"/>
    <w:basedOn w:val="Normal"/>
    <w:uiPriority w:val="34"/>
    <w:rsid w:val="00896DE1"/>
    <w:pPr>
      <w:spacing w:after="120" w:line="360" w:lineRule="auto"/>
      <w:ind w:left="720"/>
      <w:contextualSpacing/>
    </w:pPr>
    <w:rPr>
      <w:rFonts w:asciiTheme="minorHAnsi" w:eastAsia="Times New Roman" w:hAnsiTheme="minorHAnsi" w:cs="Arial"/>
      <w:szCs w:val="24"/>
    </w:rPr>
  </w:style>
  <w:style w:type="table" w:styleId="TableGrid">
    <w:name w:val="Table Grid"/>
    <w:basedOn w:val="TableNormal"/>
    <w:rsid w:val="00896DE1"/>
    <w:pPr>
      <w:spacing w:before="120"/>
    </w:pPr>
    <w:rPr>
      <w:rFonts w:eastAsia="Times New Roman" w:cs="Times New Roman"/>
      <w:lang w:eastAsia="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ce.gov.au/government/managing-commonwealth-resources/planning-and-reporting/commonwealth-performance-framewo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tectivesecurity.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gov.au/government/comcover/commonwealth-risk-management-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g.gov.au/integrity/publications/commonwealth-fraud-control-framewo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nance.gov.au/government/comcover/commonwealth-risk-management-policy"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OfficeProcedural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4D6A3-41A2-4453-9BA2-2C475418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OfficeProceduralCircular.dotx</Template>
  <TotalTime>5</TotalTime>
  <Pages>8</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Policy No. 2.7 Audit and Risk Committee Charter</vt:lpstr>
    </vt:vector>
  </TitlesOfParts>
  <Company>Office of Parliamentary Counsel</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No. 2.7 Audit and Risk Committee Charter</dc:title>
  <dc:subject/>
  <dc:creator>Glenyce Francis</dc:creator>
  <cp:keywords/>
  <dc:description/>
  <cp:lastModifiedBy>Daluwatta, Yathasha</cp:lastModifiedBy>
  <cp:revision>5</cp:revision>
  <cp:lastPrinted>2021-05-21T05:27:00Z</cp:lastPrinted>
  <dcterms:created xsi:type="dcterms:W3CDTF">2023-09-21T04:45:00Z</dcterms:created>
  <dcterms:modified xsi:type="dcterms:W3CDTF">2023-09-22T00:11:00Z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hangedTitle">
    <vt:lpwstr>Audit and Risk Committee Charter</vt:lpwstr>
  </property>
  <property fmtid="{D5CDD505-2E9C-101B-9397-08002B2CF9AE}" pid="5" name="DoNotAsk">
    <vt:lpwstr>1</vt:lpwstr>
  </property>
</Properties>
</file>