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1846C" w14:textId="77777777" w:rsidR="00D9727F" w:rsidRPr="00C634EB" w:rsidRDefault="008C1C4A" w:rsidP="001D0DE3">
      <w:pPr>
        <w:tabs>
          <w:tab w:val="num" w:pos="720"/>
        </w:tabs>
        <w:spacing w:after="240"/>
        <w:ind w:left="714" w:hanging="357"/>
        <w:rPr>
          <w:b/>
        </w:rPr>
      </w:pPr>
      <w:bookmarkStart w:id="0" w:name="_GoBack"/>
      <w:bookmarkEnd w:id="0"/>
      <w:r>
        <w:rPr>
          <w:rFonts w:eastAsia="Times New Roman"/>
          <w:b/>
        </w:rPr>
        <w:t xml:space="preserve">Drafting reporting or external assurance requirements - </w:t>
      </w:r>
      <w:r>
        <w:rPr>
          <w:b/>
        </w:rPr>
        <w:t>information</w:t>
      </w:r>
      <w:r w:rsidR="00D9727F">
        <w:rPr>
          <w:b/>
        </w:rPr>
        <w:t xml:space="preserve"> from the </w:t>
      </w:r>
      <w:r>
        <w:rPr>
          <w:b/>
        </w:rPr>
        <w:t>AASB and AUASB</w:t>
      </w:r>
    </w:p>
    <w:p w14:paraId="2C21D092" w14:textId="77777777" w:rsidR="001D0DE3" w:rsidRPr="00235A6B" w:rsidRDefault="001D0DE3" w:rsidP="001D0DE3">
      <w:pPr>
        <w:pStyle w:val="xmsolistparagraph"/>
        <w:numPr>
          <w:ilvl w:val="0"/>
          <w:numId w:val="1"/>
        </w:numPr>
        <w:spacing w:after="240"/>
        <w:ind w:left="714" w:hanging="357"/>
      </w:pPr>
      <w:r w:rsidRPr="00235A6B">
        <w:rPr>
          <w:rFonts w:eastAsia="Times New Roman"/>
        </w:rPr>
        <w:t>This information sheet is aimed at those who draft primary or subordinate legislation, such as legislative drafters, government departments and regulators.</w:t>
      </w:r>
    </w:p>
    <w:p w14:paraId="284B3764" w14:textId="77777777" w:rsidR="001D0DE3" w:rsidRPr="00235A6B" w:rsidRDefault="001D0DE3" w:rsidP="001D0DE3">
      <w:pPr>
        <w:pStyle w:val="xmsolistparagraph"/>
        <w:numPr>
          <w:ilvl w:val="0"/>
          <w:numId w:val="1"/>
        </w:numPr>
        <w:spacing w:after="240"/>
        <w:ind w:left="714" w:hanging="357"/>
      </w:pPr>
      <w:r w:rsidRPr="00235A6B">
        <w:rPr>
          <w:rFonts w:eastAsia="Times New Roman"/>
        </w:rPr>
        <w:t xml:space="preserve">Legislation often requires reporting </w:t>
      </w:r>
      <w:r w:rsidR="00D9727F">
        <w:rPr>
          <w:rFonts w:eastAsia="Times New Roman"/>
        </w:rPr>
        <w:t xml:space="preserve">on, </w:t>
      </w:r>
      <w:r w:rsidRPr="00235A6B">
        <w:rPr>
          <w:rFonts w:eastAsia="Times New Roman"/>
        </w:rPr>
        <w:t>and external assurance over</w:t>
      </w:r>
      <w:r w:rsidR="00D9727F">
        <w:rPr>
          <w:rFonts w:eastAsia="Times New Roman"/>
        </w:rPr>
        <w:t>,</w:t>
      </w:r>
      <w:r w:rsidRPr="00235A6B">
        <w:rPr>
          <w:rFonts w:eastAsia="Times New Roman"/>
        </w:rPr>
        <w:t xml:space="preserve"> financial and non-financial information.</w:t>
      </w:r>
      <w:r w:rsidRPr="00235A6B">
        <w:t> </w:t>
      </w:r>
    </w:p>
    <w:p w14:paraId="6898B10F" w14:textId="1A22B84B" w:rsidR="001D0DE3" w:rsidRPr="00C634EB" w:rsidRDefault="001D0DE3" w:rsidP="001D0DE3">
      <w:pPr>
        <w:pStyle w:val="xmsolistparagraph"/>
        <w:numPr>
          <w:ilvl w:val="0"/>
          <w:numId w:val="1"/>
        </w:numPr>
        <w:spacing w:after="240"/>
        <w:ind w:left="714" w:hanging="357"/>
      </w:pPr>
      <w:r w:rsidRPr="00235A6B">
        <w:rPr>
          <w:rFonts w:eastAsia="Times New Roman"/>
        </w:rPr>
        <w:t xml:space="preserve">An example of reporting on financial information </w:t>
      </w:r>
      <w:r>
        <w:rPr>
          <w:rFonts w:eastAsia="Times New Roman"/>
        </w:rPr>
        <w:t xml:space="preserve">is a </w:t>
      </w:r>
      <w:r w:rsidRPr="00235A6B">
        <w:rPr>
          <w:rFonts w:eastAsia="Times New Roman"/>
        </w:rPr>
        <w:t xml:space="preserve">financial </w:t>
      </w:r>
      <w:r>
        <w:rPr>
          <w:rFonts w:eastAsia="Times New Roman"/>
        </w:rPr>
        <w:t>report. A</w:t>
      </w:r>
      <w:r w:rsidRPr="00235A6B">
        <w:rPr>
          <w:rFonts w:eastAsia="Times New Roman"/>
        </w:rPr>
        <w:t xml:space="preserve">n example of assurance over financial information is the audit of a financial report. </w:t>
      </w:r>
    </w:p>
    <w:p w14:paraId="44CD77B6" w14:textId="6CE6BAC3" w:rsidR="001D0DE3" w:rsidRPr="00235A6B" w:rsidRDefault="001D0DE3" w:rsidP="001D0DE3">
      <w:pPr>
        <w:pStyle w:val="xmsolistparagraph"/>
        <w:numPr>
          <w:ilvl w:val="0"/>
          <w:numId w:val="1"/>
        </w:numPr>
        <w:spacing w:after="240"/>
        <w:ind w:left="714" w:hanging="357"/>
      </w:pPr>
      <w:r w:rsidRPr="00235A6B">
        <w:rPr>
          <w:rFonts w:eastAsia="Times New Roman"/>
        </w:rPr>
        <w:t>An example of reporting on non-financial information is a greenhouse gas statement</w:t>
      </w:r>
      <w:r>
        <w:rPr>
          <w:rFonts w:eastAsia="Times New Roman"/>
        </w:rPr>
        <w:t>. A</w:t>
      </w:r>
      <w:r w:rsidRPr="00235A6B">
        <w:rPr>
          <w:rFonts w:eastAsia="Times New Roman"/>
        </w:rPr>
        <w:t xml:space="preserve">n example </w:t>
      </w:r>
      <w:r>
        <w:rPr>
          <w:rFonts w:eastAsia="Times New Roman"/>
        </w:rPr>
        <w:t xml:space="preserve">of </w:t>
      </w:r>
      <w:r w:rsidRPr="00235A6B">
        <w:rPr>
          <w:rFonts w:eastAsia="Times New Roman"/>
        </w:rPr>
        <w:t>assurance over non-financial information is the assurance over</w:t>
      </w:r>
      <w:r>
        <w:rPr>
          <w:rFonts w:eastAsia="Times New Roman"/>
        </w:rPr>
        <w:t xml:space="preserve"> a</w:t>
      </w:r>
      <w:r w:rsidRPr="00235A6B">
        <w:rPr>
          <w:rFonts w:eastAsia="Times New Roman"/>
        </w:rPr>
        <w:t xml:space="preserve"> greenhouse gas statement</w:t>
      </w:r>
      <w:r>
        <w:t>.</w:t>
      </w:r>
    </w:p>
    <w:p w14:paraId="19764874" w14:textId="71C36F07" w:rsidR="001D0DE3" w:rsidRPr="00235A6B" w:rsidRDefault="001D0DE3" w:rsidP="001D0DE3">
      <w:pPr>
        <w:pStyle w:val="xmsolistparagraph"/>
        <w:numPr>
          <w:ilvl w:val="0"/>
          <w:numId w:val="1"/>
        </w:numPr>
        <w:spacing w:after="240"/>
        <w:ind w:left="714" w:hanging="357"/>
      </w:pPr>
      <w:r w:rsidRPr="00235A6B">
        <w:rPr>
          <w:rFonts w:eastAsia="Times New Roman"/>
        </w:rPr>
        <w:t>The Australian Accounting Standards Board (</w:t>
      </w:r>
      <w:r>
        <w:rPr>
          <w:rFonts w:eastAsia="Times New Roman"/>
        </w:rPr>
        <w:t xml:space="preserve">the </w:t>
      </w:r>
      <w:r w:rsidRPr="00787E2A">
        <w:rPr>
          <w:rFonts w:eastAsia="Times New Roman"/>
          <w:b/>
          <w:bCs/>
        </w:rPr>
        <w:t>AASB</w:t>
      </w:r>
      <w:r w:rsidRPr="00235A6B">
        <w:rPr>
          <w:rFonts w:eastAsia="Times New Roman"/>
        </w:rPr>
        <w:t xml:space="preserve">) develop and issue Accounting Standards under the </w:t>
      </w:r>
      <w:r w:rsidRPr="00235A6B">
        <w:rPr>
          <w:rFonts w:eastAsia="Times New Roman"/>
          <w:i/>
          <w:iCs/>
        </w:rPr>
        <w:t>Australian Securities and Investments Commission Act 2001</w:t>
      </w:r>
      <w:r w:rsidRPr="00235A6B">
        <w:rPr>
          <w:rFonts w:eastAsia="Times New Roman"/>
        </w:rPr>
        <w:t xml:space="preserve"> and the</w:t>
      </w:r>
      <w:r w:rsidRPr="00235A6B">
        <w:rPr>
          <w:rFonts w:eastAsia="Times New Roman"/>
          <w:i/>
          <w:iCs/>
        </w:rPr>
        <w:t xml:space="preserve"> Corporations Act 2001</w:t>
      </w:r>
      <w:r w:rsidRPr="00235A6B">
        <w:rPr>
          <w:rFonts w:eastAsia="Times New Roman"/>
        </w:rPr>
        <w:t xml:space="preserve"> (the </w:t>
      </w:r>
      <w:r w:rsidRPr="00235A6B">
        <w:rPr>
          <w:rFonts w:eastAsia="Times New Roman"/>
          <w:b/>
          <w:bCs/>
        </w:rPr>
        <w:t>AASB Standards</w:t>
      </w:r>
      <w:r w:rsidRPr="00235A6B">
        <w:rPr>
          <w:rFonts w:eastAsia="Times New Roman"/>
        </w:rPr>
        <w:t>).</w:t>
      </w:r>
      <w:r>
        <w:rPr>
          <w:rFonts w:eastAsia="Times New Roman"/>
        </w:rPr>
        <w:t xml:space="preserve"> </w:t>
      </w:r>
      <w:r w:rsidRPr="00235A6B">
        <w:rPr>
          <w:rFonts w:eastAsia="Times New Roman"/>
        </w:rPr>
        <w:t xml:space="preserve">The Auditing and Assurance Standards Board (the </w:t>
      </w:r>
      <w:r w:rsidRPr="00235A6B">
        <w:rPr>
          <w:rFonts w:eastAsia="Times New Roman"/>
          <w:b/>
          <w:bCs/>
        </w:rPr>
        <w:t>AUASB</w:t>
      </w:r>
      <w:r w:rsidRPr="00235A6B">
        <w:rPr>
          <w:rFonts w:eastAsia="Times New Roman"/>
        </w:rPr>
        <w:t xml:space="preserve">) develop and issue auditing and assurance standards under </w:t>
      </w:r>
      <w:r>
        <w:rPr>
          <w:rFonts w:eastAsia="Times New Roman"/>
          <w:iCs/>
        </w:rPr>
        <w:t>those acts</w:t>
      </w:r>
      <w:r w:rsidRPr="00235A6B">
        <w:rPr>
          <w:rFonts w:eastAsia="Times New Roman"/>
        </w:rPr>
        <w:t xml:space="preserve"> (the </w:t>
      </w:r>
      <w:r w:rsidRPr="00235A6B">
        <w:rPr>
          <w:rFonts w:eastAsia="Times New Roman"/>
          <w:b/>
          <w:bCs/>
        </w:rPr>
        <w:t>AUASB Standards</w:t>
      </w:r>
      <w:r w:rsidRPr="00235A6B">
        <w:rPr>
          <w:rFonts w:eastAsia="Times New Roman"/>
        </w:rPr>
        <w:t>).  </w:t>
      </w:r>
      <w:r w:rsidRPr="00235A6B">
        <w:t> </w:t>
      </w:r>
    </w:p>
    <w:p w14:paraId="69C63A9E" w14:textId="7187418C" w:rsidR="001D0DE3" w:rsidRPr="00235A6B" w:rsidRDefault="001D0DE3" w:rsidP="001D0DE3">
      <w:pPr>
        <w:pStyle w:val="xmsolistparagraph"/>
        <w:numPr>
          <w:ilvl w:val="0"/>
          <w:numId w:val="1"/>
        </w:numPr>
        <w:spacing w:after="240"/>
        <w:ind w:left="714" w:hanging="357"/>
      </w:pPr>
      <w:r w:rsidRPr="00235A6B">
        <w:rPr>
          <w:rFonts w:eastAsia="Times New Roman"/>
        </w:rPr>
        <w:t xml:space="preserve">If legislation requires reporting or external assurance over information, and that </w:t>
      </w:r>
      <w:r>
        <w:rPr>
          <w:rFonts w:eastAsia="Times New Roman"/>
        </w:rPr>
        <w:t xml:space="preserve">reporting or </w:t>
      </w:r>
      <w:r w:rsidRPr="00235A6B">
        <w:rPr>
          <w:rFonts w:eastAsia="Times New Roman"/>
        </w:rPr>
        <w:t xml:space="preserve">assurance must be provided in accordance with the AASB </w:t>
      </w:r>
      <w:r>
        <w:rPr>
          <w:rFonts w:eastAsia="Times New Roman"/>
        </w:rPr>
        <w:t xml:space="preserve">Standards </w:t>
      </w:r>
      <w:r w:rsidRPr="00235A6B">
        <w:rPr>
          <w:rFonts w:eastAsia="Times New Roman"/>
        </w:rPr>
        <w:t xml:space="preserve">or AUASB Standards, it is important that the language used in the legislation is consistent with the language used in </w:t>
      </w:r>
      <w:r>
        <w:rPr>
          <w:rFonts w:eastAsia="Times New Roman"/>
        </w:rPr>
        <w:t>those standards.</w:t>
      </w:r>
    </w:p>
    <w:p w14:paraId="74C3AD3E" w14:textId="6CEA882D" w:rsidR="001D0DE3" w:rsidRPr="00235A6B" w:rsidRDefault="001D0DE3" w:rsidP="001D0DE3">
      <w:pPr>
        <w:pStyle w:val="xmsolistparagraph"/>
        <w:numPr>
          <w:ilvl w:val="0"/>
          <w:numId w:val="1"/>
        </w:numPr>
        <w:spacing w:after="240"/>
        <w:ind w:left="714" w:hanging="357"/>
      </w:pPr>
      <w:r w:rsidRPr="00235A6B">
        <w:rPr>
          <w:rFonts w:eastAsia="Times New Roman"/>
        </w:rPr>
        <w:t xml:space="preserve">Incorrect use of language causes considerable confusion for preparers who prepare the information and assurance practitioners (such as accountants) who assure the information. </w:t>
      </w:r>
    </w:p>
    <w:p w14:paraId="11DA084E" w14:textId="7E039594" w:rsidR="001D0DE3" w:rsidRPr="00C83A3D" w:rsidRDefault="001D0DE3" w:rsidP="001D0DE3">
      <w:pPr>
        <w:pStyle w:val="xmsolistparagraph"/>
        <w:numPr>
          <w:ilvl w:val="0"/>
          <w:numId w:val="1"/>
        </w:numPr>
        <w:spacing w:after="240"/>
        <w:ind w:left="714" w:hanging="357"/>
        <w:rPr>
          <w:rFonts w:eastAsia="Times New Roman"/>
        </w:rPr>
      </w:pPr>
      <w:r w:rsidRPr="00C83A3D">
        <w:rPr>
          <w:rFonts w:eastAsia="Times New Roman"/>
        </w:rPr>
        <w:t>For example,</w:t>
      </w:r>
      <w:r>
        <w:rPr>
          <w:rFonts w:eastAsia="Times New Roman"/>
        </w:rPr>
        <w:t xml:space="preserve"> legislation</w:t>
      </w:r>
      <w:r w:rsidRPr="00C83A3D">
        <w:rPr>
          <w:rFonts w:eastAsia="Times New Roman"/>
        </w:rPr>
        <w:t xml:space="preserve"> must be clear about the information require</w:t>
      </w:r>
      <w:r>
        <w:rPr>
          <w:rFonts w:eastAsia="Times New Roman"/>
        </w:rPr>
        <w:t>d in relation to</w:t>
      </w:r>
      <w:r w:rsidRPr="00C83A3D">
        <w:rPr>
          <w:rFonts w:eastAsia="Times New Roman"/>
        </w:rPr>
        <w:t xml:space="preserve"> reporting. Words and phrases such as ‘financial statements’, ‘balance sheet’, and ‘profit and loss statement’ are understood. Terms such as ‘Australian Accounting Standards’ and ‘Accounting Standards’ are also well understood. However, words and phrases such as ‘accounts’ or ‘books’ and ‘generally accepted accounting principles’ or ‘provide a true and fair view’ are not. Use of these terms may </w:t>
      </w:r>
      <w:r w:rsidRPr="00C83A3D">
        <w:t>result in different outcomes regarding compliance with</w:t>
      </w:r>
      <w:r w:rsidR="00A83F73">
        <w:t xml:space="preserve"> the AASB</w:t>
      </w:r>
      <w:r w:rsidRPr="00C83A3D">
        <w:t xml:space="preserve"> Standards and suitability for their users</w:t>
      </w:r>
      <w:r>
        <w:t>.</w:t>
      </w:r>
    </w:p>
    <w:p w14:paraId="747D57A6" w14:textId="77777777" w:rsidR="001D0DE3" w:rsidRDefault="001D0DE3" w:rsidP="001D0DE3">
      <w:pPr>
        <w:pStyle w:val="xmsolistparagraph"/>
        <w:numPr>
          <w:ilvl w:val="0"/>
          <w:numId w:val="1"/>
        </w:numPr>
        <w:spacing w:after="240"/>
        <w:ind w:left="714" w:hanging="357"/>
      </w:pPr>
      <w:r w:rsidRPr="00235A6B">
        <w:rPr>
          <w:rFonts w:eastAsia="Times New Roman"/>
        </w:rPr>
        <w:t xml:space="preserve">Similarly, in relation to assurance, words and phrases </w:t>
      </w:r>
      <w:r>
        <w:rPr>
          <w:rFonts w:eastAsia="Times New Roman"/>
        </w:rPr>
        <w:t>such as</w:t>
      </w:r>
      <w:r w:rsidRPr="00235A6B">
        <w:rPr>
          <w:rFonts w:eastAsia="Times New Roman"/>
        </w:rPr>
        <w:t xml:space="preserve"> ‘audit’, ‘review’, and ‘agreed upon procedures’ are understood by assurance practitioners and used in the AUASB Standards. Words and phrases </w:t>
      </w:r>
      <w:r>
        <w:rPr>
          <w:rFonts w:eastAsia="Times New Roman"/>
        </w:rPr>
        <w:t>such as</w:t>
      </w:r>
      <w:r w:rsidRPr="00235A6B">
        <w:rPr>
          <w:rFonts w:eastAsia="Times New Roman"/>
        </w:rPr>
        <w:t xml:space="preserve"> ‘check’, ‘certify’, ‘verify’, or ‘confirm accuracy’ are not understood. </w:t>
      </w:r>
      <w:r w:rsidRPr="00235A6B">
        <w:t>  </w:t>
      </w:r>
    </w:p>
    <w:p w14:paraId="079867CE" w14:textId="77777777" w:rsidR="001D0DE3" w:rsidRDefault="001D0DE3" w:rsidP="001D0DE3">
      <w:pPr>
        <w:pStyle w:val="xmsolistparagraph"/>
        <w:numPr>
          <w:ilvl w:val="0"/>
          <w:numId w:val="1"/>
        </w:numPr>
        <w:spacing w:after="240"/>
        <w:ind w:left="714" w:hanging="357"/>
      </w:pPr>
      <w:r w:rsidRPr="001D0DE3">
        <w:rPr>
          <w:rFonts w:eastAsia="Times New Roman"/>
        </w:rPr>
        <w:t>There are further frameworks for setting requirements for ‘independence’ and for the appropriate assurance ‘practitioner’ that accountants understand.</w:t>
      </w:r>
      <w:r w:rsidRPr="00235A6B">
        <w:t> </w:t>
      </w:r>
    </w:p>
    <w:p w14:paraId="7CD2FDE8" w14:textId="77777777" w:rsidR="001D0DE3" w:rsidRPr="00C634EB" w:rsidRDefault="001D0DE3" w:rsidP="001D0DE3">
      <w:pPr>
        <w:pStyle w:val="xmsolistparagraph"/>
        <w:numPr>
          <w:ilvl w:val="0"/>
          <w:numId w:val="1"/>
        </w:numPr>
        <w:spacing w:after="240"/>
        <w:ind w:left="714" w:hanging="357"/>
      </w:pPr>
      <w:r w:rsidRPr="001D0DE3">
        <w:rPr>
          <w:rFonts w:eastAsia="Times New Roman"/>
        </w:rPr>
        <w:t>The AASB would like to be consulted [</w:t>
      </w:r>
      <w:hyperlink r:id="rId9" w:history="1">
        <w:r w:rsidRPr="001D0DE3">
          <w:rPr>
            <w:rStyle w:val="Hyperlink"/>
            <w:rFonts w:eastAsia="Times New Roman"/>
          </w:rPr>
          <w:t>mailto:standard@aasb.gov.au</w:t>
        </w:r>
      </w:hyperlink>
      <w:r w:rsidRPr="001D0DE3">
        <w:rPr>
          <w:rFonts w:eastAsia="Times New Roman"/>
        </w:rPr>
        <w:t xml:space="preserve">] regarding any draft provisions requiring the preparation of information under the AASB Standards. </w:t>
      </w:r>
    </w:p>
    <w:p w14:paraId="4563B6B3" w14:textId="77777777" w:rsidR="00E9699D" w:rsidRPr="001D0DE3" w:rsidRDefault="001D0DE3" w:rsidP="001D0DE3">
      <w:pPr>
        <w:pStyle w:val="xmsolistparagraph"/>
        <w:numPr>
          <w:ilvl w:val="0"/>
          <w:numId w:val="1"/>
        </w:numPr>
        <w:spacing w:after="240"/>
        <w:ind w:left="714" w:hanging="357"/>
      </w:pPr>
      <w:r w:rsidRPr="001D0DE3">
        <w:rPr>
          <w:rFonts w:eastAsia="Times New Roman"/>
        </w:rPr>
        <w:t>The AUASB would like to be consulted [</w:t>
      </w:r>
      <w:hyperlink r:id="rId10" w:history="1">
        <w:r w:rsidRPr="001D0DE3">
          <w:rPr>
            <w:rStyle w:val="Hyperlink"/>
            <w:rFonts w:eastAsia="Times New Roman"/>
          </w:rPr>
          <w:t>mailto:enquiries@auasb.gov.au</w:t>
        </w:r>
      </w:hyperlink>
      <w:r w:rsidRPr="001D0DE3">
        <w:rPr>
          <w:rFonts w:eastAsia="Times New Roman"/>
        </w:rPr>
        <w:t>] regarding any draft provisions requiring independent assurance of information under the AUASB Standards. For more information, see: [</w:t>
      </w:r>
      <w:hyperlink r:id="rId11" w:history="1">
        <w:r w:rsidRPr="001D0DE3">
          <w:rPr>
            <w:rStyle w:val="Hyperlink"/>
            <w:rFonts w:eastAsia="Times New Roman"/>
          </w:rPr>
          <w:t>A Guide for Prescribing Assurance and Related Services</w:t>
        </w:r>
      </w:hyperlink>
      <w:r w:rsidRPr="001D0DE3">
        <w:rPr>
          <w:rFonts w:eastAsia="Times New Roman"/>
        </w:rPr>
        <w:t>].</w:t>
      </w:r>
    </w:p>
    <w:sectPr w:rsidR="00E9699D" w:rsidRPr="001D0DE3" w:rsidSect="00ED190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1418"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EC620" w14:textId="77777777" w:rsidR="00A034CE" w:rsidRDefault="00A034CE" w:rsidP="005000FB">
      <w:pPr>
        <w:spacing w:after="0" w:line="240" w:lineRule="auto"/>
      </w:pPr>
      <w:r>
        <w:separator/>
      </w:r>
    </w:p>
  </w:endnote>
  <w:endnote w:type="continuationSeparator" w:id="0">
    <w:p w14:paraId="1313EDAA" w14:textId="77777777" w:rsidR="00A034CE" w:rsidRDefault="00A034CE" w:rsidP="00500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89C1101-DE53-4709-AE79-55C2BFE8EDBF}"/>
    <w:embedBold r:id="rId2" w:fontKey="{118234B8-1726-4DC6-A698-0D9902CEFFC6}"/>
    <w:embedItalic r:id="rId3" w:fontKey="{A481D393-1F23-4F47-B045-D1B9C360148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CEEF" w14:textId="77777777" w:rsidR="00C634EB" w:rsidRDefault="00C63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4F28" w14:textId="77777777" w:rsidR="004E191F" w:rsidRPr="00691554" w:rsidRDefault="005000FB" w:rsidP="00691554">
    <w:pPr>
      <w:pStyle w:val="Footer"/>
      <w:jc w:val="right"/>
    </w:pPr>
    <w:r w:rsidRPr="00324EB0">
      <w:rPr>
        <w:b/>
        <w:noProof/>
        <w:lang w:val="en-US"/>
      </w:rPr>
      <mc:AlternateContent>
        <mc:Choice Requires="wps">
          <w:drawing>
            <wp:anchor distT="0" distB="0" distL="114300" distR="114300" simplePos="0" relativeHeight="251665408" behindDoc="1" locked="1" layoutInCell="1" allowOverlap="1" wp14:anchorId="276BD393" wp14:editId="6EA06F70">
              <wp:simplePos x="0" y="0"/>
              <wp:positionH relativeFrom="page">
                <wp:align>center</wp:align>
              </wp:positionH>
              <wp:positionV relativeFrom="paragraph">
                <wp:posOffset>0</wp:posOffset>
              </wp:positionV>
              <wp:extent cx="5773003" cy="395785"/>
              <wp:effectExtent l="0" t="0" r="0" b="4445"/>
              <wp:wrapNone/>
              <wp:docPr id="3" name="Text Box 3"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E0CA55" w14:textId="5BD71B96" w:rsidR="005000FB" w:rsidRPr="00324EB0" w:rsidRDefault="005000FB"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6E1AA7">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C634EB">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76BD393" id="_x0000_t202" coordsize="21600,21600" o:spt="202" path="m,l,21600r21600,l21600,xe">
              <v:stroke joinstyle="miter"/>
              <v:path gradientshapeok="t" o:connecttype="rect"/>
            </v:shapetype>
            <v:shape id="Text Box 3" o:spid="_x0000_s1027" type="#_x0000_t202" alt="Sec-Footerprimary" style="position:absolute;left:0;text-align:left;margin-left:0;margin-top:0;width:454.55pt;height:31.15pt;z-index:-2516510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sfg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" stroked="f" strokeweight=".5pt">
              <v:textbox>
                <w:txbxContent>
                  <w:p w14:paraId="45E0CA55" w14:textId="5BD71B96" w:rsidR="005000FB" w:rsidRPr="00324EB0" w:rsidRDefault="005000FB"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6E1AA7">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C634EB">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sidR="00B23236">
      <w:fldChar w:fldCharType="begin"/>
    </w:r>
    <w:r w:rsidR="00B23236">
      <w:instrText xml:space="preserve"> page </w:instrText>
    </w:r>
    <w:r w:rsidR="00B23236">
      <w:fldChar w:fldCharType="separate"/>
    </w:r>
    <w:r w:rsidR="00B23236">
      <w:rPr>
        <w:noProof/>
      </w:rPr>
      <w:t>2</w:t>
    </w:r>
    <w:r w:rsidR="00B2323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CE6D0" w14:textId="77777777" w:rsidR="005000FB" w:rsidRDefault="005000FB">
    <w:pPr>
      <w:pStyle w:val="Footer"/>
    </w:pPr>
    <w:r w:rsidRPr="00324EB0">
      <w:rPr>
        <w:b/>
        <w:noProof/>
        <w:lang w:val="en-US"/>
      </w:rPr>
      <mc:AlternateContent>
        <mc:Choice Requires="wps">
          <w:drawing>
            <wp:anchor distT="0" distB="0" distL="114300" distR="114300" simplePos="0" relativeHeight="251661312" behindDoc="1" locked="1" layoutInCell="1" allowOverlap="1" wp14:anchorId="59318191" wp14:editId="5B446E37">
              <wp:simplePos x="0" y="0"/>
              <wp:positionH relativeFrom="page">
                <wp:align>center</wp:align>
              </wp:positionH>
              <wp:positionV relativeFrom="paragraph">
                <wp:posOffset>0</wp:posOffset>
              </wp:positionV>
              <wp:extent cx="5773003" cy="395785"/>
              <wp:effectExtent l="0" t="0" r="0" b="4445"/>
              <wp:wrapNone/>
              <wp:docPr id="1" name="Text Box 1" descr="Sec-Foot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8457FC" w14:textId="77777777" w:rsidR="005000FB" w:rsidRPr="00324EB0" w:rsidRDefault="005000FB"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6E1AA7">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9318191" id="_x0000_t202" coordsize="21600,21600" o:spt="202" path="m,l,21600r21600,l21600,xe">
              <v:stroke joinstyle="miter"/>
              <v:path gradientshapeok="t" o:connecttype="rect"/>
            </v:shapetype>
            <v:shape id="Text Box 1" o:spid="_x0000_s1028" type="#_x0000_t202" alt="Sec-Footerfirstpage" style="position:absolute;margin-left:0;margin-top:0;width:454.55pt;height:31.15pt;z-index:-25165516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" stroked="f" strokeweight=".5pt">
              <v:textbox>
                <w:txbxContent>
                  <w:p w14:paraId="7B8457FC" w14:textId="77777777" w:rsidR="005000FB" w:rsidRPr="00324EB0" w:rsidRDefault="005000FB"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6E1AA7">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0618D" w14:textId="77777777" w:rsidR="00A034CE" w:rsidRDefault="00A034CE" w:rsidP="005000FB">
      <w:pPr>
        <w:spacing w:after="0" w:line="240" w:lineRule="auto"/>
      </w:pPr>
      <w:r>
        <w:separator/>
      </w:r>
    </w:p>
  </w:footnote>
  <w:footnote w:type="continuationSeparator" w:id="0">
    <w:p w14:paraId="622B4923" w14:textId="77777777" w:rsidR="00A034CE" w:rsidRDefault="00A034CE" w:rsidP="00500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196DB" w14:textId="77777777" w:rsidR="00C634EB" w:rsidRDefault="00C63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B0AA" w14:textId="77777777" w:rsidR="005000FB" w:rsidRDefault="005000FB">
    <w:pPr>
      <w:pStyle w:val="Header"/>
    </w:pPr>
    <w:r w:rsidRPr="00324EB0">
      <w:rPr>
        <w:b/>
        <w:noProof/>
        <w:lang w:val="en-US"/>
      </w:rPr>
      <mc:AlternateContent>
        <mc:Choice Requires="wps">
          <w:drawing>
            <wp:anchor distT="0" distB="0" distL="114300" distR="114300" simplePos="0" relativeHeight="251663360" behindDoc="1" locked="1" layoutInCell="1" allowOverlap="1" wp14:anchorId="71403C62" wp14:editId="48595DAF">
              <wp:simplePos x="0" y="0"/>
              <wp:positionH relativeFrom="page">
                <wp:align>center</wp:align>
              </wp:positionH>
              <wp:positionV relativeFrom="paragraph">
                <wp:posOffset>-317500</wp:posOffset>
              </wp:positionV>
              <wp:extent cx="5773003" cy="395785"/>
              <wp:effectExtent l="0" t="0" r="0" b="4445"/>
              <wp:wrapNone/>
              <wp:docPr id="2" name="Text Box 2"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452C50" w14:textId="2A498AA9" w:rsidR="005000FB" w:rsidRPr="00324EB0" w:rsidRDefault="005000FB"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6E1AA7">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C634EB">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71403C62" id="_x0000_t202" coordsize="21600,21600" o:spt="202" path="m,l,21600r21600,l21600,xe">
              <v:stroke joinstyle="miter"/>
              <v:path gradientshapeok="t" o:connecttype="rect"/>
            </v:shapetype>
            <v:shape id="Text Box 2" o:spid="_x0000_s1026" type="#_x0000_t202" alt="Sec-Headerprimary" style="position:absolute;margin-left:0;margin-top:-25pt;width:454.55pt;height:31.15pt;z-index:-2516531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" stroked="f" strokeweight=".5pt">
              <v:textbox>
                <w:txbxContent>
                  <w:p w14:paraId="6B452C50" w14:textId="2A498AA9" w:rsidR="005000FB" w:rsidRPr="00324EB0" w:rsidRDefault="005000FB" w:rsidP="00271A4F">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6E1AA7">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6E1AA7">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E1AA7">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C634EB">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A3C5F" w14:textId="5E026ED3" w:rsidR="005000FB" w:rsidRDefault="00E749A3">
    <w:pPr>
      <w:pStyle w:val="Header"/>
    </w:pPr>
    <w:r>
      <w:rPr>
        <w:rFonts w:ascii="Calibri" w:hAnsi="Calibri" w:cs="Arial"/>
        <w:b/>
        <w:bCs/>
        <w:noProof/>
        <w:sz w:val="32"/>
        <w:szCs w:val="32"/>
      </w:rPr>
      <w:drawing>
        <wp:anchor distT="0" distB="0" distL="114300" distR="114300" simplePos="0" relativeHeight="251669504" behindDoc="0" locked="0" layoutInCell="1" allowOverlap="1" wp14:anchorId="1E628366" wp14:editId="557FBCE5">
          <wp:simplePos x="0" y="0"/>
          <wp:positionH relativeFrom="margin">
            <wp:align>left</wp:align>
          </wp:positionH>
          <wp:positionV relativeFrom="paragraph">
            <wp:posOffset>-228600</wp:posOffset>
          </wp:positionV>
          <wp:extent cx="2400300" cy="568960"/>
          <wp:effectExtent l="0" t="0" r="0" b="2540"/>
          <wp:wrapNone/>
          <wp:docPr id="5" name="AASBLogo" descr="Australian crest, with text naming the Australian Government and the Australian Accounting Standards Board" title="Logo of the Australian Accounting Standard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SBLogo" descr="Australian crest, with text naming the Australian Government and the Australian Accounting Standards Board" title="Logo of the Australian Accounting Standards Boar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030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7456" behindDoc="0" locked="1" layoutInCell="1" allowOverlap="1" wp14:anchorId="1DB52512" wp14:editId="495BD418">
          <wp:simplePos x="0" y="0"/>
          <wp:positionH relativeFrom="page">
            <wp:posOffset>4392295</wp:posOffset>
          </wp:positionH>
          <wp:positionV relativeFrom="page">
            <wp:posOffset>133350</wp:posOffset>
          </wp:positionV>
          <wp:extent cx="2390400" cy="500400"/>
          <wp:effectExtent l="0" t="0" r="0" b="0"/>
          <wp:wrapSquare wrapText="bothSides"/>
          <wp:docPr id="7" name="Logo" descr="Australian crest, with text naming the Australian Government and the Auditing and Assurance Standards Board" title="Logo of the Auditing and Assurance Standard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
                    <a:extLst>
                      <a:ext uri="{28A0092B-C50C-407E-A947-70E740481C1C}">
                        <a14:useLocalDpi xmlns:a14="http://schemas.microsoft.com/office/drawing/2010/main" val="0"/>
                      </a:ext>
                    </a:extLst>
                  </a:blip>
                  <a:srcRect l="2107" t="3555" r="6579"/>
                  <a:stretch/>
                </pic:blipFill>
                <pic:spPr bwMode="auto">
                  <a:xfrm>
                    <a:off x="0" y="0"/>
                    <a:ext cx="2390400" cy="5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E365C"/>
    <w:multiLevelType w:val="multilevel"/>
    <w:tmpl w:val="3F341BE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0264F9E"/>
    <w:multiLevelType w:val="multilevel"/>
    <w:tmpl w:val="3A507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saveSubset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0FB"/>
    <w:rsid w:val="000B22C8"/>
    <w:rsid w:val="00116FCB"/>
    <w:rsid w:val="00132355"/>
    <w:rsid w:val="001A69A4"/>
    <w:rsid w:val="001D0DE3"/>
    <w:rsid w:val="00321BFF"/>
    <w:rsid w:val="004053CD"/>
    <w:rsid w:val="005000FB"/>
    <w:rsid w:val="00516F3A"/>
    <w:rsid w:val="00572481"/>
    <w:rsid w:val="006E1AA7"/>
    <w:rsid w:val="006F6B2E"/>
    <w:rsid w:val="00722449"/>
    <w:rsid w:val="00741AA0"/>
    <w:rsid w:val="008C1C4A"/>
    <w:rsid w:val="00A034CE"/>
    <w:rsid w:val="00A123F1"/>
    <w:rsid w:val="00A83F73"/>
    <w:rsid w:val="00A8656F"/>
    <w:rsid w:val="00B23236"/>
    <w:rsid w:val="00B23E60"/>
    <w:rsid w:val="00BC436A"/>
    <w:rsid w:val="00C634EB"/>
    <w:rsid w:val="00D9727F"/>
    <w:rsid w:val="00E749A3"/>
    <w:rsid w:val="00EB61A8"/>
    <w:rsid w:val="00F045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3B345"/>
  <w15:chartTrackingRefBased/>
  <w15:docId w15:val="{B6D2A9CC-4902-4EAC-89F8-2B693ADFE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7"/>
    <w:rsid w:val="005000FB"/>
    <w:pPr>
      <w:tabs>
        <w:tab w:val="center" w:pos="4536"/>
        <w:tab w:val="right" w:pos="9072"/>
      </w:tabs>
      <w:spacing w:after="0" w:line="240" w:lineRule="auto"/>
    </w:pPr>
    <w:rPr>
      <w:rFonts w:ascii="Times New Roman" w:eastAsia="Times New Roman" w:hAnsi="Times New Roman" w:cs="Times New Roman"/>
      <w:sz w:val="20"/>
      <w:szCs w:val="24"/>
      <w:lang w:eastAsia="en-AU"/>
    </w:rPr>
  </w:style>
  <w:style w:type="character" w:customStyle="1" w:styleId="FooterChar">
    <w:name w:val="Footer Char"/>
    <w:basedOn w:val="DefaultParagraphFont"/>
    <w:link w:val="Footer"/>
    <w:uiPriority w:val="7"/>
    <w:rsid w:val="005000FB"/>
    <w:rPr>
      <w:rFonts w:ascii="Times New Roman" w:eastAsia="Times New Roman" w:hAnsi="Times New Roman" w:cs="Times New Roman"/>
      <w:sz w:val="20"/>
      <w:szCs w:val="24"/>
      <w:lang w:eastAsia="en-AU"/>
    </w:rPr>
  </w:style>
  <w:style w:type="character" w:styleId="Hyperlink">
    <w:name w:val="Hyperlink"/>
    <w:basedOn w:val="DefaultParagraphFont"/>
    <w:uiPriority w:val="99"/>
    <w:unhideWhenUsed/>
    <w:rsid w:val="005000FB"/>
    <w:rPr>
      <w:color w:val="0563C1"/>
      <w:u w:val="single"/>
    </w:rPr>
  </w:style>
  <w:style w:type="paragraph" w:customStyle="1" w:styleId="xmsolistparagraph">
    <w:name w:val="x_msolistparagraph"/>
    <w:basedOn w:val="Normal"/>
    <w:rsid w:val="005000FB"/>
    <w:pPr>
      <w:spacing w:after="0" w:line="240" w:lineRule="auto"/>
      <w:ind w:left="720"/>
    </w:pPr>
    <w:rPr>
      <w:rFonts w:ascii="Calibri" w:hAnsi="Calibri" w:cs="Calibri"/>
      <w:lang w:eastAsia="en-AU"/>
    </w:rPr>
  </w:style>
  <w:style w:type="paragraph" w:styleId="Header">
    <w:name w:val="header"/>
    <w:basedOn w:val="Normal"/>
    <w:link w:val="HeaderChar"/>
    <w:uiPriority w:val="99"/>
    <w:unhideWhenUsed/>
    <w:rsid w:val="005000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0FB"/>
  </w:style>
  <w:style w:type="paragraph" w:styleId="BalloonText">
    <w:name w:val="Balloon Text"/>
    <w:basedOn w:val="Normal"/>
    <w:link w:val="BalloonTextChar"/>
    <w:uiPriority w:val="99"/>
    <w:semiHidden/>
    <w:unhideWhenUsed/>
    <w:rsid w:val="005000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0FB"/>
    <w:rPr>
      <w:rFonts w:ascii="Segoe UI" w:hAnsi="Segoe UI" w:cs="Segoe UI"/>
      <w:sz w:val="18"/>
      <w:szCs w:val="18"/>
    </w:rPr>
  </w:style>
  <w:style w:type="paragraph" w:styleId="Revision">
    <w:name w:val="Revision"/>
    <w:hidden/>
    <w:uiPriority w:val="99"/>
    <w:semiHidden/>
    <w:rsid w:val="005724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us01.safelinks.protection.outlook.com/?url=https%3A%2F%2Fwww.auasb.gov.au%2Fadmin%2Ffile%2Fcontent102%2Fc3%2FAUASB_Guide_Prescribing_Assurance(Mar21).pdf&amp;data=05%7C01%7CRHerman%40auasb.gov.au%7Cde3611953086465cad3708db3a200e2b%7C3a6753c2f5c24a9dab1950fa9b969203%7C0%7C0%7C638167681568482798%7CUnknown%7CTWFpbGZsb3d8eyJWIjoiMC4wLjAwMDAiLCJQIjoiV2luMzIiLCJBTiI6Ik1haWwiLCJXVCI6Mn0%3D%7C3000%7C%7C%7C&amp;sdata=YyYXdA%2BSAHFg8DrCp1GMQSQ%2FHw3t%2Fbnote1BGnVS69Q%3D&amp;reserved=0"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enquiries@auasb.gov.a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tandard@aasb.gov.a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235365B3F33648BC5906CA8169449B" ma:contentTypeVersion="16" ma:contentTypeDescription="Create a new document." ma:contentTypeScope="" ma:versionID="7bebd4cb6b110d228b3d5b9d4e5d4729">
  <xsd:schema xmlns:xsd="http://www.w3.org/2001/XMLSchema" xmlns:xs="http://www.w3.org/2001/XMLSchema" xmlns:p="http://schemas.microsoft.com/office/2006/metadata/properties" xmlns:ns2="4e2d1ddd-4ff2-4144-ad72-d941cc701c35" xmlns:ns3="1dd36f22-55e0-4a71-b694-5c4938394106" targetNamespace="http://schemas.microsoft.com/office/2006/metadata/properties" ma:root="true" ma:fieldsID="3a751627c438fe40446ae6c7e076b28c" ns2:_="" ns3:_="">
    <xsd:import namespace="4e2d1ddd-4ff2-4144-ad72-d941cc701c35"/>
    <xsd:import namespace="1dd36f22-55e0-4a71-b694-5c49383941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d1ddd-4ff2-4144-ad72-d941cc701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7b487-d636-4fdf-9dcd-e6c538ec63e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d36f22-55e0-4a71-b694-5c49383941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eb587a-6354-410e-a916-c1d8c5c83af7}" ma:internalName="TaxCatchAll" ma:showField="CatchAllData" ma:web="1dd36f22-55e0-4a71-b694-5c49383941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F349D-C727-4A1E-BD01-A755928C8311}">
  <ds:schemaRefs>
    <ds:schemaRef ds:uri="http://schemas.microsoft.com/sharepoint/v3/contenttype/forms"/>
  </ds:schemaRefs>
</ds:datastoreItem>
</file>

<file path=customXml/itemProps2.xml><?xml version="1.0" encoding="utf-8"?>
<ds:datastoreItem xmlns:ds="http://schemas.openxmlformats.org/officeDocument/2006/customXml" ds:itemID="{09C32A06-21AB-433A-BA87-C0A978A7F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d1ddd-4ff2-4144-ad72-d941cc701c35"/>
    <ds:schemaRef ds:uri="1dd36f22-55e0-4a71-b694-5c4938394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542</Words>
  <Characters>3036</Characters>
  <Application>Microsoft Office Word</Application>
  <DocSecurity>4</DocSecurity>
  <Lines>112</Lines>
  <Paragraphs>87</Paragraphs>
  <ScaleCrop>false</ScaleCrop>
  <HeadingPairs>
    <vt:vector size="2" baseType="variant">
      <vt:variant>
        <vt:lpstr>Title</vt:lpstr>
      </vt:variant>
      <vt:variant>
        <vt:i4>1</vt:i4>
      </vt:variant>
    </vt:vector>
  </HeadingPairs>
  <TitlesOfParts>
    <vt:vector size="1" baseType="lpstr">
      <vt:lpstr>10 Points for OPC - minor changes</vt:lpstr>
    </vt:vector>
  </TitlesOfParts>
  <Company>Office of Parliamentary Counsel</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Points for OPC - minor changes</dc:title>
  <dc:subject/>
  <dc:creator>mcewinn</dc:creator>
  <cp:keywords/>
  <dc:description/>
  <cp:lastModifiedBy>Daluwatta, Yathasha</cp:lastModifiedBy>
  <cp:revision>2</cp:revision>
  <dcterms:created xsi:type="dcterms:W3CDTF">2023-09-06T04:43:00Z</dcterms:created>
  <dcterms:modified xsi:type="dcterms:W3CDTF">2023-09-06T04:43:00Z</dcterms:modified>
  <cp:category>Other - To AUASB</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ies>
</file>